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201F" w:rsidRPr="005F003F" w:rsidRDefault="007C201F" w:rsidP="007C201F">
      <w:pPr>
        <w:keepNext/>
        <w:jc w:val="both"/>
        <w:outlineLvl w:val="0"/>
        <w:rPr>
          <w:rFonts w:ascii="Arial Narrow" w:hAnsi="Arial Narrow" w:cs="Arial"/>
          <w:b/>
          <w:bCs/>
          <w:color w:val="000080"/>
          <w:kern w:val="32"/>
          <w:sz w:val="40"/>
          <w:szCs w:val="34"/>
        </w:rPr>
      </w:pPr>
      <w:r w:rsidRPr="00F66AEE">
        <w:rPr>
          <w:rFonts w:ascii="Arial Narrow" w:hAnsi="Arial Narrow" w:cs="Arial"/>
          <w:b/>
          <w:bCs/>
          <w:color w:val="000080"/>
          <w:kern w:val="32"/>
          <w:sz w:val="40"/>
          <w:szCs w:val="34"/>
        </w:rPr>
        <w:t>ΠΡΟΫΠΟΛΟΓΙΣΜΟΣ</w:t>
      </w:r>
      <w:r w:rsidRPr="005F003F">
        <w:rPr>
          <w:rFonts w:ascii="Arial Narrow" w:hAnsi="Arial Narrow" w:cs="Arial"/>
          <w:b/>
          <w:bCs/>
          <w:color w:val="000080"/>
          <w:kern w:val="32"/>
          <w:sz w:val="40"/>
          <w:szCs w:val="34"/>
        </w:rPr>
        <w:t xml:space="preserve"> </w:t>
      </w:r>
      <w:r>
        <w:rPr>
          <w:rFonts w:ascii="Arial Narrow" w:hAnsi="Arial Narrow" w:cs="Arial"/>
          <w:b/>
          <w:bCs/>
          <w:color w:val="000080"/>
          <w:kern w:val="32"/>
          <w:sz w:val="40"/>
          <w:szCs w:val="34"/>
        </w:rPr>
        <w:t>ΓΕΝΙΚΗΣ ΚΥΒΕΡΝΗΣΗΣ</w:t>
      </w:r>
    </w:p>
    <w:p w:rsidR="00DF3FC8" w:rsidRDefault="00DF3FC8" w:rsidP="00DF3FC8">
      <w:pPr>
        <w:jc w:val="both"/>
        <w:rPr>
          <w:b/>
          <w:sz w:val="22"/>
          <w:szCs w:val="22"/>
        </w:rPr>
      </w:pPr>
    </w:p>
    <w:p w:rsidR="00F47005" w:rsidRPr="00301426" w:rsidRDefault="00F47005" w:rsidP="00DF3FC8">
      <w:pPr>
        <w:jc w:val="both"/>
        <w:rPr>
          <w:b/>
          <w:sz w:val="22"/>
          <w:szCs w:val="22"/>
        </w:rPr>
      </w:pPr>
    </w:p>
    <w:p w:rsidR="004B0A49" w:rsidRPr="00301426" w:rsidRDefault="004B0A49" w:rsidP="00DF3FC8">
      <w:pPr>
        <w:jc w:val="both"/>
        <w:rPr>
          <w:b/>
          <w:sz w:val="22"/>
          <w:szCs w:val="22"/>
        </w:rPr>
      </w:pPr>
    </w:p>
    <w:p w:rsidR="00DF3FC8" w:rsidRPr="00124F5E" w:rsidRDefault="00DF3FC8" w:rsidP="00DF3FC8">
      <w:pPr>
        <w:shd w:val="clear" w:color="auto" w:fill="595959"/>
        <w:jc w:val="both"/>
        <w:rPr>
          <w:rFonts w:ascii="Arial Narrow" w:hAnsi="Arial Narrow"/>
          <w:b/>
          <w:color w:val="FFFFFF"/>
          <w:sz w:val="26"/>
          <w:szCs w:val="26"/>
        </w:rPr>
      </w:pPr>
      <w:r w:rsidRPr="00124F5E">
        <w:rPr>
          <w:rFonts w:ascii="Arial Narrow" w:hAnsi="Arial Narrow"/>
          <w:b/>
          <w:color w:val="FFFFFF"/>
          <w:sz w:val="26"/>
          <w:szCs w:val="26"/>
        </w:rPr>
        <w:t>1</w:t>
      </w:r>
      <w:r w:rsidRPr="009630FD">
        <w:rPr>
          <w:rFonts w:ascii="Arial Narrow" w:hAnsi="Arial Narrow"/>
          <w:b/>
          <w:color w:val="FFFFFF"/>
          <w:sz w:val="26"/>
          <w:szCs w:val="26"/>
        </w:rPr>
        <w:t>.</w:t>
      </w:r>
      <w:r w:rsidRPr="009630FD">
        <w:rPr>
          <w:rFonts w:ascii="Arial Narrow" w:hAnsi="Arial Narrow"/>
          <w:b/>
          <w:color w:val="FFFFFF"/>
          <w:sz w:val="26"/>
          <w:szCs w:val="26"/>
        </w:rPr>
        <w:tab/>
      </w:r>
      <w:r>
        <w:rPr>
          <w:rFonts w:ascii="Arial Narrow" w:hAnsi="Arial Narrow"/>
          <w:b/>
          <w:color w:val="FFFFFF"/>
          <w:sz w:val="26"/>
          <w:szCs w:val="26"/>
        </w:rPr>
        <w:t>Γενικά</w:t>
      </w:r>
    </w:p>
    <w:p w:rsidR="00DF3FC8" w:rsidRDefault="00DF3FC8" w:rsidP="00DF3FC8">
      <w:pPr>
        <w:jc w:val="both"/>
        <w:rPr>
          <w:sz w:val="22"/>
          <w:szCs w:val="22"/>
        </w:rPr>
      </w:pPr>
    </w:p>
    <w:p w:rsidR="00706087" w:rsidRPr="00706087" w:rsidRDefault="00706087" w:rsidP="00706087">
      <w:pPr>
        <w:contextualSpacing/>
        <w:jc w:val="both"/>
        <w:rPr>
          <w:sz w:val="22"/>
        </w:rPr>
      </w:pPr>
      <w:r w:rsidRPr="00706087">
        <w:rPr>
          <w:sz w:val="22"/>
        </w:rPr>
        <w:t>Στο Μεσοπρόθεσμο Πλαίσιο Δημοσιονομικής Στρατηγικής 2018-2021, για το έτος 2017, το πρωτογ</w:t>
      </w:r>
      <w:r w:rsidRPr="00706087">
        <w:rPr>
          <w:sz w:val="22"/>
        </w:rPr>
        <w:t>ε</w:t>
      </w:r>
      <w:r w:rsidRPr="00706087">
        <w:rPr>
          <w:sz w:val="22"/>
        </w:rPr>
        <w:t>νές αποτέλεσμα της Γενικής Κυβέρνησης σε όρους Σύμβασης Χρηματοδοτικής Διευκόλυνσης (ΣΧΔ) είχε προβλεφθεί ότι θα διαμορφωθεί σε πλεόνασμα ύψους 3.445 εκατ. ευρώ ή 1,9% του ΑΕΠ, ενώ με βάση τη μεθοδολογία του Ευρωπαϊκού Συστήματος Λογαριασμών (</w:t>
      </w:r>
      <w:r w:rsidRPr="00706087">
        <w:rPr>
          <w:sz w:val="22"/>
          <w:lang w:val="en-US"/>
        </w:rPr>
        <w:t>ESA</w:t>
      </w:r>
      <w:r w:rsidRPr="00706087">
        <w:rPr>
          <w:sz w:val="22"/>
        </w:rPr>
        <w:t>) είχε προβλεφθεί πλεόνασμα ύψους 3.814 εκατ. ευρώ ή 2,1%</w:t>
      </w:r>
      <w:r w:rsidR="008967F1">
        <w:rPr>
          <w:sz w:val="22"/>
        </w:rPr>
        <w:t xml:space="preserve"> </w:t>
      </w:r>
      <w:r w:rsidRPr="00706087">
        <w:rPr>
          <w:sz w:val="22"/>
        </w:rPr>
        <w:t>του</w:t>
      </w:r>
      <w:r w:rsidR="008967F1">
        <w:rPr>
          <w:sz w:val="22"/>
        </w:rPr>
        <w:t xml:space="preserve"> </w:t>
      </w:r>
      <w:r w:rsidRPr="00706087">
        <w:rPr>
          <w:sz w:val="22"/>
        </w:rPr>
        <w:t>ΑΕΠ.</w:t>
      </w:r>
      <w:r w:rsidR="008967F1">
        <w:rPr>
          <w:sz w:val="22"/>
        </w:rPr>
        <w:t xml:space="preserve"> </w:t>
      </w:r>
    </w:p>
    <w:p w:rsidR="00706087" w:rsidRPr="00706087" w:rsidRDefault="00706087" w:rsidP="00706087">
      <w:pPr>
        <w:contextualSpacing/>
        <w:jc w:val="both"/>
        <w:rPr>
          <w:sz w:val="22"/>
        </w:rPr>
      </w:pPr>
    </w:p>
    <w:p w:rsidR="00706087" w:rsidRPr="00706087" w:rsidRDefault="00706087" w:rsidP="00706087">
      <w:pPr>
        <w:contextualSpacing/>
        <w:jc w:val="both"/>
        <w:rPr>
          <w:sz w:val="22"/>
        </w:rPr>
      </w:pPr>
      <w:r w:rsidRPr="00706087">
        <w:rPr>
          <w:sz w:val="22"/>
        </w:rPr>
        <w:t>Με</w:t>
      </w:r>
      <w:r w:rsidR="008967F1">
        <w:rPr>
          <w:sz w:val="22"/>
        </w:rPr>
        <w:t xml:space="preserve"> </w:t>
      </w:r>
      <w:r w:rsidRPr="00706087">
        <w:rPr>
          <w:sz w:val="22"/>
        </w:rPr>
        <w:t>βάση</w:t>
      </w:r>
      <w:r w:rsidR="008967F1">
        <w:rPr>
          <w:sz w:val="22"/>
        </w:rPr>
        <w:t xml:space="preserve"> </w:t>
      </w:r>
      <w:r w:rsidRPr="00706087">
        <w:rPr>
          <w:sz w:val="22"/>
        </w:rPr>
        <w:t>τα</w:t>
      </w:r>
      <w:r w:rsidR="008967F1">
        <w:rPr>
          <w:sz w:val="22"/>
        </w:rPr>
        <w:t xml:space="preserve"> </w:t>
      </w:r>
      <w:r w:rsidRPr="00706087">
        <w:rPr>
          <w:sz w:val="22"/>
        </w:rPr>
        <w:t>στοιχεία</w:t>
      </w:r>
      <w:r w:rsidR="008967F1">
        <w:rPr>
          <w:sz w:val="22"/>
        </w:rPr>
        <w:t xml:space="preserve"> </w:t>
      </w:r>
      <w:r w:rsidRPr="00706087">
        <w:rPr>
          <w:sz w:val="22"/>
        </w:rPr>
        <w:t>της</w:t>
      </w:r>
      <w:r w:rsidR="008967F1">
        <w:rPr>
          <w:sz w:val="22"/>
        </w:rPr>
        <w:t xml:space="preserve"> </w:t>
      </w:r>
      <w:r w:rsidRPr="00706087">
        <w:rPr>
          <w:sz w:val="22"/>
        </w:rPr>
        <w:t>εκτέλεσης</w:t>
      </w:r>
      <w:r w:rsidR="008967F1">
        <w:rPr>
          <w:sz w:val="22"/>
        </w:rPr>
        <w:t xml:space="preserve"> </w:t>
      </w:r>
      <w:r w:rsidRPr="00706087">
        <w:rPr>
          <w:sz w:val="22"/>
        </w:rPr>
        <w:t>του Προϋπολογισμού, το πρωτογενές αποτέλεσμα της Γενικής Κυβέρνησης εκτιμάται ότι σε όρους ΣΧΔ θα διαμορφωθεί σε 4.360 εκατ. ευρώ ή 2,4% του ΑΕΠ, α</w:t>
      </w:r>
      <w:r w:rsidRPr="00706087">
        <w:rPr>
          <w:sz w:val="22"/>
        </w:rPr>
        <w:t>υ</w:t>
      </w:r>
      <w:r w:rsidRPr="00706087">
        <w:rPr>
          <w:sz w:val="22"/>
        </w:rPr>
        <w:t xml:space="preserve">ξημένο έναντι του στόχου κατά 1.235 εκατ. ευρώ ή 0,7% του ΑΕΠ. Σε όρους </w:t>
      </w:r>
      <w:r w:rsidRPr="00706087">
        <w:rPr>
          <w:sz w:val="22"/>
          <w:lang w:val="en-US"/>
        </w:rPr>
        <w:t>ESA</w:t>
      </w:r>
      <w:r w:rsidRPr="00706087">
        <w:rPr>
          <w:sz w:val="22"/>
        </w:rPr>
        <w:t xml:space="preserve"> εκτιμάται ότι θα διαμορφωθεί σε 4.683 εκατ. ευρώ ή 2,6% του ΑΕΠ. </w:t>
      </w:r>
    </w:p>
    <w:p w:rsidR="00706087" w:rsidRPr="00706087" w:rsidRDefault="00706087" w:rsidP="00706087">
      <w:pPr>
        <w:contextualSpacing/>
        <w:jc w:val="both"/>
        <w:rPr>
          <w:sz w:val="22"/>
        </w:rPr>
      </w:pPr>
    </w:p>
    <w:p w:rsidR="00706087" w:rsidRPr="00706087" w:rsidRDefault="00EC6C32" w:rsidP="00706087">
      <w:pPr>
        <w:contextualSpacing/>
        <w:jc w:val="both"/>
        <w:rPr>
          <w:sz w:val="22"/>
        </w:rPr>
      </w:pPr>
      <w:r>
        <w:rPr>
          <w:sz w:val="22"/>
        </w:rPr>
        <w:t xml:space="preserve">Η </w:t>
      </w:r>
      <w:r w:rsidR="00F47005">
        <w:rPr>
          <w:sz w:val="22"/>
        </w:rPr>
        <w:t>δημοσιονομική υπεραπόδοση</w:t>
      </w:r>
      <w:r w:rsidR="00CE2712">
        <w:rPr>
          <w:sz w:val="22"/>
        </w:rPr>
        <w:t>,</w:t>
      </w:r>
      <w:r w:rsidR="00F47005">
        <w:rPr>
          <w:sz w:val="22"/>
        </w:rPr>
        <w:t xml:space="preserve"> έναντι του στόχου</w:t>
      </w:r>
      <w:r w:rsidR="00CE2712">
        <w:rPr>
          <w:sz w:val="22"/>
        </w:rPr>
        <w:t>,</w:t>
      </w:r>
      <w:r w:rsidR="00F47005">
        <w:rPr>
          <w:sz w:val="22"/>
        </w:rPr>
        <w:t xml:space="preserve"> επιτρέπει παρεμβάσεις κοινωνικής προστασίας συ</w:t>
      </w:r>
      <w:r w:rsidR="00CE2712">
        <w:rPr>
          <w:sz w:val="22"/>
        </w:rPr>
        <w:t>νολικού ύψους 1.400 εκατ. ευρώ, οι οποίες έχουν περιληφθεί στις δαπάνες του προϋπολογισμού 2017</w:t>
      </w:r>
      <w:r w:rsidR="006D5A63">
        <w:rPr>
          <w:sz w:val="22"/>
        </w:rPr>
        <w:t xml:space="preserve"> και στη διαμόρφωση του παραπάνω αποτελέσματος</w:t>
      </w:r>
      <w:r w:rsidR="00CE2712">
        <w:rPr>
          <w:sz w:val="22"/>
        </w:rPr>
        <w:t>.</w:t>
      </w:r>
    </w:p>
    <w:p w:rsidR="00706087" w:rsidRDefault="00706087" w:rsidP="00706087">
      <w:pPr>
        <w:contextualSpacing/>
        <w:jc w:val="both"/>
        <w:rPr>
          <w:sz w:val="22"/>
        </w:rPr>
      </w:pPr>
    </w:p>
    <w:p w:rsidR="00A83D2D" w:rsidRDefault="00A83D2D" w:rsidP="00A83D2D">
      <w:pPr>
        <w:jc w:val="both"/>
        <w:rPr>
          <w:bCs/>
          <w:sz w:val="22"/>
          <w:szCs w:val="22"/>
        </w:rPr>
      </w:pPr>
    </w:p>
    <w:tbl>
      <w:tblPr>
        <w:tblW w:w="9002" w:type="dxa"/>
        <w:tblInd w:w="9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280"/>
        <w:gridCol w:w="5746"/>
        <w:gridCol w:w="992"/>
        <w:gridCol w:w="1068"/>
        <w:gridCol w:w="916"/>
      </w:tblGrid>
      <w:tr w:rsidR="00A83D2D" w:rsidRPr="007E66A1" w:rsidTr="002B25D3">
        <w:trPr>
          <w:trHeight w:val="20"/>
        </w:trPr>
        <w:tc>
          <w:tcPr>
            <w:tcW w:w="9002" w:type="dxa"/>
            <w:gridSpan w:val="5"/>
            <w:shd w:val="clear" w:color="auto" w:fill="404040" w:themeFill="text1" w:themeFillTint="BF"/>
            <w:vAlign w:val="center"/>
            <w:hideMark/>
          </w:tcPr>
          <w:p w:rsidR="00A83D2D" w:rsidRPr="007E66A1" w:rsidRDefault="00A83D2D" w:rsidP="002B25D3">
            <w:pPr>
              <w:spacing w:before="120"/>
              <w:jc w:val="center"/>
              <w:rPr>
                <w:rFonts w:ascii="Arial Narrow" w:hAnsi="Arial Narrow"/>
                <w:b/>
                <w:bCs/>
                <w:color w:val="FFFFFF" w:themeColor="background1"/>
              </w:rPr>
            </w:pPr>
            <w:bookmarkStart w:id="0" w:name="RANGE!A1:E22"/>
            <w:r w:rsidRPr="007E66A1">
              <w:rPr>
                <w:rFonts w:ascii="Arial Narrow" w:hAnsi="Arial Narrow"/>
                <w:b/>
                <w:bCs/>
                <w:color w:val="FFFFFF" w:themeColor="background1"/>
              </w:rPr>
              <w:t xml:space="preserve">Πίνακας 3.1  Αποτελέσματα </w:t>
            </w:r>
            <w:r>
              <w:rPr>
                <w:rFonts w:ascii="Arial Narrow" w:hAnsi="Arial Narrow"/>
                <w:b/>
                <w:bCs/>
                <w:color w:val="FFFFFF" w:themeColor="background1"/>
              </w:rPr>
              <w:t>Γενικής Κυβέρνησης περιόδου 2016 – 2018</w:t>
            </w:r>
          </w:p>
          <w:p w:rsidR="00A83D2D" w:rsidRPr="007E66A1" w:rsidRDefault="00A83D2D" w:rsidP="002B25D3">
            <w:pPr>
              <w:spacing w:after="120"/>
              <w:jc w:val="center"/>
              <w:rPr>
                <w:rFonts w:ascii="Arial Narrow" w:hAnsi="Arial Narrow"/>
                <w:b/>
                <w:bCs/>
                <w:color w:val="FFFFFF" w:themeColor="background1"/>
              </w:rPr>
            </w:pPr>
            <w:r w:rsidRPr="007E66A1">
              <w:rPr>
                <w:rFonts w:ascii="Arial Narrow" w:hAnsi="Arial Narrow"/>
                <w:b/>
                <w:bCs/>
                <w:color w:val="FFFFFF" w:themeColor="background1"/>
              </w:rPr>
              <w:t>(σε εκατ. ευρώ)</w:t>
            </w:r>
            <w:bookmarkEnd w:id="0"/>
          </w:p>
        </w:tc>
      </w:tr>
      <w:tr w:rsidR="00A83D2D" w:rsidRPr="007E66A1" w:rsidTr="002B25D3">
        <w:trPr>
          <w:trHeight w:val="20"/>
        </w:trPr>
        <w:tc>
          <w:tcPr>
            <w:tcW w:w="280" w:type="dxa"/>
            <w:tcBorders>
              <w:bottom w:val="single" w:sz="4" w:space="0" w:color="auto"/>
            </w:tcBorders>
            <w:shd w:val="clear" w:color="auto" w:fill="auto"/>
            <w:vAlign w:val="center"/>
            <w:hideMark/>
          </w:tcPr>
          <w:p w:rsidR="00A83D2D" w:rsidRPr="007E66A1" w:rsidRDefault="00A83D2D" w:rsidP="002B25D3">
            <w:pPr>
              <w:jc w:val="right"/>
              <w:rPr>
                <w:rFonts w:ascii="Arial Narrow" w:hAnsi="Arial Narrow"/>
                <w:b/>
                <w:bCs/>
                <w:sz w:val="16"/>
                <w:szCs w:val="20"/>
              </w:rPr>
            </w:pPr>
            <w:r w:rsidRPr="007E66A1">
              <w:rPr>
                <w:rFonts w:ascii="Arial Narrow" w:hAnsi="Arial Narrow"/>
                <w:b/>
                <w:bCs/>
                <w:sz w:val="16"/>
                <w:szCs w:val="20"/>
              </w:rPr>
              <w:t> </w:t>
            </w:r>
          </w:p>
        </w:tc>
        <w:tc>
          <w:tcPr>
            <w:tcW w:w="5746" w:type="dxa"/>
            <w:tcBorders>
              <w:bottom w:val="single" w:sz="4" w:space="0" w:color="auto"/>
            </w:tcBorders>
            <w:shd w:val="clear" w:color="auto" w:fill="auto"/>
            <w:vAlign w:val="center"/>
            <w:hideMark/>
          </w:tcPr>
          <w:p w:rsidR="00A83D2D" w:rsidRPr="007E66A1" w:rsidRDefault="00A83D2D" w:rsidP="002B25D3">
            <w:pPr>
              <w:rPr>
                <w:rFonts w:ascii="Arial Narrow" w:hAnsi="Arial Narrow"/>
                <w:sz w:val="16"/>
                <w:szCs w:val="20"/>
              </w:rPr>
            </w:pPr>
            <w:r w:rsidRPr="007E66A1">
              <w:rPr>
                <w:rFonts w:ascii="Arial Narrow" w:hAnsi="Arial Narrow"/>
                <w:sz w:val="16"/>
                <w:szCs w:val="20"/>
              </w:rPr>
              <w:t> </w:t>
            </w:r>
          </w:p>
        </w:tc>
        <w:tc>
          <w:tcPr>
            <w:tcW w:w="992" w:type="dxa"/>
            <w:tcBorders>
              <w:bottom w:val="single" w:sz="4" w:space="0" w:color="auto"/>
            </w:tcBorders>
            <w:shd w:val="clear" w:color="auto" w:fill="auto"/>
            <w:vAlign w:val="center"/>
            <w:hideMark/>
          </w:tcPr>
          <w:p w:rsidR="00A83D2D" w:rsidRPr="007E66A1" w:rsidRDefault="00A83D2D" w:rsidP="002B25D3">
            <w:pPr>
              <w:jc w:val="center"/>
              <w:rPr>
                <w:rFonts w:ascii="Arial Narrow" w:hAnsi="Arial Narrow"/>
                <w:sz w:val="16"/>
                <w:szCs w:val="20"/>
              </w:rPr>
            </w:pPr>
            <w:r w:rsidRPr="007E66A1">
              <w:rPr>
                <w:rFonts w:ascii="Arial Narrow" w:hAnsi="Arial Narrow"/>
                <w:sz w:val="16"/>
                <w:szCs w:val="20"/>
              </w:rPr>
              <w:t> </w:t>
            </w:r>
          </w:p>
        </w:tc>
        <w:tc>
          <w:tcPr>
            <w:tcW w:w="1068" w:type="dxa"/>
            <w:tcBorders>
              <w:bottom w:val="single" w:sz="4" w:space="0" w:color="auto"/>
            </w:tcBorders>
            <w:shd w:val="clear" w:color="auto" w:fill="auto"/>
            <w:vAlign w:val="center"/>
            <w:hideMark/>
          </w:tcPr>
          <w:p w:rsidR="00A83D2D" w:rsidRPr="007E66A1" w:rsidRDefault="00A83D2D" w:rsidP="002B25D3">
            <w:pPr>
              <w:jc w:val="center"/>
              <w:rPr>
                <w:rFonts w:ascii="Arial Narrow" w:hAnsi="Arial Narrow"/>
                <w:sz w:val="16"/>
                <w:szCs w:val="20"/>
              </w:rPr>
            </w:pPr>
            <w:r w:rsidRPr="007E66A1">
              <w:rPr>
                <w:rFonts w:ascii="Arial Narrow" w:hAnsi="Arial Narrow"/>
                <w:sz w:val="16"/>
                <w:szCs w:val="20"/>
              </w:rPr>
              <w:t> </w:t>
            </w:r>
          </w:p>
        </w:tc>
        <w:tc>
          <w:tcPr>
            <w:tcW w:w="916" w:type="dxa"/>
            <w:tcBorders>
              <w:bottom w:val="single" w:sz="4" w:space="0" w:color="auto"/>
            </w:tcBorders>
            <w:shd w:val="clear" w:color="auto" w:fill="auto"/>
            <w:vAlign w:val="center"/>
            <w:hideMark/>
          </w:tcPr>
          <w:p w:rsidR="00A83D2D" w:rsidRPr="007E66A1" w:rsidRDefault="00A83D2D" w:rsidP="002B25D3">
            <w:pPr>
              <w:jc w:val="center"/>
              <w:rPr>
                <w:rFonts w:ascii="Arial Narrow" w:hAnsi="Arial Narrow"/>
                <w:sz w:val="16"/>
                <w:szCs w:val="20"/>
              </w:rPr>
            </w:pPr>
            <w:r w:rsidRPr="007E66A1">
              <w:rPr>
                <w:rFonts w:ascii="Arial Narrow" w:hAnsi="Arial Narrow"/>
                <w:sz w:val="16"/>
                <w:szCs w:val="20"/>
              </w:rPr>
              <w:t> </w:t>
            </w:r>
          </w:p>
        </w:tc>
      </w:tr>
      <w:tr w:rsidR="00A83D2D" w:rsidRPr="007E66A1" w:rsidTr="00A83D2D">
        <w:trPr>
          <w:trHeight w:val="340"/>
        </w:trPr>
        <w:tc>
          <w:tcPr>
            <w:tcW w:w="6026" w:type="dxa"/>
            <w:gridSpan w:val="2"/>
            <w:tcBorders>
              <w:top w:val="single" w:sz="4" w:space="0" w:color="auto"/>
              <w:bottom w:val="single" w:sz="4" w:space="0" w:color="auto"/>
              <w:right w:val="single" w:sz="4" w:space="0" w:color="auto"/>
            </w:tcBorders>
            <w:shd w:val="clear" w:color="auto" w:fill="auto"/>
            <w:vAlign w:val="center"/>
            <w:hideMark/>
          </w:tcPr>
          <w:p w:rsidR="00A83D2D" w:rsidRPr="007E66A1" w:rsidRDefault="00A83D2D" w:rsidP="002B25D3">
            <w:pPr>
              <w:jc w:val="center"/>
              <w:rPr>
                <w:rFonts w:ascii="Arial Narrow" w:hAnsi="Arial Narrow"/>
                <w:b/>
                <w:bCs/>
                <w:sz w:val="16"/>
                <w:szCs w:val="16"/>
              </w:rPr>
            </w:pPr>
            <w:r w:rsidRPr="007E66A1">
              <w:rPr>
                <w:rFonts w:ascii="Arial Narrow" w:hAnsi="Arial Narrow"/>
                <w:b/>
                <w:bCs/>
                <w:sz w:val="16"/>
                <w:szCs w:val="16"/>
              </w:rPr>
              <w:t xml:space="preserve">Γενική Κυβέρνηση κατά </w:t>
            </w:r>
            <w:r w:rsidRPr="007E66A1">
              <w:rPr>
                <w:rFonts w:ascii="Arial Narrow" w:hAnsi="Arial Narrow"/>
                <w:b/>
                <w:bCs/>
                <w:sz w:val="16"/>
                <w:szCs w:val="16"/>
                <w:lang w:val="en-GB"/>
              </w:rPr>
              <w:t>ESA</w:t>
            </w:r>
            <w:r w:rsidRPr="007E66A1">
              <w:rPr>
                <w:rFonts w:ascii="Arial Narrow" w:hAnsi="Arial Narrow"/>
                <w:b/>
                <w:bCs/>
                <w:sz w:val="16"/>
                <w:szCs w:val="16"/>
              </w:rPr>
              <w:t xml:space="preserve"> ανά υποτομέα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D" w:rsidRPr="007E66A1" w:rsidRDefault="00A83D2D" w:rsidP="002B25D3">
            <w:pPr>
              <w:jc w:val="center"/>
              <w:rPr>
                <w:rFonts w:ascii="Arial Narrow" w:hAnsi="Arial Narrow"/>
                <w:b/>
                <w:bCs/>
                <w:sz w:val="16"/>
                <w:szCs w:val="16"/>
              </w:rPr>
            </w:pPr>
            <w:r>
              <w:rPr>
                <w:rFonts w:ascii="Arial Narrow" w:hAnsi="Arial Narrow"/>
                <w:b/>
                <w:bCs/>
                <w:sz w:val="16"/>
                <w:szCs w:val="16"/>
              </w:rPr>
              <w:t>2016</w:t>
            </w:r>
          </w:p>
          <w:p w:rsidR="00A83D2D" w:rsidRPr="009D0CE8" w:rsidRDefault="009D0CE8" w:rsidP="002B25D3">
            <w:pPr>
              <w:jc w:val="center"/>
              <w:rPr>
                <w:rFonts w:ascii="Arial Narrow" w:hAnsi="Arial Narrow"/>
                <w:b/>
                <w:bCs/>
                <w:sz w:val="16"/>
                <w:szCs w:val="16"/>
              </w:rPr>
            </w:pPr>
            <w:r>
              <w:rPr>
                <w:rFonts w:ascii="Arial Narrow" w:hAnsi="Arial Narrow"/>
                <w:b/>
                <w:bCs/>
                <w:sz w:val="16"/>
                <w:szCs w:val="16"/>
              </w:rPr>
              <w:t>Πραγματ/σεις</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D" w:rsidRPr="007E66A1" w:rsidRDefault="00A83D2D" w:rsidP="002B25D3">
            <w:pPr>
              <w:jc w:val="center"/>
              <w:rPr>
                <w:rFonts w:ascii="Arial Narrow" w:hAnsi="Arial Narrow"/>
                <w:b/>
                <w:bCs/>
                <w:sz w:val="16"/>
                <w:szCs w:val="16"/>
              </w:rPr>
            </w:pPr>
            <w:r>
              <w:rPr>
                <w:rFonts w:ascii="Arial Narrow" w:hAnsi="Arial Narrow"/>
                <w:b/>
                <w:bCs/>
                <w:sz w:val="16"/>
                <w:szCs w:val="16"/>
              </w:rPr>
              <w:t>2017</w:t>
            </w:r>
          </w:p>
          <w:p w:rsidR="00A83D2D" w:rsidRPr="007E66A1" w:rsidRDefault="00A83D2D" w:rsidP="002B25D3">
            <w:pPr>
              <w:jc w:val="center"/>
              <w:rPr>
                <w:rFonts w:ascii="Arial Narrow" w:hAnsi="Arial Narrow"/>
                <w:b/>
                <w:bCs/>
                <w:sz w:val="16"/>
                <w:szCs w:val="16"/>
              </w:rPr>
            </w:pPr>
            <w:r w:rsidRPr="007E66A1">
              <w:rPr>
                <w:rFonts w:ascii="Arial Narrow" w:hAnsi="Arial Narrow"/>
                <w:b/>
                <w:bCs/>
                <w:sz w:val="16"/>
                <w:szCs w:val="16"/>
              </w:rPr>
              <w:t>Εκτίμηση</w:t>
            </w:r>
          </w:p>
        </w:tc>
        <w:tc>
          <w:tcPr>
            <w:tcW w:w="916" w:type="dxa"/>
            <w:tcBorders>
              <w:top w:val="single" w:sz="4" w:space="0" w:color="auto"/>
              <w:left w:val="single" w:sz="4" w:space="0" w:color="auto"/>
              <w:bottom w:val="single" w:sz="4" w:space="0" w:color="auto"/>
            </w:tcBorders>
            <w:shd w:val="clear" w:color="auto" w:fill="auto"/>
            <w:vAlign w:val="center"/>
            <w:hideMark/>
          </w:tcPr>
          <w:p w:rsidR="00A83D2D" w:rsidRPr="007E66A1" w:rsidRDefault="00A83D2D" w:rsidP="002B25D3">
            <w:pPr>
              <w:jc w:val="center"/>
              <w:rPr>
                <w:rFonts w:ascii="Arial Narrow" w:hAnsi="Arial Narrow"/>
                <w:b/>
                <w:bCs/>
                <w:sz w:val="16"/>
                <w:szCs w:val="16"/>
              </w:rPr>
            </w:pPr>
            <w:r>
              <w:rPr>
                <w:rFonts w:ascii="Arial Narrow" w:hAnsi="Arial Narrow"/>
                <w:b/>
                <w:bCs/>
                <w:sz w:val="16"/>
                <w:szCs w:val="16"/>
              </w:rPr>
              <w:t>2018</w:t>
            </w:r>
          </w:p>
          <w:p w:rsidR="00A83D2D" w:rsidRPr="007E66A1" w:rsidRDefault="00A83D2D" w:rsidP="002B25D3">
            <w:pPr>
              <w:jc w:val="center"/>
              <w:rPr>
                <w:rFonts w:ascii="Arial Narrow" w:hAnsi="Arial Narrow"/>
                <w:b/>
                <w:bCs/>
                <w:sz w:val="16"/>
                <w:szCs w:val="16"/>
              </w:rPr>
            </w:pPr>
            <w:r w:rsidRPr="007E66A1">
              <w:rPr>
                <w:rFonts w:ascii="Arial Narrow" w:hAnsi="Arial Narrow"/>
                <w:b/>
                <w:bCs/>
                <w:sz w:val="16"/>
                <w:szCs w:val="16"/>
              </w:rPr>
              <w:t>Πρόβλεψη</w:t>
            </w:r>
          </w:p>
        </w:tc>
      </w:tr>
      <w:tr w:rsidR="00A83D2D" w:rsidRPr="007E66A1" w:rsidTr="00A83D2D">
        <w:trPr>
          <w:trHeight w:val="283"/>
        </w:trPr>
        <w:tc>
          <w:tcPr>
            <w:tcW w:w="280" w:type="dxa"/>
            <w:tcBorders>
              <w:top w:val="single" w:sz="4" w:space="0" w:color="auto"/>
            </w:tcBorders>
            <w:shd w:val="clear" w:color="auto" w:fill="auto"/>
            <w:hideMark/>
          </w:tcPr>
          <w:p w:rsidR="00A83D2D" w:rsidRPr="007E66A1" w:rsidRDefault="00A83D2D" w:rsidP="002B25D3">
            <w:pPr>
              <w:jc w:val="right"/>
              <w:rPr>
                <w:rFonts w:ascii="Arial Narrow" w:hAnsi="Arial Narrow"/>
                <w:b/>
                <w:bCs/>
                <w:sz w:val="16"/>
                <w:szCs w:val="16"/>
              </w:rPr>
            </w:pPr>
            <w:r w:rsidRPr="007E66A1">
              <w:rPr>
                <w:rFonts w:ascii="Arial Narrow" w:hAnsi="Arial Narrow"/>
                <w:b/>
                <w:bCs/>
                <w:sz w:val="16"/>
                <w:szCs w:val="16"/>
              </w:rPr>
              <w:t>1.</w:t>
            </w:r>
          </w:p>
        </w:tc>
        <w:tc>
          <w:tcPr>
            <w:tcW w:w="5746" w:type="dxa"/>
            <w:tcBorders>
              <w:top w:val="single" w:sz="4" w:space="0" w:color="auto"/>
            </w:tcBorders>
            <w:shd w:val="clear" w:color="auto" w:fill="auto"/>
            <w:vAlign w:val="center"/>
            <w:hideMark/>
          </w:tcPr>
          <w:p w:rsidR="00A83D2D" w:rsidRDefault="00A83D2D" w:rsidP="002B25D3">
            <w:pPr>
              <w:rPr>
                <w:rFonts w:ascii="Arial Narrow" w:hAnsi="Arial Narrow"/>
                <w:sz w:val="16"/>
                <w:szCs w:val="16"/>
              </w:rPr>
            </w:pPr>
            <w:r w:rsidRPr="007E66A1">
              <w:rPr>
                <w:rFonts w:ascii="Arial Narrow" w:hAnsi="Arial Narrow"/>
                <w:sz w:val="16"/>
                <w:szCs w:val="16"/>
              </w:rPr>
              <w:t>Ισοζύγιο Κρατικού Προϋπολογισμού</w:t>
            </w:r>
          </w:p>
          <w:p w:rsidR="00A83D2D" w:rsidRPr="007E66A1" w:rsidRDefault="00A83D2D" w:rsidP="002B25D3">
            <w:pPr>
              <w:rPr>
                <w:rFonts w:ascii="Arial Narrow" w:hAnsi="Arial Narrow"/>
                <w:sz w:val="16"/>
                <w:szCs w:val="16"/>
              </w:rPr>
            </w:pPr>
            <w:r w:rsidRPr="007E66A1">
              <w:rPr>
                <w:rFonts w:ascii="Arial Narrow" w:hAnsi="Arial Narrow"/>
                <w:sz w:val="16"/>
                <w:szCs w:val="16"/>
              </w:rPr>
              <w:t xml:space="preserve">(Βουλή, Υπουργεία, Περιφερειακές Υπηρεσίες Υπουργείων και Αποκεντρωμένες Διοικήσεις) </w:t>
            </w:r>
          </w:p>
        </w:tc>
        <w:tc>
          <w:tcPr>
            <w:tcW w:w="992" w:type="dxa"/>
            <w:tcBorders>
              <w:top w:val="single" w:sz="4" w:space="0" w:color="auto"/>
            </w:tcBorders>
            <w:shd w:val="clear" w:color="auto" w:fill="auto"/>
            <w:vAlign w:val="center"/>
            <w:hideMark/>
          </w:tcPr>
          <w:p w:rsidR="00A83D2D" w:rsidRDefault="00A83D2D" w:rsidP="00A83D2D">
            <w:pPr>
              <w:ind w:right="170"/>
              <w:jc w:val="right"/>
              <w:rPr>
                <w:rFonts w:ascii="Arial Narrow" w:hAnsi="Arial Narrow"/>
                <w:color w:val="000000"/>
                <w:sz w:val="16"/>
                <w:szCs w:val="16"/>
              </w:rPr>
            </w:pPr>
            <w:r>
              <w:rPr>
                <w:rFonts w:ascii="Arial Narrow" w:hAnsi="Arial Narrow"/>
                <w:color w:val="000000"/>
                <w:sz w:val="16"/>
                <w:szCs w:val="16"/>
              </w:rPr>
              <w:t>-7.020</w:t>
            </w:r>
          </w:p>
        </w:tc>
        <w:tc>
          <w:tcPr>
            <w:tcW w:w="1068" w:type="dxa"/>
            <w:tcBorders>
              <w:top w:val="single" w:sz="4" w:space="0" w:color="auto"/>
            </w:tcBorders>
            <w:shd w:val="clear" w:color="auto" w:fill="auto"/>
            <w:vAlign w:val="center"/>
            <w:hideMark/>
          </w:tcPr>
          <w:p w:rsidR="00A83D2D" w:rsidRDefault="00A83D2D" w:rsidP="00A83D2D">
            <w:pPr>
              <w:ind w:right="170"/>
              <w:jc w:val="right"/>
              <w:rPr>
                <w:rFonts w:ascii="Arial Narrow" w:hAnsi="Arial Narrow"/>
                <w:color w:val="000000"/>
                <w:sz w:val="16"/>
                <w:szCs w:val="16"/>
              </w:rPr>
            </w:pPr>
            <w:r>
              <w:rPr>
                <w:rFonts w:ascii="Arial Narrow" w:hAnsi="Arial Narrow"/>
                <w:color w:val="000000"/>
                <w:sz w:val="16"/>
                <w:szCs w:val="16"/>
              </w:rPr>
              <w:t>-5.144</w:t>
            </w:r>
          </w:p>
        </w:tc>
        <w:tc>
          <w:tcPr>
            <w:tcW w:w="916" w:type="dxa"/>
            <w:tcBorders>
              <w:top w:val="single" w:sz="4" w:space="0" w:color="auto"/>
            </w:tcBorders>
            <w:shd w:val="clear" w:color="auto" w:fill="auto"/>
            <w:vAlign w:val="center"/>
            <w:hideMark/>
          </w:tcPr>
          <w:p w:rsidR="00A83D2D" w:rsidRDefault="00A83D2D" w:rsidP="00A83D2D">
            <w:pPr>
              <w:ind w:right="170"/>
              <w:jc w:val="right"/>
              <w:rPr>
                <w:rFonts w:ascii="Arial Narrow" w:hAnsi="Arial Narrow"/>
                <w:color w:val="000000"/>
                <w:sz w:val="16"/>
                <w:szCs w:val="16"/>
              </w:rPr>
            </w:pPr>
            <w:r>
              <w:rPr>
                <w:rFonts w:ascii="Arial Narrow" w:hAnsi="Arial Narrow"/>
                <w:color w:val="000000"/>
                <w:sz w:val="16"/>
                <w:szCs w:val="16"/>
              </w:rPr>
              <w:t>-3.229</w:t>
            </w:r>
          </w:p>
        </w:tc>
      </w:tr>
      <w:tr w:rsidR="00A83D2D" w:rsidRPr="007E66A1" w:rsidTr="00A83D2D">
        <w:trPr>
          <w:trHeight w:val="283"/>
        </w:trPr>
        <w:tc>
          <w:tcPr>
            <w:tcW w:w="280" w:type="dxa"/>
            <w:shd w:val="clear" w:color="auto" w:fill="auto"/>
            <w:hideMark/>
          </w:tcPr>
          <w:p w:rsidR="00A83D2D" w:rsidRPr="007E66A1" w:rsidRDefault="00A83D2D" w:rsidP="002B25D3">
            <w:pPr>
              <w:jc w:val="right"/>
              <w:rPr>
                <w:rFonts w:ascii="Arial Narrow" w:hAnsi="Arial Narrow"/>
                <w:b/>
                <w:bCs/>
                <w:sz w:val="16"/>
                <w:szCs w:val="16"/>
              </w:rPr>
            </w:pPr>
            <w:r w:rsidRPr="007E66A1">
              <w:rPr>
                <w:rFonts w:ascii="Arial Narrow" w:hAnsi="Arial Narrow"/>
                <w:b/>
                <w:bCs/>
                <w:sz w:val="16"/>
                <w:szCs w:val="16"/>
              </w:rPr>
              <w:t>2.</w:t>
            </w:r>
          </w:p>
        </w:tc>
        <w:tc>
          <w:tcPr>
            <w:tcW w:w="5746" w:type="dxa"/>
            <w:shd w:val="clear" w:color="auto" w:fill="auto"/>
            <w:vAlign w:val="center"/>
            <w:hideMark/>
          </w:tcPr>
          <w:p w:rsidR="00A83D2D" w:rsidRDefault="00A83D2D" w:rsidP="002B25D3">
            <w:pPr>
              <w:rPr>
                <w:rFonts w:ascii="Arial Narrow" w:hAnsi="Arial Narrow"/>
                <w:sz w:val="16"/>
                <w:szCs w:val="16"/>
              </w:rPr>
            </w:pPr>
            <w:r w:rsidRPr="007E66A1">
              <w:rPr>
                <w:rFonts w:ascii="Arial Narrow" w:hAnsi="Arial Narrow"/>
                <w:sz w:val="16"/>
                <w:szCs w:val="16"/>
              </w:rPr>
              <w:t>Ισοζύγιο Κεντρικής Κυβέρνησης</w:t>
            </w:r>
          </w:p>
          <w:p w:rsidR="00A83D2D" w:rsidRPr="007E66A1" w:rsidRDefault="00A83D2D" w:rsidP="002B25D3">
            <w:pPr>
              <w:rPr>
                <w:rFonts w:ascii="Arial Narrow" w:hAnsi="Arial Narrow"/>
                <w:sz w:val="16"/>
                <w:szCs w:val="16"/>
              </w:rPr>
            </w:pPr>
            <w:r w:rsidRPr="007E66A1">
              <w:rPr>
                <w:rFonts w:ascii="Arial Narrow" w:hAnsi="Arial Narrow"/>
                <w:sz w:val="16"/>
                <w:szCs w:val="16"/>
              </w:rPr>
              <w:t>(Κράτος, ΝΠ, ΔΕΚΟ ταξινομημένες εντός της Γενικής</w:t>
            </w:r>
            <w:r>
              <w:rPr>
                <w:rFonts w:ascii="Arial Narrow" w:hAnsi="Arial Narrow"/>
                <w:sz w:val="16"/>
                <w:szCs w:val="16"/>
              </w:rPr>
              <w:t xml:space="preserve"> </w:t>
            </w:r>
            <w:r w:rsidRPr="007E66A1">
              <w:rPr>
                <w:rFonts w:ascii="Arial Narrow" w:hAnsi="Arial Narrow"/>
                <w:sz w:val="16"/>
                <w:szCs w:val="16"/>
              </w:rPr>
              <w:t>Κυβέρνησης και νοσοκομεία)</w:t>
            </w:r>
          </w:p>
        </w:tc>
        <w:tc>
          <w:tcPr>
            <w:tcW w:w="992" w:type="dxa"/>
            <w:shd w:val="clear" w:color="auto" w:fill="auto"/>
            <w:vAlign w:val="center"/>
            <w:hideMark/>
          </w:tcPr>
          <w:p w:rsidR="00A83D2D" w:rsidRDefault="00A83D2D" w:rsidP="00A83D2D">
            <w:pPr>
              <w:ind w:right="170"/>
              <w:jc w:val="right"/>
              <w:rPr>
                <w:rFonts w:ascii="Arial Narrow" w:hAnsi="Arial Narrow"/>
                <w:sz w:val="16"/>
                <w:szCs w:val="16"/>
              </w:rPr>
            </w:pPr>
            <w:r>
              <w:rPr>
                <w:rFonts w:ascii="Arial Narrow" w:hAnsi="Arial Narrow"/>
                <w:sz w:val="16"/>
                <w:szCs w:val="16"/>
              </w:rPr>
              <w:t>-1.661</w:t>
            </w:r>
          </w:p>
        </w:tc>
        <w:tc>
          <w:tcPr>
            <w:tcW w:w="1068" w:type="dxa"/>
            <w:shd w:val="clear" w:color="auto" w:fill="auto"/>
            <w:vAlign w:val="center"/>
            <w:hideMark/>
          </w:tcPr>
          <w:p w:rsidR="00A83D2D" w:rsidRDefault="00A83D2D" w:rsidP="00A83D2D">
            <w:pPr>
              <w:ind w:right="170"/>
              <w:jc w:val="right"/>
              <w:rPr>
                <w:rFonts w:ascii="Arial Narrow" w:hAnsi="Arial Narrow"/>
                <w:color w:val="000000"/>
                <w:sz w:val="16"/>
                <w:szCs w:val="16"/>
              </w:rPr>
            </w:pPr>
            <w:r>
              <w:rPr>
                <w:rFonts w:ascii="Arial Narrow" w:hAnsi="Arial Narrow"/>
                <w:color w:val="000000"/>
                <w:sz w:val="16"/>
                <w:szCs w:val="16"/>
              </w:rPr>
              <w:t>-2.341</w:t>
            </w:r>
          </w:p>
        </w:tc>
        <w:tc>
          <w:tcPr>
            <w:tcW w:w="916" w:type="dxa"/>
            <w:shd w:val="clear" w:color="auto" w:fill="auto"/>
            <w:vAlign w:val="center"/>
            <w:hideMark/>
          </w:tcPr>
          <w:p w:rsidR="00A83D2D" w:rsidRDefault="00A83D2D" w:rsidP="00A83D2D">
            <w:pPr>
              <w:ind w:right="170"/>
              <w:jc w:val="right"/>
              <w:rPr>
                <w:rFonts w:ascii="Arial Narrow" w:hAnsi="Arial Narrow"/>
                <w:color w:val="000000"/>
                <w:sz w:val="16"/>
                <w:szCs w:val="16"/>
              </w:rPr>
            </w:pPr>
            <w:r>
              <w:rPr>
                <w:rFonts w:ascii="Arial Narrow" w:hAnsi="Arial Narrow"/>
                <w:color w:val="000000"/>
                <w:sz w:val="16"/>
                <w:szCs w:val="16"/>
              </w:rPr>
              <w:t>-1.001</w:t>
            </w:r>
          </w:p>
        </w:tc>
      </w:tr>
      <w:tr w:rsidR="00A83D2D" w:rsidRPr="007E66A1" w:rsidTr="00A83D2D">
        <w:trPr>
          <w:trHeight w:val="283"/>
        </w:trPr>
        <w:tc>
          <w:tcPr>
            <w:tcW w:w="280" w:type="dxa"/>
            <w:shd w:val="clear" w:color="auto" w:fill="auto"/>
            <w:hideMark/>
          </w:tcPr>
          <w:p w:rsidR="00A83D2D" w:rsidRPr="007E66A1" w:rsidRDefault="00A83D2D" w:rsidP="002B25D3">
            <w:pPr>
              <w:jc w:val="right"/>
              <w:rPr>
                <w:rFonts w:ascii="Arial Narrow" w:hAnsi="Arial Narrow"/>
                <w:b/>
                <w:bCs/>
                <w:sz w:val="16"/>
                <w:szCs w:val="16"/>
              </w:rPr>
            </w:pPr>
            <w:r w:rsidRPr="007E66A1">
              <w:rPr>
                <w:rFonts w:ascii="Arial Narrow" w:hAnsi="Arial Narrow"/>
                <w:b/>
                <w:bCs/>
                <w:sz w:val="16"/>
                <w:szCs w:val="16"/>
              </w:rPr>
              <w:t>3.</w:t>
            </w:r>
          </w:p>
        </w:tc>
        <w:tc>
          <w:tcPr>
            <w:tcW w:w="5746" w:type="dxa"/>
            <w:shd w:val="clear" w:color="auto" w:fill="auto"/>
            <w:vAlign w:val="center"/>
            <w:hideMark/>
          </w:tcPr>
          <w:p w:rsidR="00A83D2D" w:rsidRPr="007E66A1" w:rsidRDefault="00A83D2D" w:rsidP="002B25D3">
            <w:pPr>
              <w:rPr>
                <w:rFonts w:ascii="Arial Narrow" w:hAnsi="Arial Narrow"/>
                <w:sz w:val="16"/>
                <w:szCs w:val="16"/>
              </w:rPr>
            </w:pPr>
            <w:r w:rsidRPr="007E66A1">
              <w:rPr>
                <w:rFonts w:ascii="Arial Narrow" w:hAnsi="Arial Narrow"/>
                <w:sz w:val="16"/>
                <w:szCs w:val="16"/>
              </w:rPr>
              <w:t>Ισοζύγιο Οργανισμών Τοπικής Αυτοδιοίκησης (ΟΤΑ)</w:t>
            </w:r>
          </w:p>
        </w:tc>
        <w:tc>
          <w:tcPr>
            <w:tcW w:w="992" w:type="dxa"/>
            <w:shd w:val="clear" w:color="auto" w:fill="auto"/>
            <w:vAlign w:val="center"/>
            <w:hideMark/>
          </w:tcPr>
          <w:p w:rsidR="00A83D2D" w:rsidRDefault="00A83D2D" w:rsidP="00A83D2D">
            <w:pPr>
              <w:ind w:right="170"/>
              <w:jc w:val="right"/>
              <w:rPr>
                <w:rFonts w:ascii="Arial Narrow" w:hAnsi="Arial Narrow"/>
                <w:color w:val="000000"/>
                <w:sz w:val="16"/>
                <w:szCs w:val="16"/>
              </w:rPr>
            </w:pPr>
            <w:r>
              <w:rPr>
                <w:rFonts w:ascii="Arial Narrow" w:hAnsi="Arial Narrow"/>
                <w:color w:val="000000"/>
                <w:sz w:val="16"/>
                <w:szCs w:val="16"/>
              </w:rPr>
              <w:t>556</w:t>
            </w:r>
          </w:p>
        </w:tc>
        <w:tc>
          <w:tcPr>
            <w:tcW w:w="1068" w:type="dxa"/>
            <w:shd w:val="clear" w:color="auto" w:fill="auto"/>
            <w:vAlign w:val="center"/>
            <w:hideMark/>
          </w:tcPr>
          <w:p w:rsidR="00A83D2D" w:rsidRDefault="00A83D2D" w:rsidP="00A83D2D">
            <w:pPr>
              <w:ind w:right="170"/>
              <w:jc w:val="right"/>
              <w:rPr>
                <w:rFonts w:ascii="Arial Narrow" w:hAnsi="Arial Narrow"/>
                <w:color w:val="000000"/>
                <w:sz w:val="16"/>
                <w:szCs w:val="16"/>
              </w:rPr>
            </w:pPr>
            <w:r>
              <w:rPr>
                <w:rFonts w:ascii="Arial Narrow" w:hAnsi="Arial Narrow"/>
                <w:color w:val="000000"/>
                <w:sz w:val="16"/>
                <w:szCs w:val="16"/>
              </w:rPr>
              <w:t>171</w:t>
            </w:r>
          </w:p>
        </w:tc>
        <w:tc>
          <w:tcPr>
            <w:tcW w:w="916" w:type="dxa"/>
            <w:shd w:val="clear" w:color="auto" w:fill="auto"/>
            <w:vAlign w:val="center"/>
            <w:hideMark/>
          </w:tcPr>
          <w:p w:rsidR="00A83D2D" w:rsidRDefault="00A83D2D" w:rsidP="00A83D2D">
            <w:pPr>
              <w:ind w:right="170"/>
              <w:jc w:val="right"/>
              <w:rPr>
                <w:rFonts w:ascii="Arial Narrow" w:hAnsi="Arial Narrow"/>
                <w:color w:val="000000"/>
                <w:sz w:val="16"/>
                <w:szCs w:val="16"/>
              </w:rPr>
            </w:pPr>
            <w:r>
              <w:rPr>
                <w:rFonts w:ascii="Arial Narrow" w:hAnsi="Arial Narrow"/>
                <w:color w:val="000000"/>
                <w:sz w:val="16"/>
                <w:szCs w:val="16"/>
              </w:rPr>
              <w:t>342</w:t>
            </w:r>
          </w:p>
        </w:tc>
      </w:tr>
      <w:tr w:rsidR="00A83D2D" w:rsidRPr="007E66A1" w:rsidTr="00A83D2D">
        <w:trPr>
          <w:trHeight w:val="283"/>
        </w:trPr>
        <w:tc>
          <w:tcPr>
            <w:tcW w:w="280" w:type="dxa"/>
            <w:shd w:val="clear" w:color="auto" w:fill="auto"/>
            <w:hideMark/>
          </w:tcPr>
          <w:p w:rsidR="00A83D2D" w:rsidRPr="007E66A1" w:rsidRDefault="00A83D2D" w:rsidP="002B25D3">
            <w:pPr>
              <w:jc w:val="right"/>
              <w:rPr>
                <w:rFonts w:ascii="Arial Narrow" w:hAnsi="Arial Narrow"/>
                <w:b/>
                <w:bCs/>
                <w:sz w:val="16"/>
                <w:szCs w:val="16"/>
              </w:rPr>
            </w:pPr>
            <w:r w:rsidRPr="007E66A1">
              <w:rPr>
                <w:rFonts w:ascii="Arial Narrow" w:hAnsi="Arial Narrow"/>
                <w:b/>
                <w:bCs/>
                <w:sz w:val="16"/>
                <w:szCs w:val="16"/>
              </w:rPr>
              <w:t>4.</w:t>
            </w:r>
          </w:p>
        </w:tc>
        <w:tc>
          <w:tcPr>
            <w:tcW w:w="5746" w:type="dxa"/>
            <w:shd w:val="clear" w:color="auto" w:fill="auto"/>
            <w:vAlign w:val="center"/>
            <w:hideMark/>
          </w:tcPr>
          <w:p w:rsidR="00A83D2D" w:rsidRPr="007E66A1" w:rsidRDefault="00A83D2D" w:rsidP="002B25D3">
            <w:pPr>
              <w:rPr>
                <w:rFonts w:ascii="Arial Narrow" w:hAnsi="Arial Narrow"/>
                <w:sz w:val="16"/>
                <w:szCs w:val="16"/>
              </w:rPr>
            </w:pPr>
            <w:r w:rsidRPr="007E66A1">
              <w:rPr>
                <w:rFonts w:ascii="Arial Narrow" w:hAnsi="Arial Narrow"/>
                <w:sz w:val="16"/>
                <w:szCs w:val="16"/>
              </w:rPr>
              <w:t>Ισοζύγιο Οργανισμών Κο</w:t>
            </w:r>
            <w:r>
              <w:rPr>
                <w:rFonts w:ascii="Arial Narrow" w:hAnsi="Arial Narrow"/>
                <w:sz w:val="16"/>
                <w:szCs w:val="16"/>
              </w:rPr>
              <w:t>ινωνικής Ασφάλισης (ΟΚΑ) εκτός ν</w:t>
            </w:r>
            <w:r w:rsidRPr="007E66A1">
              <w:rPr>
                <w:rFonts w:ascii="Arial Narrow" w:hAnsi="Arial Narrow"/>
                <w:sz w:val="16"/>
                <w:szCs w:val="16"/>
              </w:rPr>
              <w:t>οσοκομείων</w:t>
            </w:r>
          </w:p>
        </w:tc>
        <w:tc>
          <w:tcPr>
            <w:tcW w:w="992" w:type="dxa"/>
            <w:shd w:val="clear" w:color="auto" w:fill="auto"/>
            <w:vAlign w:val="center"/>
            <w:hideMark/>
          </w:tcPr>
          <w:p w:rsidR="00A83D2D" w:rsidRDefault="00A83D2D" w:rsidP="00A83D2D">
            <w:pPr>
              <w:ind w:right="170"/>
              <w:jc w:val="right"/>
              <w:rPr>
                <w:rFonts w:ascii="Arial Narrow" w:hAnsi="Arial Narrow"/>
                <w:color w:val="000000"/>
                <w:sz w:val="16"/>
                <w:szCs w:val="16"/>
              </w:rPr>
            </w:pPr>
            <w:r>
              <w:rPr>
                <w:rFonts w:ascii="Arial Narrow" w:hAnsi="Arial Narrow"/>
                <w:color w:val="000000"/>
                <w:sz w:val="16"/>
                <w:szCs w:val="16"/>
              </w:rPr>
              <w:t>1.895</w:t>
            </w:r>
          </w:p>
        </w:tc>
        <w:tc>
          <w:tcPr>
            <w:tcW w:w="1068" w:type="dxa"/>
            <w:shd w:val="clear" w:color="auto" w:fill="auto"/>
            <w:vAlign w:val="center"/>
            <w:hideMark/>
          </w:tcPr>
          <w:p w:rsidR="00A83D2D" w:rsidRDefault="00A83D2D" w:rsidP="00A83D2D">
            <w:pPr>
              <w:ind w:right="170"/>
              <w:jc w:val="right"/>
              <w:rPr>
                <w:rFonts w:ascii="Arial Narrow" w:hAnsi="Arial Narrow"/>
                <w:color w:val="000000"/>
                <w:sz w:val="16"/>
                <w:szCs w:val="16"/>
              </w:rPr>
            </w:pPr>
            <w:r>
              <w:rPr>
                <w:rFonts w:ascii="Arial Narrow" w:hAnsi="Arial Narrow"/>
                <w:color w:val="000000"/>
                <w:sz w:val="16"/>
                <w:szCs w:val="16"/>
              </w:rPr>
              <w:t>1.085</w:t>
            </w:r>
          </w:p>
        </w:tc>
        <w:tc>
          <w:tcPr>
            <w:tcW w:w="916" w:type="dxa"/>
            <w:shd w:val="clear" w:color="auto" w:fill="auto"/>
            <w:vAlign w:val="center"/>
            <w:hideMark/>
          </w:tcPr>
          <w:p w:rsidR="00A83D2D" w:rsidRDefault="00A83D2D" w:rsidP="00A83D2D">
            <w:pPr>
              <w:ind w:right="170"/>
              <w:jc w:val="right"/>
              <w:rPr>
                <w:rFonts w:ascii="Arial Narrow" w:hAnsi="Arial Narrow"/>
                <w:color w:val="000000"/>
                <w:sz w:val="16"/>
                <w:szCs w:val="16"/>
              </w:rPr>
            </w:pPr>
            <w:r>
              <w:rPr>
                <w:rFonts w:ascii="Arial Narrow" w:hAnsi="Arial Narrow"/>
                <w:color w:val="000000"/>
                <w:sz w:val="16"/>
                <w:szCs w:val="16"/>
              </w:rPr>
              <w:t>1.785</w:t>
            </w:r>
          </w:p>
        </w:tc>
      </w:tr>
      <w:tr w:rsidR="00A83D2D" w:rsidRPr="007E66A1" w:rsidTr="00A83D2D">
        <w:trPr>
          <w:trHeight w:val="283"/>
        </w:trPr>
        <w:tc>
          <w:tcPr>
            <w:tcW w:w="280" w:type="dxa"/>
            <w:shd w:val="clear" w:color="auto" w:fill="A6A6A6" w:themeFill="background1" w:themeFillShade="A6"/>
            <w:hideMark/>
          </w:tcPr>
          <w:p w:rsidR="00A83D2D" w:rsidRPr="007E66A1" w:rsidRDefault="00A83D2D" w:rsidP="002B25D3">
            <w:pPr>
              <w:spacing w:before="60" w:after="60"/>
              <w:jc w:val="right"/>
              <w:rPr>
                <w:rFonts w:ascii="Arial Narrow" w:hAnsi="Arial Narrow"/>
                <w:b/>
                <w:bCs/>
                <w:sz w:val="16"/>
                <w:szCs w:val="16"/>
              </w:rPr>
            </w:pPr>
            <w:r w:rsidRPr="007E66A1">
              <w:rPr>
                <w:rFonts w:ascii="Arial Narrow" w:hAnsi="Arial Narrow"/>
                <w:b/>
                <w:bCs/>
                <w:sz w:val="16"/>
                <w:szCs w:val="16"/>
              </w:rPr>
              <w:t>5.</w:t>
            </w:r>
          </w:p>
        </w:tc>
        <w:tc>
          <w:tcPr>
            <w:tcW w:w="5746" w:type="dxa"/>
            <w:shd w:val="clear" w:color="auto" w:fill="A6A6A6" w:themeFill="background1" w:themeFillShade="A6"/>
            <w:vAlign w:val="center"/>
            <w:hideMark/>
          </w:tcPr>
          <w:p w:rsidR="00A83D2D" w:rsidRPr="007E66A1" w:rsidRDefault="00A83D2D" w:rsidP="002B25D3">
            <w:pPr>
              <w:spacing w:before="60" w:after="60"/>
              <w:rPr>
                <w:rFonts w:ascii="Arial Narrow" w:hAnsi="Arial Narrow"/>
                <w:b/>
                <w:bCs/>
                <w:sz w:val="16"/>
                <w:szCs w:val="16"/>
              </w:rPr>
            </w:pPr>
            <w:r w:rsidRPr="007E66A1">
              <w:rPr>
                <w:rFonts w:ascii="Arial Narrow" w:hAnsi="Arial Narrow"/>
                <w:b/>
                <w:bCs/>
                <w:sz w:val="16"/>
                <w:szCs w:val="16"/>
              </w:rPr>
              <w:t>Ισοζύγιο Γενικής Κυβέρνησης (2+3+4)</w:t>
            </w:r>
          </w:p>
        </w:tc>
        <w:tc>
          <w:tcPr>
            <w:tcW w:w="992" w:type="dxa"/>
            <w:shd w:val="clear" w:color="auto" w:fill="A6A6A6" w:themeFill="background1" w:themeFillShade="A6"/>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790</w:t>
            </w:r>
          </w:p>
        </w:tc>
        <w:tc>
          <w:tcPr>
            <w:tcW w:w="1068" w:type="dxa"/>
            <w:shd w:val="clear" w:color="auto" w:fill="A6A6A6" w:themeFill="background1" w:themeFillShade="A6"/>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-1.086</w:t>
            </w:r>
          </w:p>
        </w:tc>
        <w:tc>
          <w:tcPr>
            <w:tcW w:w="916" w:type="dxa"/>
            <w:shd w:val="clear" w:color="auto" w:fill="A6A6A6" w:themeFill="background1" w:themeFillShade="A6"/>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1.126</w:t>
            </w:r>
          </w:p>
        </w:tc>
      </w:tr>
      <w:tr w:rsidR="00A83D2D" w:rsidRPr="007E66A1" w:rsidTr="00A83D2D">
        <w:trPr>
          <w:trHeight w:val="283"/>
        </w:trPr>
        <w:tc>
          <w:tcPr>
            <w:tcW w:w="280" w:type="dxa"/>
            <w:shd w:val="clear" w:color="auto" w:fill="auto"/>
            <w:hideMark/>
          </w:tcPr>
          <w:p w:rsidR="00A83D2D" w:rsidRPr="007E66A1" w:rsidRDefault="00A83D2D" w:rsidP="002B25D3">
            <w:pPr>
              <w:jc w:val="right"/>
              <w:rPr>
                <w:rFonts w:ascii="Arial Narrow" w:hAnsi="Arial Narrow"/>
                <w:b/>
                <w:bCs/>
                <w:sz w:val="16"/>
                <w:szCs w:val="16"/>
              </w:rPr>
            </w:pPr>
          </w:p>
        </w:tc>
        <w:tc>
          <w:tcPr>
            <w:tcW w:w="5746" w:type="dxa"/>
            <w:shd w:val="clear" w:color="auto" w:fill="auto"/>
            <w:vAlign w:val="center"/>
            <w:hideMark/>
          </w:tcPr>
          <w:p w:rsidR="00A83D2D" w:rsidRPr="007E66A1" w:rsidRDefault="00A83D2D" w:rsidP="002B25D3">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A83D2D" w:rsidRDefault="00A83D2D" w:rsidP="00A83D2D">
            <w:pPr>
              <w:ind w:right="170"/>
              <w:jc w:val="right"/>
              <w:rPr>
                <w:rFonts w:ascii="Arial Narrow" w:hAnsi="Arial Narrow"/>
                <w:i/>
                <w:iCs/>
                <w:sz w:val="16"/>
                <w:szCs w:val="16"/>
              </w:rPr>
            </w:pPr>
            <w:r>
              <w:rPr>
                <w:rFonts w:ascii="Arial Narrow" w:hAnsi="Arial Narrow"/>
                <w:i/>
                <w:iCs/>
                <w:sz w:val="16"/>
                <w:szCs w:val="16"/>
              </w:rPr>
              <w:t>0,5</w:t>
            </w:r>
          </w:p>
        </w:tc>
        <w:tc>
          <w:tcPr>
            <w:tcW w:w="1068" w:type="dxa"/>
            <w:shd w:val="clear" w:color="auto" w:fill="auto"/>
            <w:vAlign w:val="center"/>
            <w:hideMark/>
          </w:tcPr>
          <w:p w:rsidR="00A83D2D" w:rsidRDefault="00A83D2D" w:rsidP="00A83D2D">
            <w:pPr>
              <w:ind w:right="170"/>
              <w:jc w:val="right"/>
              <w:rPr>
                <w:rFonts w:ascii="Arial Narrow" w:hAnsi="Arial Narrow"/>
                <w:i/>
                <w:iCs/>
                <w:sz w:val="16"/>
                <w:szCs w:val="16"/>
              </w:rPr>
            </w:pPr>
            <w:r>
              <w:rPr>
                <w:rFonts w:ascii="Arial Narrow" w:hAnsi="Arial Narrow"/>
                <w:i/>
                <w:iCs/>
                <w:sz w:val="16"/>
                <w:szCs w:val="16"/>
              </w:rPr>
              <w:t>-0,6</w:t>
            </w:r>
          </w:p>
        </w:tc>
        <w:tc>
          <w:tcPr>
            <w:tcW w:w="916" w:type="dxa"/>
            <w:shd w:val="clear" w:color="auto" w:fill="auto"/>
            <w:vAlign w:val="center"/>
            <w:hideMark/>
          </w:tcPr>
          <w:p w:rsidR="00A83D2D" w:rsidRDefault="00A83D2D" w:rsidP="00A83D2D">
            <w:pPr>
              <w:ind w:right="170"/>
              <w:jc w:val="right"/>
              <w:rPr>
                <w:rFonts w:ascii="Arial Narrow" w:hAnsi="Arial Narrow"/>
                <w:i/>
                <w:iCs/>
                <w:sz w:val="16"/>
                <w:szCs w:val="16"/>
              </w:rPr>
            </w:pPr>
            <w:r>
              <w:rPr>
                <w:rFonts w:ascii="Arial Narrow" w:hAnsi="Arial Narrow"/>
                <w:i/>
                <w:iCs/>
                <w:sz w:val="16"/>
                <w:szCs w:val="16"/>
              </w:rPr>
              <w:t>0,6</w:t>
            </w:r>
          </w:p>
        </w:tc>
      </w:tr>
      <w:tr w:rsidR="00A83D2D" w:rsidRPr="007E66A1" w:rsidTr="00A83D2D">
        <w:trPr>
          <w:trHeight w:val="283"/>
        </w:trPr>
        <w:tc>
          <w:tcPr>
            <w:tcW w:w="280" w:type="dxa"/>
            <w:shd w:val="clear" w:color="auto" w:fill="auto"/>
            <w:hideMark/>
          </w:tcPr>
          <w:p w:rsidR="00A83D2D" w:rsidRPr="007E66A1" w:rsidRDefault="00A83D2D" w:rsidP="002B25D3">
            <w:pPr>
              <w:jc w:val="right"/>
              <w:rPr>
                <w:rFonts w:ascii="Arial Narrow" w:hAnsi="Arial Narrow"/>
                <w:b/>
                <w:bCs/>
                <w:sz w:val="16"/>
                <w:szCs w:val="16"/>
              </w:rPr>
            </w:pPr>
            <w:r w:rsidRPr="007E66A1">
              <w:rPr>
                <w:rFonts w:ascii="Arial Narrow" w:hAnsi="Arial Narrow"/>
                <w:b/>
                <w:bCs/>
                <w:sz w:val="16"/>
                <w:szCs w:val="16"/>
              </w:rPr>
              <w:t>6.</w:t>
            </w:r>
          </w:p>
        </w:tc>
        <w:tc>
          <w:tcPr>
            <w:tcW w:w="5746" w:type="dxa"/>
            <w:shd w:val="clear" w:color="auto" w:fill="auto"/>
            <w:vAlign w:val="center"/>
            <w:hideMark/>
          </w:tcPr>
          <w:p w:rsidR="00A83D2D" w:rsidRPr="007E66A1" w:rsidRDefault="00A83D2D" w:rsidP="002B25D3">
            <w:pPr>
              <w:rPr>
                <w:rFonts w:ascii="Arial Narrow" w:hAnsi="Arial Narrow"/>
                <w:sz w:val="16"/>
                <w:szCs w:val="16"/>
              </w:rPr>
            </w:pPr>
            <w:r w:rsidRPr="007E66A1">
              <w:rPr>
                <w:rFonts w:ascii="Arial Narrow" w:hAnsi="Arial Narrow"/>
                <w:sz w:val="16"/>
                <w:szCs w:val="16"/>
              </w:rPr>
              <w:t>Ενοποιημένοι τόκοι Γενικής Κυβέρνησης</w:t>
            </w:r>
          </w:p>
        </w:tc>
        <w:tc>
          <w:tcPr>
            <w:tcW w:w="992" w:type="dxa"/>
            <w:shd w:val="clear" w:color="auto" w:fill="auto"/>
            <w:vAlign w:val="center"/>
            <w:hideMark/>
          </w:tcPr>
          <w:p w:rsidR="00A83D2D" w:rsidRDefault="00A83D2D" w:rsidP="00A83D2D">
            <w:pPr>
              <w:ind w:right="170"/>
              <w:jc w:val="right"/>
              <w:rPr>
                <w:rFonts w:ascii="Arial Narrow" w:hAnsi="Arial Narrow"/>
                <w:sz w:val="16"/>
                <w:szCs w:val="16"/>
              </w:rPr>
            </w:pPr>
            <w:r>
              <w:rPr>
                <w:rFonts w:ascii="Arial Narrow" w:hAnsi="Arial Narrow"/>
                <w:sz w:val="16"/>
                <w:szCs w:val="16"/>
              </w:rPr>
              <w:t>5.651</w:t>
            </w:r>
          </w:p>
        </w:tc>
        <w:tc>
          <w:tcPr>
            <w:tcW w:w="1068" w:type="dxa"/>
            <w:shd w:val="clear" w:color="auto" w:fill="auto"/>
            <w:vAlign w:val="center"/>
            <w:hideMark/>
          </w:tcPr>
          <w:p w:rsidR="00A83D2D" w:rsidRDefault="00A83D2D" w:rsidP="00A83D2D">
            <w:pPr>
              <w:ind w:right="170"/>
              <w:jc w:val="right"/>
              <w:rPr>
                <w:rFonts w:ascii="Arial Narrow" w:hAnsi="Arial Narrow"/>
                <w:sz w:val="16"/>
                <w:szCs w:val="16"/>
              </w:rPr>
            </w:pPr>
            <w:r>
              <w:rPr>
                <w:rFonts w:ascii="Arial Narrow" w:hAnsi="Arial Narrow"/>
                <w:sz w:val="16"/>
                <w:szCs w:val="16"/>
              </w:rPr>
              <w:t>5.768</w:t>
            </w:r>
          </w:p>
        </w:tc>
        <w:tc>
          <w:tcPr>
            <w:tcW w:w="916" w:type="dxa"/>
            <w:shd w:val="clear" w:color="auto" w:fill="auto"/>
            <w:vAlign w:val="center"/>
            <w:hideMark/>
          </w:tcPr>
          <w:p w:rsidR="00A83D2D" w:rsidRDefault="00A83D2D" w:rsidP="00A83D2D">
            <w:pPr>
              <w:ind w:right="170"/>
              <w:jc w:val="right"/>
              <w:rPr>
                <w:rFonts w:ascii="Arial Narrow" w:hAnsi="Arial Narrow"/>
                <w:sz w:val="16"/>
                <w:szCs w:val="16"/>
              </w:rPr>
            </w:pPr>
            <w:r>
              <w:rPr>
                <w:rFonts w:ascii="Arial Narrow" w:hAnsi="Arial Narrow"/>
                <w:sz w:val="16"/>
                <w:szCs w:val="16"/>
              </w:rPr>
              <w:t>6.590</w:t>
            </w:r>
          </w:p>
        </w:tc>
      </w:tr>
      <w:tr w:rsidR="00A83D2D" w:rsidRPr="007E66A1" w:rsidTr="00A83D2D">
        <w:trPr>
          <w:trHeight w:val="283"/>
        </w:trPr>
        <w:tc>
          <w:tcPr>
            <w:tcW w:w="280" w:type="dxa"/>
            <w:shd w:val="clear" w:color="auto" w:fill="auto"/>
            <w:hideMark/>
          </w:tcPr>
          <w:p w:rsidR="00A83D2D" w:rsidRPr="007E66A1" w:rsidRDefault="00A83D2D" w:rsidP="002B25D3">
            <w:pPr>
              <w:jc w:val="right"/>
              <w:rPr>
                <w:rFonts w:ascii="Arial Narrow" w:hAnsi="Arial Narrow"/>
                <w:b/>
                <w:bCs/>
                <w:sz w:val="16"/>
                <w:szCs w:val="16"/>
              </w:rPr>
            </w:pPr>
          </w:p>
        </w:tc>
        <w:tc>
          <w:tcPr>
            <w:tcW w:w="5746" w:type="dxa"/>
            <w:shd w:val="clear" w:color="auto" w:fill="auto"/>
            <w:vAlign w:val="center"/>
            <w:hideMark/>
          </w:tcPr>
          <w:p w:rsidR="00A83D2D" w:rsidRPr="007E66A1" w:rsidRDefault="00A83D2D" w:rsidP="002B25D3">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A83D2D" w:rsidRDefault="00A83D2D" w:rsidP="00A83D2D">
            <w:pPr>
              <w:ind w:right="170"/>
              <w:jc w:val="right"/>
              <w:rPr>
                <w:rFonts w:ascii="Arial Narrow" w:hAnsi="Arial Narrow"/>
                <w:i/>
                <w:iCs/>
                <w:sz w:val="16"/>
                <w:szCs w:val="16"/>
              </w:rPr>
            </w:pPr>
            <w:r>
              <w:rPr>
                <w:rFonts w:ascii="Arial Narrow" w:hAnsi="Arial Narrow"/>
                <w:i/>
                <w:iCs/>
                <w:sz w:val="16"/>
                <w:szCs w:val="16"/>
              </w:rPr>
              <w:t>3,2</w:t>
            </w:r>
          </w:p>
        </w:tc>
        <w:tc>
          <w:tcPr>
            <w:tcW w:w="1068" w:type="dxa"/>
            <w:shd w:val="clear" w:color="auto" w:fill="auto"/>
            <w:vAlign w:val="center"/>
            <w:hideMark/>
          </w:tcPr>
          <w:p w:rsidR="00A83D2D" w:rsidRDefault="00A83D2D" w:rsidP="00A83D2D">
            <w:pPr>
              <w:ind w:right="170"/>
              <w:jc w:val="right"/>
              <w:rPr>
                <w:rFonts w:ascii="Arial Narrow" w:hAnsi="Arial Narrow"/>
                <w:i/>
                <w:iCs/>
                <w:sz w:val="16"/>
                <w:szCs w:val="16"/>
              </w:rPr>
            </w:pPr>
            <w:r>
              <w:rPr>
                <w:rFonts w:ascii="Arial Narrow" w:hAnsi="Arial Narrow"/>
                <w:i/>
                <w:iCs/>
                <w:sz w:val="16"/>
                <w:szCs w:val="16"/>
              </w:rPr>
              <w:t>3,2</w:t>
            </w:r>
          </w:p>
        </w:tc>
        <w:tc>
          <w:tcPr>
            <w:tcW w:w="916" w:type="dxa"/>
            <w:shd w:val="clear" w:color="auto" w:fill="auto"/>
            <w:vAlign w:val="center"/>
            <w:hideMark/>
          </w:tcPr>
          <w:p w:rsidR="00A83D2D" w:rsidRDefault="00A83D2D" w:rsidP="00A83D2D">
            <w:pPr>
              <w:ind w:right="170"/>
              <w:jc w:val="right"/>
              <w:rPr>
                <w:rFonts w:ascii="Arial Narrow" w:hAnsi="Arial Narrow"/>
                <w:i/>
                <w:iCs/>
                <w:sz w:val="16"/>
                <w:szCs w:val="16"/>
              </w:rPr>
            </w:pPr>
            <w:r>
              <w:rPr>
                <w:rFonts w:ascii="Arial Narrow" w:hAnsi="Arial Narrow"/>
                <w:i/>
                <w:iCs/>
                <w:sz w:val="16"/>
                <w:szCs w:val="16"/>
              </w:rPr>
              <w:t>3,6</w:t>
            </w:r>
          </w:p>
        </w:tc>
      </w:tr>
      <w:tr w:rsidR="00A83D2D" w:rsidRPr="007E66A1" w:rsidTr="00A83D2D">
        <w:trPr>
          <w:trHeight w:val="283"/>
        </w:trPr>
        <w:tc>
          <w:tcPr>
            <w:tcW w:w="280" w:type="dxa"/>
            <w:shd w:val="clear" w:color="auto" w:fill="A6A6A6" w:themeFill="background1" w:themeFillShade="A6"/>
            <w:hideMark/>
          </w:tcPr>
          <w:p w:rsidR="00A83D2D" w:rsidRPr="007E66A1" w:rsidRDefault="00A83D2D" w:rsidP="002B25D3">
            <w:pPr>
              <w:spacing w:before="60" w:after="60"/>
              <w:jc w:val="right"/>
              <w:rPr>
                <w:rFonts w:ascii="Arial Narrow" w:hAnsi="Arial Narrow"/>
                <w:b/>
                <w:bCs/>
                <w:sz w:val="16"/>
                <w:szCs w:val="16"/>
              </w:rPr>
            </w:pPr>
            <w:r w:rsidRPr="007E66A1">
              <w:rPr>
                <w:rFonts w:ascii="Arial Narrow" w:hAnsi="Arial Narrow"/>
                <w:b/>
                <w:bCs/>
                <w:sz w:val="16"/>
                <w:szCs w:val="16"/>
              </w:rPr>
              <w:t>7.</w:t>
            </w:r>
          </w:p>
        </w:tc>
        <w:tc>
          <w:tcPr>
            <w:tcW w:w="5746" w:type="dxa"/>
            <w:shd w:val="clear" w:color="auto" w:fill="A6A6A6" w:themeFill="background1" w:themeFillShade="A6"/>
            <w:vAlign w:val="center"/>
            <w:hideMark/>
          </w:tcPr>
          <w:p w:rsidR="00A83D2D" w:rsidRPr="007E66A1" w:rsidRDefault="00A83D2D" w:rsidP="002B25D3">
            <w:pPr>
              <w:spacing w:before="60" w:after="60"/>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sidRPr="007E66A1">
              <w:rPr>
                <w:rFonts w:ascii="Arial Narrow" w:hAnsi="Arial Narrow"/>
                <w:b/>
                <w:bCs/>
                <w:sz w:val="16"/>
                <w:szCs w:val="16"/>
                <w:lang w:val="en-US"/>
              </w:rPr>
              <w:t>ESA</w:t>
            </w:r>
            <w:r w:rsidRPr="007E66A1">
              <w:rPr>
                <w:rFonts w:ascii="Arial Narrow" w:hAnsi="Arial Narrow"/>
                <w:b/>
                <w:bCs/>
                <w:sz w:val="16"/>
                <w:szCs w:val="16"/>
              </w:rPr>
              <w:t xml:space="preserve"> (5+6)</w:t>
            </w:r>
          </w:p>
        </w:tc>
        <w:tc>
          <w:tcPr>
            <w:tcW w:w="992" w:type="dxa"/>
            <w:shd w:val="clear" w:color="auto" w:fill="A6A6A6" w:themeFill="background1" w:themeFillShade="A6"/>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6.441</w:t>
            </w:r>
          </w:p>
        </w:tc>
        <w:tc>
          <w:tcPr>
            <w:tcW w:w="1068" w:type="dxa"/>
            <w:shd w:val="clear" w:color="auto" w:fill="A6A6A6" w:themeFill="background1" w:themeFillShade="A6"/>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4.683</w:t>
            </w:r>
          </w:p>
        </w:tc>
        <w:tc>
          <w:tcPr>
            <w:tcW w:w="916" w:type="dxa"/>
            <w:shd w:val="clear" w:color="auto" w:fill="A6A6A6" w:themeFill="background1" w:themeFillShade="A6"/>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7.716</w:t>
            </w:r>
          </w:p>
        </w:tc>
      </w:tr>
      <w:tr w:rsidR="00A83D2D" w:rsidRPr="007E66A1" w:rsidTr="00A83D2D">
        <w:trPr>
          <w:trHeight w:val="283"/>
        </w:trPr>
        <w:tc>
          <w:tcPr>
            <w:tcW w:w="280" w:type="dxa"/>
            <w:shd w:val="clear" w:color="auto" w:fill="auto"/>
            <w:hideMark/>
          </w:tcPr>
          <w:p w:rsidR="00A83D2D" w:rsidRPr="007E66A1" w:rsidRDefault="00A83D2D" w:rsidP="002B25D3">
            <w:pPr>
              <w:jc w:val="right"/>
              <w:rPr>
                <w:rFonts w:ascii="Arial Narrow" w:hAnsi="Arial Narrow"/>
                <w:b/>
                <w:bCs/>
                <w:sz w:val="16"/>
                <w:szCs w:val="16"/>
              </w:rPr>
            </w:pPr>
          </w:p>
        </w:tc>
        <w:tc>
          <w:tcPr>
            <w:tcW w:w="5746" w:type="dxa"/>
            <w:shd w:val="clear" w:color="auto" w:fill="auto"/>
            <w:vAlign w:val="center"/>
            <w:hideMark/>
          </w:tcPr>
          <w:p w:rsidR="00A83D2D" w:rsidRPr="007E66A1" w:rsidRDefault="00A83D2D" w:rsidP="002B25D3">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A83D2D" w:rsidRDefault="00A83D2D" w:rsidP="00A83D2D">
            <w:pPr>
              <w:ind w:right="170"/>
              <w:jc w:val="right"/>
              <w:rPr>
                <w:rFonts w:ascii="Arial Narrow" w:hAnsi="Arial Narrow"/>
                <w:i/>
                <w:iCs/>
                <w:sz w:val="16"/>
                <w:szCs w:val="16"/>
              </w:rPr>
            </w:pPr>
            <w:r>
              <w:rPr>
                <w:rFonts w:ascii="Arial Narrow" w:hAnsi="Arial Narrow"/>
                <w:i/>
                <w:iCs/>
                <w:sz w:val="16"/>
                <w:szCs w:val="16"/>
              </w:rPr>
              <w:t>3,7</w:t>
            </w:r>
          </w:p>
        </w:tc>
        <w:tc>
          <w:tcPr>
            <w:tcW w:w="1068" w:type="dxa"/>
            <w:shd w:val="clear" w:color="auto" w:fill="auto"/>
            <w:vAlign w:val="center"/>
            <w:hideMark/>
          </w:tcPr>
          <w:p w:rsidR="00A83D2D" w:rsidRDefault="00A83D2D" w:rsidP="00A83D2D">
            <w:pPr>
              <w:ind w:right="170"/>
              <w:jc w:val="right"/>
              <w:rPr>
                <w:rFonts w:ascii="Arial Narrow" w:hAnsi="Arial Narrow"/>
                <w:i/>
                <w:iCs/>
                <w:sz w:val="16"/>
                <w:szCs w:val="16"/>
              </w:rPr>
            </w:pPr>
            <w:r>
              <w:rPr>
                <w:rFonts w:ascii="Arial Narrow" w:hAnsi="Arial Narrow"/>
                <w:i/>
                <w:iCs/>
                <w:sz w:val="16"/>
                <w:szCs w:val="16"/>
              </w:rPr>
              <w:t>2,6</w:t>
            </w:r>
          </w:p>
        </w:tc>
        <w:tc>
          <w:tcPr>
            <w:tcW w:w="916" w:type="dxa"/>
            <w:shd w:val="clear" w:color="auto" w:fill="auto"/>
            <w:vAlign w:val="center"/>
            <w:hideMark/>
          </w:tcPr>
          <w:p w:rsidR="00A83D2D" w:rsidRDefault="00A83D2D" w:rsidP="00A83D2D">
            <w:pPr>
              <w:ind w:right="170"/>
              <w:jc w:val="right"/>
              <w:rPr>
                <w:rFonts w:ascii="Arial Narrow" w:hAnsi="Arial Narrow"/>
                <w:i/>
                <w:iCs/>
                <w:sz w:val="16"/>
                <w:szCs w:val="16"/>
              </w:rPr>
            </w:pPr>
            <w:r>
              <w:rPr>
                <w:rFonts w:ascii="Arial Narrow" w:hAnsi="Arial Narrow"/>
                <w:i/>
                <w:iCs/>
                <w:sz w:val="16"/>
                <w:szCs w:val="16"/>
              </w:rPr>
              <w:t>4,2</w:t>
            </w:r>
          </w:p>
        </w:tc>
      </w:tr>
      <w:tr w:rsidR="00A83D2D" w:rsidRPr="007E66A1" w:rsidTr="00A83D2D">
        <w:trPr>
          <w:trHeight w:val="283"/>
        </w:trPr>
        <w:tc>
          <w:tcPr>
            <w:tcW w:w="280" w:type="dxa"/>
            <w:shd w:val="clear" w:color="auto" w:fill="A6A6A6" w:themeFill="background1" w:themeFillShade="A6"/>
            <w:hideMark/>
          </w:tcPr>
          <w:p w:rsidR="00A83D2D" w:rsidRPr="007E66A1" w:rsidRDefault="00A83D2D" w:rsidP="002B25D3">
            <w:pPr>
              <w:jc w:val="right"/>
              <w:rPr>
                <w:rFonts w:ascii="Arial Narrow" w:hAnsi="Arial Narrow"/>
                <w:b/>
                <w:bCs/>
                <w:sz w:val="16"/>
                <w:szCs w:val="16"/>
              </w:rPr>
            </w:pPr>
            <w:r w:rsidRPr="007E66A1">
              <w:rPr>
                <w:rFonts w:ascii="Arial Narrow" w:hAnsi="Arial Narrow"/>
                <w:b/>
                <w:bCs/>
                <w:sz w:val="16"/>
                <w:szCs w:val="16"/>
              </w:rPr>
              <w:t>8.</w:t>
            </w:r>
          </w:p>
        </w:tc>
        <w:tc>
          <w:tcPr>
            <w:tcW w:w="5746" w:type="dxa"/>
            <w:shd w:val="clear" w:color="auto" w:fill="A6A6A6" w:themeFill="background1" w:themeFillShade="A6"/>
            <w:vAlign w:val="center"/>
            <w:hideMark/>
          </w:tcPr>
          <w:p w:rsidR="00A83D2D" w:rsidRPr="007E66A1" w:rsidRDefault="00A83D2D" w:rsidP="002B25D3">
            <w:pPr>
              <w:rPr>
                <w:rFonts w:ascii="Arial Narrow" w:hAnsi="Arial Narrow"/>
                <w:b/>
                <w:bCs/>
                <w:sz w:val="16"/>
                <w:szCs w:val="16"/>
              </w:rPr>
            </w:pPr>
            <w:r w:rsidRPr="007E66A1">
              <w:rPr>
                <w:rFonts w:ascii="Arial Narrow" w:hAnsi="Arial Narrow"/>
                <w:b/>
                <w:bCs/>
                <w:sz w:val="16"/>
                <w:szCs w:val="16"/>
              </w:rPr>
              <w:t xml:space="preserve">Πρωτογενές αποτέλεσμα Γενικής Κυβέρνησης σύμφωνα με τη μεθοδολογία </w:t>
            </w:r>
            <w:r>
              <w:rPr>
                <w:rFonts w:ascii="Arial Narrow" w:hAnsi="Arial Narrow"/>
                <w:b/>
                <w:bCs/>
                <w:sz w:val="16"/>
                <w:szCs w:val="16"/>
              </w:rPr>
              <w:t>της Σύμβασης</w:t>
            </w:r>
            <w:r w:rsidRPr="007E66A1">
              <w:rPr>
                <w:rFonts w:ascii="Arial Narrow" w:hAnsi="Arial Narrow"/>
                <w:b/>
                <w:bCs/>
                <w:sz w:val="16"/>
                <w:szCs w:val="16"/>
              </w:rPr>
              <w:t xml:space="preserve"> </w:t>
            </w:r>
            <w:r>
              <w:rPr>
                <w:rFonts w:ascii="Arial Narrow" w:hAnsi="Arial Narrow"/>
                <w:b/>
                <w:bCs/>
                <w:sz w:val="16"/>
                <w:szCs w:val="16"/>
              </w:rPr>
              <w:t>Χρηματοδοτικής Διευκόλυνσης</w:t>
            </w:r>
          </w:p>
        </w:tc>
        <w:tc>
          <w:tcPr>
            <w:tcW w:w="992" w:type="dxa"/>
            <w:shd w:val="clear" w:color="auto" w:fill="A6A6A6" w:themeFill="background1" w:themeFillShade="A6"/>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6.560</w:t>
            </w:r>
          </w:p>
        </w:tc>
        <w:tc>
          <w:tcPr>
            <w:tcW w:w="1068" w:type="dxa"/>
            <w:shd w:val="clear" w:color="auto" w:fill="A6A6A6" w:themeFill="background1" w:themeFillShade="A6"/>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4.360</w:t>
            </w:r>
          </w:p>
        </w:tc>
        <w:tc>
          <w:tcPr>
            <w:tcW w:w="916" w:type="dxa"/>
            <w:shd w:val="clear" w:color="auto" w:fill="A6A6A6" w:themeFill="background1" w:themeFillShade="A6"/>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7.051</w:t>
            </w:r>
          </w:p>
        </w:tc>
      </w:tr>
      <w:tr w:rsidR="00A83D2D" w:rsidRPr="007E66A1" w:rsidTr="00A83D2D">
        <w:trPr>
          <w:trHeight w:val="283"/>
        </w:trPr>
        <w:tc>
          <w:tcPr>
            <w:tcW w:w="280" w:type="dxa"/>
            <w:shd w:val="clear" w:color="auto" w:fill="auto"/>
            <w:hideMark/>
          </w:tcPr>
          <w:p w:rsidR="00A83D2D" w:rsidRPr="007E66A1" w:rsidRDefault="00A83D2D" w:rsidP="002B25D3">
            <w:pPr>
              <w:jc w:val="right"/>
              <w:rPr>
                <w:rFonts w:ascii="Arial Narrow" w:hAnsi="Arial Narrow"/>
                <w:b/>
                <w:bCs/>
                <w:sz w:val="16"/>
                <w:szCs w:val="16"/>
              </w:rPr>
            </w:pPr>
          </w:p>
        </w:tc>
        <w:tc>
          <w:tcPr>
            <w:tcW w:w="5746" w:type="dxa"/>
            <w:shd w:val="clear" w:color="auto" w:fill="auto"/>
            <w:vAlign w:val="center"/>
            <w:hideMark/>
          </w:tcPr>
          <w:p w:rsidR="00A83D2D" w:rsidRPr="007E66A1" w:rsidRDefault="00A83D2D" w:rsidP="002B25D3">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3,8</w:t>
            </w:r>
          </w:p>
        </w:tc>
        <w:tc>
          <w:tcPr>
            <w:tcW w:w="1068" w:type="dxa"/>
            <w:shd w:val="clear" w:color="auto" w:fill="auto"/>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2,4</w:t>
            </w:r>
          </w:p>
        </w:tc>
        <w:tc>
          <w:tcPr>
            <w:tcW w:w="916" w:type="dxa"/>
            <w:shd w:val="clear" w:color="auto" w:fill="auto"/>
            <w:vAlign w:val="center"/>
            <w:hideMark/>
          </w:tcPr>
          <w:p w:rsidR="00A83D2D" w:rsidRDefault="00A83D2D" w:rsidP="00A83D2D">
            <w:pPr>
              <w:ind w:right="170"/>
              <w:jc w:val="right"/>
              <w:rPr>
                <w:rFonts w:ascii="Arial Narrow" w:hAnsi="Arial Narrow"/>
                <w:b/>
                <w:bCs/>
                <w:sz w:val="16"/>
                <w:szCs w:val="16"/>
              </w:rPr>
            </w:pPr>
            <w:r>
              <w:rPr>
                <w:rFonts w:ascii="Arial Narrow" w:hAnsi="Arial Narrow"/>
                <w:b/>
                <w:bCs/>
                <w:sz w:val="16"/>
                <w:szCs w:val="16"/>
              </w:rPr>
              <w:t>3,8</w:t>
            </w:r>
          </w:p>
        </w:tc>
      </w:tr>
      <w:tr w:rsidR="00A83D2D" w:rsidRPr="007E66A1" w:rsidTr="00A83D2D">
        <w:trPr>
          <w:trHeight w:val="283"/>
        </w:trPr>
        <w:tc>
          <w:tcPr>
            <w:tcW w:w="280" w:type="dxa"/>
            <w:shd w:val="clear" w:color="auto" w:fill="A6A6A6" w:themeFill="background1" w:themeFillShade="A6"/>
            <w:hideMark/>
          </w:tcPr>
          <w:p w:rsidR="00A83D2D" w:rsidRPr="007E66A1" w:rsidRDefault="00A83D2D" w:rsidP="002B25D3">
            <w:pPr>
              <w:spacing w:before="60" w:after="60"/>
              <w:jc w:val="right"/>
              <w:rPr>
                <w:rFonts w:ascii="Arial Narrow" w:hAnsi="Arial Narrow"/>
                <w:b/>
                <w:bCs/>
                <w:sz w:val="16"/>
                <w:szCs w:val="16"/>
              </w:rPr>
            </w:pPr>
            <w:r w:rsidRPr="007E66A1">
              <w:rPr>
                <w:rFonts w:ascii="Arial Narrow" w:hAnsi="Arial Narrow"/>
                <w:b/>
                <w:bCs/>
                <w:sz w:val="16"/>
                <w:szCs w:val="16"/>
              </w:rPr>
              <w:t>9.</w:t>
            </w:r>
          </w:p>
        </w:tc>
        <w:tc>
          <w:tcPr>
            <w:tcW w:w="5746" w:type="dxa"/>
            <w:shd w:val="clear" w:color="auto" w:fill="A6A6A6" w:themeFill="background1" w:themeFillShade="A6"/>
            <w:vAlign w:val="center"/>
            <w:hideMark/>
          </w:tcPr>
          <w:p w:rsidR="00A83D2D" w:rsidRPr="007E66A1" w:rsidRDefault="00A83D2D" w:rsidP="002B25D3">
            <w:pPr>
              <w:spacing w:before="60" w:after="60"/>
              <w:rPr>
                <w:rFonts w:ascii="Arial Narrow" w:hAnsi="Arial Narrow"/>
                <w:b/>
                <w:bCs/>
                <w:sz w:val="16"/>
                <w:szCs w:val="16"/>
              </w:rPr>
            </w:pPr>
            <w:r w:rsidRPr="007E66A1">
              <w:rPr>
                <w:rFonts w:ascii="Arial Narrow" w:hAnsi="Arial Narrow"/>
                <w:b/>
                <w:bCs/>
                <w:sz w:val="16"/>
                <w:szCs w:val="16"/>
              </w:rPr>
              <w:t xml:space="preserve">Ενοποιημένο Χρέος Γενικής Κυβέρνησης </w:t>
            </w:r>
          </w:p>
        </w:tc>
        <w:tc>
          <w:tcPr>
            <w:tcW w:w="992" w:type="dxa"/>
            <w:shd w:val="clear" w:color="auto" w:fill="A6A6A6" w:themeFill="background1" w:themeFillShade="A6"/>
            <w:vAlign w:val="center"/>
            <w:hideMark/>
          </w:tcPr>
          <w:p w:rsidR="00A83D2D" w:rsidRDefault="009D0CE8" w:rsidP="00A83D2D">
            <w:pPr>
              <w:ind w:right="170"/>
              <w:jc w:val="right"/>
              <w:rPr>
                <w:rFonts w:ascii="Arial Narrow" w:hAnsi="Arial Narrow"/>
                <w:b/>
                <w:bCs/>
                <w:sz w:val="16"/>
                <w:szCs w:val="16"/>
              </w:rPr>
            </w:pPr>
            <w:r>
              <w:rPr>
                <w:rFonts w:ascii="Arial Narrow" w:hAnsi="Arial Narrow"/>
                <w:b/>
                <w:bCs/>
                <w:sz w:val="16"/>
                <w:szCs w:val="16"/>
              </w:rPr>
              <w:t>315.036</w:t>
            </w:r>
            <w:r w:rsidR="00A83D2D">
              <w:rPr>
                <w:rFonts w:ascii="Arial Narrow" w:hAnsi="Arial Narrow"/>
                <w:b/>
                <w:bCs/>
                <w:sz w:val="16"/>
                <w:szCs w:val="16"/>
              </w:rPr>
              <w:t> </w:t>
            </w:r>
          </w:p>
        </w:tc>
        <w:tc>
          <w:tcPr>
            <w:tcW w:w="1068" w:type="dxa"/>
            <w:shd w:val="clear" w:color="auto" w:fill="A6A6A6" w:themeFill="background1" w:themeFillShade="A6"/>
            <w:vAlign w:val="center"/>
            <w:hideMark/>
          </w:tcPr>
          <w:p w:rsidR="00A83D2D" w:rsidRDefault="009D0CE8" w:rsidP="00A83D2D">
            <w:pPr>
              <w:ind w:right="170"/>
              <w:jc w:val="right"/>
              <w:rPr>
                <w:rFonts w:ascii="Arial Narrow" w:hAnsi="Arial Narrow"/>
                <w:b/>
                <w:bCs/>
                <w:sz w:val="16"/>
                <w:szCs w:val="16"/>
              </w:rPr>
            </w:pPr>
            <w:r>
              <w:rPr>
                <w:rFonts w:ascii="Arial Narrow" w:hAnsi="Arial Narrow"/>
                <w:b/>
                <w:bCs/>
                <w:sz w:val="16"/>
                <w:szCs w:val="16"/>
              </w:rPr>
              <w:t>318.300</w:t>
            </w:r>
          </w:p>
        </w:tc>
        <w:tc>
          <w:tcPr>
            <w:tcW w:w="916" w:type="dxa"/>
            <w:shd w:val="clear" w:color="auto" w:fill="A6A6A6" w:themeFill="background1" w:themeFillShade="A6"/>
            <w:vAlign w:val="center"/>
            <w:hideMark/>
          </w:tcPr>
          <w:p w:rsidR="00A83D2D" w:rsidRDefault="009D0CE8" w:rsidP="00A83D2D">
            <w:pPr>
              <w:ind w:right="170"/>
              <w:jc w:val="right"/>
              <w:rPr>
                <w:rFonts w:ascii="Arial Narrow" w:hAnsi="Arial Narrow"/>
                <w:b/>
                <w:bCs/>
                <w:sz w:val="16"/>
                <w:szCs w:val="16"/>
              </w:rPr>
            </w:pPr>
            <w:r>
              <w:rPr>
                <w:rFonts w:ascii="Arial Narrow" w:hAnsi="Arial Narrow"/>
                <w:b/>
                <w:bCs/>
                <w:sz w:val="16"/>
                <w:szCs w:val="16"/>
              </w:rPr>
              <w:t>332.000</w:t>
            </w:r>
          </w:p>
        </w:tc>
      </w:tr>
      <w:tr w:rsidR="00A83D2D" w:rsidRPr="007E66A1" w:rsidTr="00A83D2D">
        <w:trPr>
          <w:trHeight w:val="283"/>
        </w:trPr>
        <w:tc>
          <w:tcPr>
            <w:tcW w:w="280" w:type="dxa"/>
            <w:shd w:val="clear" w:color="auto" w:fill="auto"/>
            <w:vAlign w:val="center"/>
            <w:hideMark/>
          </w:tcPr>
          <w:p w:rsidR="00A83D2D" w:rsidRPr="007E66A1" w:rsidRDefault="00A83D2D" w:rsidP="002B25D3">
            <w:pPr>
              <w:jc w:val="right"/>
              <w:rPr>
                <w:rFonts w:ascii="Arial Narrow" w:hAnsi="Arial Narrow"/>
                <w:b/>
                <w:bCs/>
                <w:sz w:val="16"/>
                <w:szCs w:val="16"/>
              </w:rPr>
            </w:pPr>
          </w:p>
        </w:tc>
        <w:tc>
          <w:tcPr>
            <w:tcW w:w="5746" w:type="dxa"/>
            <w:shd w:val="clear" w:color="auto" w:fill="auto"/>
            <w:vAlign w:val="center"/>
            <w:hideMark/>
          </w:tcPr>
          <w:p w:rsidR="00A83D2D" w:rsidRPr="007E66A1" w:rsidRDefault="00A83D2D" w:rsidP="002B25D3">
            <w:pPr>
              <w:rPr>
                <w:rFonts w:ascii="Arial Narrow" w:hAnsi="Arial Narrow"/>
                <w:i/>
                <w:iCs/>
                <w:sz w:val="16"/>
                <w:szCs w:val="16"/>
              </w:rPr>
            </w:pPr>
            <w:r w:rsidRPr="007E66A1">
              <w:rPr>
                <w:rFonts w:ascii="Arial Narrow" w:hAnsi="Arial Narrow"/>
                <w:i/>
                <w:iCs/>
                <w:sz w:val="16"/>
                <w:szCs w:val="16"/>
              </w:rPr>
              <w:t>% του ΑΕΠ</w:t>
            </w:r>
          </w:p>
        </w:tc>
        <w:tc>
          <w:tcPr>
            <w:tcW w:w="992" w:type="dxa"/>
            <w:shd w:val="clear" w:color="auto" w:fill="auto"/>
            <w:vAlign w:val="center"/>
            <w:hideMark/>
          </w:tcPr>
          <w:p w:rsidR="00A83D2D" w:rsidRDefault="009D0CE8" w:rsidP="00A83D2D">
            <w:pPr>
              <w:ind w:right="170"/>
              <w:jc w:val="right"/>
              <w:rPr>
                <w:rFonts w:ascii="Arial Narrow" w:hAnsi="Arial Narrow"/>
                <w:b/>
                <w:bCs/>
                <w:sz w:val="16"/>
                <w:szCs w:val="16"/>
              </w:rPr>
            </w:pPr>
            <w:r>
              <w:rPr>
                <w:rFonts w:ascii="Arial Narrow" w:hAnsi="Arial Narrow"/>
                <w:b/>
                <w:bCs/>
                <w:sz w:val="16"/>
                <w:szCs w:val="16"/>
              </w:rPr>
              <w:t>180,8</w:t>
            </w:r>
          </w:p>
        </w:tc>
        <w:tc>
          <w:tcPr>
            <w:tcW w:w="1068" w:type="dxa"/>
            <w:shd w:val="clear" w:color="auto" w:fill="auto"/>
            <w:vAlign w:val="center"/>
            <w:hideMark/>
          </w:tcPr>
          <w:p w:rsidR="00A83D2D" w:rsidRDefault="009D0CE8" w:rsidP="00A83D2D">
            <w:pPr>
              <w:ind w:right="170"/>
              <w:jc w:val="right"/>
              <w:rPr>
                <w:rFonts w:ascii="Arial Narrow" w:hAnsi="Arial Narrow"/>
                <w:b/>
                <w:bCs/>
                <w:sz w:val="16"/>
                <w:szCs w:val="16"/>
              </w:rPr>
            </w:pPr>
            <w:r>
              <w:rPr>
                <w:rFonts w:ascii="Arial Narrow" w:hAnsi="Arial Narrow"/>
                <w:b/>
                <w:bCs/>
                <w:sz w:val="16"/>
                <w:szCs w:val="16"/>
              </w:rPr>
              <w:t>178,2</w:t>
            </w:r>
          </w:p>
        </w:tc>
        <w:tc>
          <w:tcPr>
            <w:tcW w:w="916" w:type="dxa"/>
            <w:shd w:val="clear" w:color="auto" w:fill="auto"/>
            <w:vAlign w:val="center"/>
            <w:hideMark/>
          </w:tcPr>
          <w:p w:rsidR="00A83D2D" w:rsidRDefault="009D0CE8" w:rsidP="00A83D2D">
            <w:pPr>
              <w:ind w:right="170"/>
              <w:jc w:val="right"/>
              <w:rPr>
                <w:rFonts w:ascii="Arial Narrow" w:hAnsi="Arial Narrow"/>
                <w:b/>
                <w:bCs/>
                <w:sz w:val="16"/>
                <w:szCs w:val="16"/>
              </w:rPr>
            </w:pPr>
            <w:r>
              <w:rPr>
                <w:rFonts w:ascii="Arial Narrow" w:hAnsi="Arial Narrow"/>
                <w:b/>
                <w:bCs/>
                <w:sz w:val="16"/>
                <w:szCs w:val="16"/>
              </w:rPr>
              <w:t>179,8</w:t>
            </w:r>
          </w:p>
        </w:tc>
      </w:tr>
      <w:tr w:rsidR="00A83D2D" w:rsidRPr="007E66A1" w:rsidTr="00A83D2D">
        <w:trPr>
          <w:trHeight w:val="283"/>
        </w:trPr>
        <w:tc>
          <w:tcPr>
            <w:tcW w:w="280" w:type="dxa"/>
            <w:shd w:val="clear" w:color="auto" w:fill="A6A6A6" w:themeFill="background1" w:themeFillShade="A6"/>
            <w:vAlign w:val="center"/>
            <w:hideMark/>
          </w:tcPr>
          <w:p w:rsidR="00A83D2D" w:rsidRPr="007E66A1" w:rsidRDefault="00A83D2D" w:rsidP="002B25D3">
            <w:pPr>
              <w:spacing w:before="60" w:after="60"/>
              <w:jc w:val="right"/>
              <w:rPr>
                <w:rFonts w:ascii="Arial Narrow" w:hAnsi="Arial Narrow"/>
                <w:b/>
                <w:bCs/>
                <w:sz w:val="16"/>
                <w:szCs w:val="16"/>
              </w:rPr>
            </w:pPr>
          </w:p>
        </w:tc>
        <w:tc>
          <w:tcPr>
            <w:tcW w:w="5746" w:type="dxa"/>
            <w:shd w:val="clear" w:color="auto" w:fill="A6A6A6" w:themeFill="background1" w:themeFillShade="A6"/>
            <w:vAlign w:val="center"/>
            <w:hideMark/>
          </w:tcPr>
          <w:p w:rsidR="00A83D2D" w:rsidRPr="007E66A1" w:rsidRDefault="00A83D2D" w:rsidP="002B25D3">
            <w:pPr>
              <w:spacing w:before="60" w:after="60"/>
              <w:rPr>
                <w:rFonts w:ascii="Arial Narrow" w:hAnsi="Arial Narrow"/>
                <w:b/>
                <w:bCs/>
                <w:sz w:val="16"/>
                <w:szCs w:val="16"/>
              </w:rPr>
            </w:pPr>
            <w:r w:rsidRPr="007E66A1">
              <w:rPr>
                <w:rFonts w:ascii="Arial Narrow" w:hAnsi="Arial Narrow"/>
                <w:b/>
                <w:bCs/>
                <w:sz w:val="16"/>
                <w:szCs w:val="16"/>
              </w:rPr>
              <w:t>ΑΕΠ</w:t>
            </w:r>
          </w:p>
        </w:tc>
        <w:tc>
          <w:tcPr>
            <w:tcW w:w="992" w:type="dxa"/>
            <w:shd w:val="clear" w:color="auto" w:fill="A6A6A6" w:themeFill="background1" w:themeFillShade="A6"/>
            <w:vAlign w:val="center"/>
            <w:hideMark/>
          </w:tcPr>
          <w:p w:rsidR="00A83D2D" w:rsidRDefault="00A83D2D" w:rsidP="00A83D2D">
            <w:pPr>
              <w:ind w:right="170"/>
              <w:jc w:val="right"/>
              <w:rPr>
                <w:rFonts w:ascii="Arial Narrow" w:hAnsi="Arial Narrow"/>
                <w:b/>
                <w:bCs/>
                <w:color w:val="000000"/>
                <w:sz w:val="16"/>
                <w:szCs w:val="16"/>
              </w:rPr>
            </w:pPr>
            <w:r>
              <w:rPr>
                <w:rFonts w:ascii="Arial Narrow" w:hAnsi="Arial Narrow"/>
                <w:b/>
                <w:bCs/>
                <w:color w:val="000000"/>
                <w:sz w:val="16"/>
                <w:szCs w:val="16"/>
              </w:rPr>
              <w:t>174.199</w:t>
            </w:r>
          </w:p>
        </w:tc>
        <w:tc>
          <w:tcPr>
            <w:tcW w:w="1068" w:type="dxa"/>
            <w:shd w:val="clear" w:color="auto" w:fill="A6A6A6" w:themeFill="background1" w:themeFillShade="A6"/>
            <w:vAlign w:val="center"/>
            <w:hideMark/>
          </w:tcPr>
          <w:p w:rsidR="00A83D2D" w:rsidRDefault="00A83D2D" w:rsidP="00A83D2D">
            <w:pPr>
              <w:ind w:right="170"/>
              <w:jc w:val="right"/>
              <w:rPr>
                <w:rFonts w:ascii="Arial Narrow" w:hAnsi="Arial Narrow"/>
                <w:b/>
                <w:bCs/>
                <w:color w:val="000000"/>
                <w:sz w:val="16"/>
                <w:szCs w:val="16"/>
              </w:rPr>
            </w:pPr>
            <w:r>
              <w:rPr>
                <w:rFonts w:ascii="Arial Narrow" w:hAnsi="Arial Narrow"/>
                <w:b/>
                <w:bCs/>
                <w:color w:val="000000"/>
                <w:sz w:val="16"/>
                <w:szCs w:val="16"/>
              </w:rPr>
              <w:t>178.579</w:t>
            </w:r>
          </w:p>
        </w:tc>
        <w:tc>
          <w:tcPr>
            <w:tcW w:w="916" w:type="dxa"/>
            <w:shd w:val="clear" w:color="auto" w:fill="A6A6A6" w:themeFill="background1" w:themeFillShade="A6"/>
            <w:vAlign w:val="center"/>
            <w:hideMark/>
          </w:tcPr>
          <w:p w:rsidR="00A83D2D" w:rsidRDefault="00A83D2D" w:rsidP="00A83D2D">
            <w:pPr>
              <w:ind w:right="170"/>
              <w:jc w:val="right"/>
              <w:rPr>
                <w:rFonts w:ascii="Arial Narrow" w:hAnsi="Arial Narrow"/>
                <w:b/>
                <w:bCs/>
                <w:color w:val="000000"/>
                <w:sz w:val="16"/>
                <w:szCs w:val="16"/>
              </w:rPr>
            </w:pPr>
            <w:r>
              <w:rPr>
                <w:rFonts w:ascii="Arial Narrow" w:hAnsi="Arial Narrow"/>
                <w:b/>
                <w:bCs/>
                <w:color w:val="000000"/>
                <w:sz w:val="16"/>
                <w:szCs w:val="16"/>
              </w:rPr>
              <w:t>184.691</w:t>
            </w:r>
          </w:p>
        </w:tc>
      </w:tr>
    </w:tbl>
    <w:p w:rsidR="00A83D2D" w:rsidRDefault="00A83D2D" w:rsidP="00A83D2D">
      <w:pPr>
        <w:tabs>
          <w:tab w:val="left" w:pos="378"/>
          <w:tab w:val="left" w:pos="5678"/>
          <w:tab w:val="left" w:pos="6938"/>
          <w:tab w:val="left" w:pos="8158"/>
        </w:tabs>
        <w:ind w:left="98"/>
        <w:rPr>
          <w:rFonts w:ascii="Arial Narrow" w:hAnsi="Arial Narrow"/>
          <w:b/>
          <w:color w:val="000080"/>
          <w:sz w:val="10"/>
        </w:rPr>
      </w:pPr>
    </w:p>
    <w:p w:rsidR="00A83D2D" w:rsidRDefault="00A83D2D" w:rsidP="00A83D2D">
      <w:pPr>
        <w:tabs>
          <w:tab w:val="left" w:pos="378"/>
          <w:tab w:val="left" w:pos="5678"/>
          <w:tab w:val="left" w:pos="6938"/>
          <w:tab w:val="left" w:pos="8158"/>
        </w:tabs>
        <w:ind w:left="98"/>
        <w:rPr>
          <w:rFonts w:ascii="Arial Narrow" w:hAnsi="Arial Narrow"/>
          <w:b/>
          <w:color w:val="000080"/>
          <w:sz w:val="10"/>
        </w:rPr>
      </w:pPr>
    </w:p>
    <w:p w:rsidR="00A83D2D" w:rsidRDefault="00A83D2D" w:rsidP="00A83D2D">
      <w:pPr>
        <w:tabs>
          <w:tab w:val="left" w:pos="378"/>
          <w:tab w:val="left" w:pos="5678"/>
          <w:tab w:val="left" w:pos="6938"/>
          <w:tab w:val="left" w:pos="8158"/>
        </w:tabs>
        <w:ind w:left="98"/>
        <w:rPr>
          <w:rFonts w:ascii="Arial Narrow" w:hAnsi="Arial Narrow"/>
          <w:b/>
          <w:color w:val="000080"/>
          <w:sz w:val="10"/>
        </w:rPr>
      </w:pPr>
    </w:p>
    <w:p w:rsidR="00A83D2D" w:rsidRPr="004B0A49" w:rsidRDefault="00A83D2D" w:rsidP="00A83D2D">
      <w:pPr>
        <w:tabs>
          <w:tab w:val="left" w:pos="378"/>
          <w:tab w:val="left" w:pos="5678"/>
          <w:tab w:val="left" w:pos="6938"/>
          <w:tab w:val="left" w:pos="8158"/>
        </w:tabs>
        <w:ind w:left="98"/>
        <w:rPr>
          <w:rFonts w:ascii="Arial Narrow" w:hAnsi="Arial Narrow"/>
          <w:b/>
          <w:color w:val="000080"/>
          <w:sz w:val="10"/>
        </w:rPr>
      </w:pPr>
    </w:p>
    <w:p w:rsidR="00A83D2D" w:rsidRDefault="005F1D9A" w:rsidP="00706087">
      <w:pPr>
        <w:contextualSpacing/>
        <w:jc w:val="both"/>
        <w:rPr>
          <w:sz w:val="22"/>
        </w:rPr>
      </w:pPr>
      <w:r>
        <w:rPr>
          <w:b/>
          <w:noProof/>
          <w:sz w:val="22"/>
          <w:szCs w:val="22"/>
        </w:rPr>
        <mc:AlternateContent>
          <mc:Choice Requires="wps">
            <w:drawing>
              <wp:inline distT="0" distB="0" distL="0" distR="0">
                <wp:extent cx="5654675" cy="176530"/>
                <wp:effectExtent l="8255" t="12700" r="13970" b="107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76530"/>
                        </a:xfrm>
                        <a:prstGeom prst="rect">
                          <a:avLst/>
                        </a:prstGeom>
                        <a:solidFill>
                          <a:srgbClr val="FFFFFF"/>
                        </a:solidFill>
                        <a:ln w="12700">
                          <a:solidFill>
                            <a:srgbClr val="000080"/>
                          </a:solidFill>
                          <a:miter lim="800000"/>
                          <a:headEnd/>
                          <a:tailEnd/>
                        </a:ln>
                      </wps:spPr>
                      <wps:txbx>
                        <w:txbxContent>
                          <w:p w:rsidR="0041428B" w:rsidRPr="008D2CCB" w:rsidRDefault="0041428B" w:rsidP="00A83D2D">
                            <w:pPr>
                              <w:autoSpaceDE w:val="0"/>
                              <w:autoSpaceDN w:val="0"/>
                              <w:adjustRightInd w:val="0"/>
                              <w:ind w:left="-11" w:firstLine="142"/>
                              <w:jc w:val="center"/>
                              <w:rPr>
                                <w:rFonts w:ascii="Arial Narrow" w:hAnsi="Arial Narrow"/>
                                <w:b/>
                                <w:color w:val="000080"/>
                                <w:sz w:val="20"/>
                              </w:rPr>
                            </w:pPr>
                            <w:r w:rsidRPr="008D2CCB">
                              <w:rPr>
                                <w:rFonts w:ascii="Arial Narrow" w:hAnsi="Arial Narrow"/>
                                <w:b/>
                                <w:color w:val="000080"/>
                                <w:sz w:val="18"/>
                              </w:rPr>
                              <w:t>Σημείωση:  Τυχόν διαφορές ποσών και ποσοστών στους πίνακες που ακολουθούν οφείλονται σε στρογγυλοποιήσεις</w:t>
                            </w:r>
                            <w:r w:rsidRPr="008D2CCB">
                              <w:rPr>
                                <w:rFonts w:ascii="Arial Narrow" w:hAnsi="Arial Narrow"/>
                                <w:b/>
                                <w:color w:val="000080"/>
                                <w:sz w:val="20"/>
                              </w:rPr>
                              <w:t>.</w:t>
                            </w:r>
                          </w:p>
                        </w:txbxContent>
                      </wps:txbx>
                      <wps:bodyPr rot="0" vert="horz" wrap="square" lIns="91440" tIns="10800" rIns="91440" bIns="108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5.2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" strokecolor="navy" strokeweight="1pt">
                <v:textbox inset=",.3mm,,.3mm">
                  <w:txbxContent>
                    <w:p w:rsidR="0041428B" w:rsidRPr="008D2CCB" w:rsidRDefault="0041428B" w:rsidP="00A83D2D">
                      <w:pPr>
                        <w:autoSpaceDE w:val="0"/>
                        <w:autoSpaceDN w:val="0"/>
                        <w:adjustRightInd w:val="0"/>
                        <w:ind w:left="-11" w:firstLine="142"/>
                        <w:jc w:val="center"/>
                        <w:rPr>
                          <w:rFonts w:ascii="Arial Narrow" w:hAnsi="Arial Narrow"/>
                          <w:b/>
                          <w:color w:val="000080"/>
                          <w:sz w:val="20"/>
                        </w:rPr>
                      </w:pPr>
                      <w:r w:rsidRPr="008D2CCB">
                        <w:rPr>
                          <w:rFonts w:ascii="Arial Narrow" w:hAnsi="Arial Narrow"/>
                          <w:b/>
                          <w:color w:val="000080"/>
                          <w:sz w:val="18"/>
                        </w:rPr>
                        <w:t>Σημείωση:  Τυχόν διαφορές ποσών και ποσοστών στους πίνακες που ακολουθούν οφείλονται σε στρογγυλοποιήσεις</w:t>
                      </w:r>
                      <w:r w:rsidRPr="008D2CCB">
                        <w:rPr>
                          <w:rFonts w:ascii="Arial Narrow" w:hAnsi="Arial Narrow"/>
                          <w:b/>
                          <w:color w:val="000080"/>
                          <w:sz w:val="20"/>
                        </w:rPr>
                        <w:t>.</w:t>
                      </w:r>
                    </w:p>
                  </w:txbxContent>
                </v:textbox>
                <w10:anchorlock/>
              </v:shape>
            </w:pict>
          </mc:Fallback>
        </mc:AlternateContent>
      </w:r>
    </w:p>
    <w:p w:rsidR="00A83D2D" w:rsidRPr="00706087" w:rsidRDefault="00A83D2D" w:rsidP="00706087">
      <w:pPr>
        <w:contextualSpacing/>
        <w:jc w:val="both"/>
        <w:rPr>
          <w:sz w:val="22"/>
        </w:rPr>
      </w:pPr>
    </w:p>
    <w:p w:rsidR="00A83D2D" w:rsidRDefault="00A83D2D" w:rsidP="00706087">
      <w:pPr>
        <w:contextualSpacing/>
        <w:jc w:val="both"/>
        <w:rPr>
          <w:sz w:val="22"/>
        </w:rPr>
      </w:pPr>
    </w:p>
    <w:p w:rsidR="00A83D2D" w:rsidRDefault="00A83D2D" w:rsidP="00706087">
      <w:pPr>
        <w:contextualSpacing/>
        <w:jc w:val="both"/>
        <w:rPr>
          <w:sz w:val="22"/>
        </w:rPr>
      </w:pPr>
    </w:p>
    <w:p w:rsidR="00A83D2D" w:rsidRDefault="00A83D2D" w:rsidP="00706087">
      <w:pPr>
        <w:contextualSpacing/>
        <w:jc w:val="both"/>
        <w:rPr>
          <w:sz w:val="22"/>
        </w:rPr>
      </w:pPr>
    </w:p>
    <w:p w:rsidR="00A83D2D" w:rsidRDefault="00A83D2D" w:rsidP="00706087">
      <w:pPr>
        <w:contextualSpacing/>
        <w:jc w:val="both"/>
        <w:rPr>
          <w:sz w:val="22"/>
        </w:rPr>
      </w:pPr>
    </w:p>
    <w:p w:rsidR="00A83D2D" w:rsidRDefault="00A83D2D" w:rsidP="00706087">
      <w:pPr>
        <w:contextualSpacing/>
        <w:jc w:val="both"/>
        <w:rPr>
          <w:sz w:val="22"/>
        </w:rPr>
      </w:pPr>
    </w:p>
    <w:p w:rsidR="00706087" w:rsidRPr="00706087" w:rsidRDefault="00706087" w:rsidP="00706087">
      <w:pPr>
        <w:contextualSpacing/>
        <w:jc w:val="both"/>
        <w:rPr>
          <w:sz w:val="22"/>
        </w:rPr>
      </w:pPr>
      <w:r w:rsidRPr="00706087">
        <w:rPr>
          <w:sz w:val="22"/>
        </w:rPr>
        <w:t xml:space="preserve">Η δημοσιονομική στρατηγική για το 2017 περιελάμβανε </w:t>
      </w:r>
      <w:r w:rsidR="00F47005">
        <w:rPr>
          <w:sz w:val="22"/>
        </w:rPr>
        <w:t xml:space="preserve">και </w:t>
      </w:r>
      <w:r w:rsidRPr="00706087">
        <w:rPr>
          <w:sz w:val="22"/>
        </w:rPr>
        <w:t>την υλοποίηση διαρθρωτικών μεταρρυ</w:t>
      </w:r>
      <w:r w:rsidRPr="00706087">
        <w:rPr>
          <w:sz w:val="22"/>
        </w:rPr>
        <w:t>θ</w:t>
      </w:r>
      <w:r w:rsidRPr="00706087">
        <w:rPr>
          <w:sz w:val="22"/>
        </w:rPr>
        <w:t>μίσεων και θεσμικών αλλαγών, όπως:</w:t>
      </w:r>
    </w:p>
    <w:p w:rsidR="00706087" w:rsidRPr="00706087" w:rsidRDefault="00706087" w:rsidP="00706087">
      <w:pPr>
        <w:contextualSpacing/>
        <w:jc w:val="both"/>
        <w:rPr>
          <w:sz w:val="22"/>
        </w:rPr>
      </w:pPr>
    </w:p>
    <w:p w:rsidR="00706087" w:rsidRPr="00706087" w:rsidRDefault="00706087" w:rsidP="00706087">
      <w:pPr>
        <w:numPr>
          <w:ilvl w:val="0"/>
          <w:numId w:val="23"/>
        </w:numPr>
        <w:ind w:left="284" w:hanging="284"/>
        <w:contextualSpacing/>
        <w:jc w:val="both"/>
        <w:rPr>
          <w:sz w:val="22"/>
        </w:rPr>
      </w:pPr>
      <w:r w:rsidRPr="00706087">
        <w:rPr>
          <w:sz w:val="22"/>
        </w:rPr>
        <w:t>η αναβάθμιση και ο εκσυγχρονισμός των δημοσιονομικών κανόνων που εξασφαλίζουν τη διαφ</w:t>
      </w:r>
      <w:r w:rsidRPr="00706087">
        <w:rPr>
          <w:sz w:val="22"/>
        </w:rPr>
        <w:t>ά</w:t>
      </w:r>
      <w:r w:rsidRPr="00706087">
        <w:rPr>
          <w:sz w:val="22"/>
        </w:rPr>
        <w:t>νεια και λογοδοσία στη διαχείριση του δημόσιου χρήματος,</w:t>
      </w:r>
    </w:p>
    <w:p w:rsidR="00706087" w:rsidRPr="00706087" w:rsidRDefault="00706087" w:rsidP="00706087">
      <w:pPr>
        <w:numPr>
          <w:ilvl w:val="0"/>
          <w:numId w:val="23"/>
        </w:numPr>
        <w:ind w:left="284" w:hanging="284"/>
        <w:contextualSpacing/>
        <w:jc w:val="both"/>
        <w:rPr>
          <w:sz w:val="22"/>
        </w:rPr>
      </w:pPr>
      <w:r w:rsidRPr="00706087">
        <w:rPr>
          <w:sz w:val="22"/>
        </w:rPr>
        <w:t>η ενίσχυση της φορολογικής συμμόρφωσης, μέσω της εφαρμογής δράσεων όπως η εντατικοποίηση των φορολογικών ελέγχων και η παροχή κινήτρων για ηλεκτρονικές πληρωμές,</w:t>
      </w:r>
    </w:p>
    <w:p w:rsidR="00C554F8" w:rsidRPr="00706087" w:rsidRDefault="00C554F8" w:rsidP="00C554F8">
      <w:pPr>
        <w:numPr>
          <w:ilvl w:val="0"/>
          <w:numId w:val="23"/>
        </w:numPr>
        <w:ind w:left="284" w:hanging="284"/>
        <w:contextualSpacing/>
        <w:jc w:val="both"/>
        <w:rPr>
          <w:sz w:val="22"/>
        </w:rPr>
      </w:pPr>
      <w:r w:rsidRPr="00706087">
        <w:rPr>
          <w:sz w:val="22"/>
        </w:rPr>
        <w:t xml:space="preserve">η διασφάλιση της προστασίας των ευάλωτων κοινωνικών ομάδων (με δράσεις όπως το κοινωνικό εισόδημα αλληλεγγύης), </w:t>
      </w:r>
    </w:p>
    <w:p w:rsidR="00C554F8" w:rsidRPr="00706087" w:rsidRDefault="00C554F8" w:rsidP="00C554F8">
      <w:pPr>
        <w:numPr>
          <w:ilvl w:val="0"/>
          <w:numId w:val="23"/>
        </w:numPr>
        <w:ind w:left="284" w:hanging="284"/>
        <w:contextualSpacing/>
        <w:jc w:val="both"/>
        <w:rPr>
          <w:sz w:val="22"/>
        </w:rPr>
      </w:pPr>
      <w:r w:rsidRPr="00706087">
        <w:rPr>
          <w:sz w:val="22"/>
        </w:rPr>
        <w:t>η συνέχιση της υλοποίησης του προγράμματος εξόφλησης ληξιπρόθεσμων υποχρεώσεων των φ</w:t>
      </w:r>
      <w:r w:rsidRPr="00706087">
        <w:rPr>
          <w:sz w:val="22"/>
        </w:rPr>
        <w:t>ο</w:t>
      </w:r>
      <w:r w:rsidRPr="00706087">
        <w:rPr>
          <w:sz w:val="22"/>
        </w:rPr>
        <w:t>ρέων της Γενικής Κυβέρνησης προς την πραγματική οικονομία με χρηματοδότηση από το Πρ</w:t>
      </w:r>
      <w:r w:rsidRPr="00706087">
        <w:rPr>
          <w:sz w:val="22"/>
        </w:rPr>
        <w:t>ό</w:t>
      </w:r>
      <w:r w:rsidRPr="00706087">
        <w:rPr>
          <w:sz w:val="22"/>
        </w:rPr>
        <w:t>γραμμα Στήριξης</w:t>
      </w:r>
      <w:r w:rsidR="006D5A63">
        <w:rPr>
          <w:sz w:val="22"/>
        </w:rPr>
        <w:t xml:space="preserve"> αλλά και από εθνικούς πόρους</w:t>
      </w:r>
      <w:r w:rsidRPr="00706087">
        <w:rPr>
          <w:sz w:val="22"/>
        </w:rPr>
        <w:t>,</w:t>
      </w:r>
    </w:p>
    <w:p w:rsidR="00C554F8" w:rsidRPr="00706087" w:rsidRDefault="00C554F8" w:rsidP="00C554F8">
      <w:pPr>
        <w:numPr>
          <w:ilvl w:val="0"/>
          <w:numId w:val="23"/>
        </w:numPr>
        <w:ind w:left="284" w:hanging="284"/>
        <w:contextualSpacing/>
        <w:jc w:val="both"/>
        <w:rPr>
          <w:sz w:val="22"/>
        </w:rPr>
      </w:pPr>
      <w:r>
        <w:rPr>
          <w:sz w:val="22"/>
        </w:rPr>
        <w:t xml:space="preserve">ο </w:t>
      </w:r>
      <w:r w:rsidRPr="00706087">
        <w:rPr>
          <w:sz w:val="22"/>
        </w:rPr>
        <w:t>εκσυγχρονισμός του συστήματος δημόσιας υγείας και κοινωνικής πρόνοιας,</w:t>
      </w:r>
    </w:p>
    <w:p w:rsidR="00C554F8" w:rsidRPr="00706087" w:rsidRDefault="00C554F8" w:rsidP="00C554F8">
      <w:pPr>
        <w:numPr>
          <w:ilvl w:val="0"/>
          <w:numId w:val="23"/>
        </w:numPr>
        <w:ind w:left="284" w:hanging="284"/>
        <w:contextualSpacing/>
        <w:jc w:val="both"/>
        <w:rPr>
          <w:sz w:val="22"/>
        </w:rPr>
      </w:pPr>
      <w:r>
        <w:rPr>
          <w:sz w:val="22"/>
        </w:rPr>
        <w:t xml:space="preserve">η </w:t>
      </w:r>
      <w:r w:rsidRPr="00706087">
        <w:rPr>
          <w:sz w:val="22"/>
        </w:rPr>
        <w:t>διαχείριση του ιδιωτικού χρέους και εφαρμογή διαρθρωτικών αλλαγών με αναπτυξιακή προοπτ</w:t>
      </w:r>
      <w:r w:rsidRPr="00706087">
        <w:rPr>
          <w:sz w:val="22"/>
        </w:rPr>
        <w:t>ι</w:t>
      </w:r>
      <w:r w:rsidRPr="00706087">
        <w:rPr>
          <w:sz w:val="22"/>
        </w:rPr>
        <w:t>κή,</w:t>
      </w:r>
    </w:p>
    <w:p w:rsidR="00C554F8" w:rsidRPr="00706087" w:rsidRDefault="00C554F8" w:rsidP="00C554F8">
      <w:pPr>
        <w:numPr>
          <w:ilvl w:val="0"/>
          <w:numId w:val="23"/>
        </w:numPr>
        <w:ind w:left="284" w:hanging="284"/>
        <w:contextualSpacing/>
        <w:jc w:val="both"/>
        <w:rPr>
          <w:sz w:val="22"/>
        </w:rPr>
      </w:pPr>
      <w:r w:rsidRPr="00706087">
        <w:rPr>
          <w:sz w:val="22"/>
        </w:rPr>
        <w:t>η έναρξη λειτουργίας του Εθνικού Φορέα Κοινωνικής Ασφάλισης και η ενοποίηση των Ταμείων Πρόνοιας με την ενσωμάτωσή τους στο Ενιαίο Ταμείο Επικουρικής Ασφάλισης και Εφάπαξ Π</w:t>
      </w:r>
      <w:r w:rsidRPr="00706087">
        <w:rPr>
          <w:sz w:val="22"/>
        </w:rPr>
        <w:t>α</w:t>
      </w:r>
      <w:r w:rsidRPr="00706087">
        <w:rPr>
          <w:sz w:val="22"/>
        </w:rPr>
        <w:t>ροχών,</w:t>
      </w:r>
    </w:p>
    <w:p w:rsidR="00706087" w:rsidRPr="00706087" w:rsidRDefault="00706087" w:rsidP="00706087">
      <w:pPr>
        <w:numPr>
          <w:ilvl w:val="0"/>
          <w:numId w:val="23"/>
        </w:numPr>
        <w:ind w:left="284" w:hanging="284"/>
        <w:contextualSpacing/>
        <w:jc w:val="both"/>
        <w:rPr>
          <w:sz w:val="22"/>
        </w:rPr>
      </w:pPr>
      <w:r w:rsidRPr="00706087">
        <w:rPr>
          <w:sz w:val="22"/>
        </w:rPr>
        <w:t>το πρόγραμμα αποκρατικοποιήσεων,</w:t>
      </w:r>
    </w:p>
    <w:p w:rsidR="00706087" w:rsidRPr="00706087" w:rsidRDefault="00F47005" w:rsidP="00706087">
      <w:pPr>
        <w:numPr>
          <w:ilvl w:val="0"/>
          <w:numId w:val="23"/>
        </w:numPr>
        <w:ind w:left="284" w:hanging="284"/>
        <w:contextualSpacing/>
        <w:jc w:val="both"/>
        <w:rPr>
          <w:sz w:val="22"/>
        </w:rPr>
      </w:pPr>
      <w:r>
        <w:rPr>
          <w:sz w:val="22"/>
        </w:rPr>
        <w:t xml:space="preserve">οι </w:t>
      </w:r>
      <w:r w:rsidR="00706087" w:rsidRPr="00706087">
        <w:rPr>
          <w:sz w:val="22"/>
        </w:rPr>
        <w:t>διαρθρωτικές μεταρρυθμίσεις στις αγορές προϊόντων,</w:t>
      </w:r>
    </w:p>
    <w:p w:rsidR="00706087" w:rsidRPr="00706087" w:rsidRDefault="00706087" w:rsidP="00706087">
      <w:pPr>
        <w:numPr>
          <w:ilvl w:val="0"/>
          <w:numId w:val="23"/>
        </w:numPr>
        <w:ind w:left="284" w:hanging="284"/>
        <w:contextualSpacing/>
        <w:jc w:val="both"/>
        <w:rPr>
          <w:sz w:val="22"/>
        </w:rPr>
      </w:pPr>
      <w:r w:rsidRPr="00706087">
        <w:rPr>
          <w:sz w:val="22"/>
        </w:rPr>
        <w:t>η αναμόρφωση της νομοθεσίας για τα ειδικά μισθολόγια και</w:t>
      </w:r>
    </w:p>
    <w:p w:rsidR="00706087" w:rsidRPr="00706087" w:rsidRDefault="00706087" w:rsidP="00706087">
      <w:pPr>
        <w:numPr>
          <w:ilvl w:val="0"/>
          <w:numId w:val="23"/>
        </w:numPr>
        <w:ind w:left="284" w:hanging="284"/>
        <w:contextualSpacing/>
        <w:jc w:val="both"/>
        <w:rPr>
          <w:sz w:val="22"/>
        </w:rPr>
      </w:pPr>
      <w:r w:rsidRPr="00706087">
        <w:rPr>
          <w:sz w:val="22"/>
        </w:rPr>
        <w:t xml:space="preserve">η αλλαγή του κανόνα προσλήψεων-αποχωρήσεων. </w:t>
      </w:r>
    </w:p>
    <w:p w:rsidR="0048042F" w:rsidRPr="00706087" w:rsidRDefault="0048042F" w:rsidP="00AD1B8C">
      <w:pPr>
        <w:jc w:val="both"/>
        <w:rPr>
          <w:bCs/>
          <w:sz w:val="18"/>
          <w:szCs w:val="22"/>
        </w:rPr>
      </w:pPr>
    </w:p>
    <w:p w:rsidR="00706087" w:rsidRPr="00973874" w:rsidRDefault="00706087" w:rsidP="00AD1B8C">
      <w:pPr>
        <w:jc w:val="both"/>
        <w:rPr>
          <w:bCs/>
          <w:sz w:val="20"/>
          <w:szCs w:val="22"/>
        </w:rPr>
      </w:pPr>
    </w:p>
    <w:p w:rsidR="00AD1B8C" w:rsidRPr="00514E97" w:rsidRDefault="00AD1B8C" w:rsidP="00AD1B8C">
      <w:pPr>
        <w:shd w:val="clear" w:color="auto" w:fill="7F7F7F" w:themeFill="text1" w:themeFillTint="80"/>
        <w:rPr>
          <w:rFonts w:ascii="Arial Narrow" w:hAnsi="Arial Narrow"/>
          <w:b/>
          <w:color w:val="FFFFFF" w:themeColor="background1"/>
          <w:sz w:val="26"/>
          <w:szCs w:val="26"/>
        </w:rPr>
      </w:pPr>
      <w:r w:rsidRPr="00514E97">
        <w:rPr>
          <w:rFonts w:ascii="Arial Narrow" w:hAnsi="Arial Narrow"/>
          <w:b/>
          <w:color w:val="FFFFFF" w:themeColor="background1"/>
          <w:sz w:val="26"/>
          <w:szCs w:val="26"/>
        </w:rPr>
        <w:t>2.</w:t>
      </w:r>
      <w:r w:rsidRPr="00514E97">
        <w:rPr>
          <w:rFonts w:ascii="Arial Narrow" w:hAnsi="Arial Narrow"/>
          <w:b/>
          <w:color w:val="FFFFFF" w:themeColor="background1"/>
          <w:sz w:val="26"/>
          <w:szCs w:val="26"/>
        </w:rPr>
        <w:tab/>
        <w:t>Κρατικός προϋπολογισμός 201</w:t>
      </w:r>
      <w:r w:rsidR="00FB275C" w:rsidRPr="00514E97">
        <w:rPr>
          <w:rFonts w:ascii="Arial Narrow" w:hAnsi="Arial Narrow"/>
          <w:b/>
          <w:color w:val="FFFFFF" w:themeColor="background1"/>
          <w:sz w:val="26"/>
          <w:szCs w:val="26"/>
        </w:rPr>
        <w:t>7</w:t>
      </w:r>
    </w:p>
    <w:p w:rsidR="00AD1B8C" w:rsidRPr="00973874" w:rsidRDefault="00AD1B8C" w:rsidP="00AD1B8C">
      <w:pPr>
        <w:jc w:val="both"/>
        <w:rPr>
          <w:sz w:val="20"/>
          <w:szCs w:val="22"/>
        </w:rPr>
      </w:pPr>
    </w:p>
    <w:p w:rsidR="00A50FB2" w:rsidRDefault="00A50FB2" w:rsidP="00A50FB2">
      <w:pPr>
        <w:jc w:val="both"/>
        <w:rPr>
          <w:sz w:val="22"/>
          <w:szCs w:val="22"/>
          <w:lang w:eastAsia="en-US"/>
        </w:rPr>
      </w:pPr>
      <w:r w:rsidRPr="00A50FB2">
        <w:rPr>
          <w:sz w:val="22"/>
          <w:szCs w:val="22"/>
          <w:lang w:eastAsia="en-US"/>
        </w:rPr>
        <w:t>Σε δημοσιονομική βάση τα έσοδα του Κρατικού Προϋπολογισμού εκτιμάτ</w:t>
      </w:r>
      <w:r w:rsidR="001753CE">
        <w:rPr>
          <w:sz w:val="22"/>
          <w:szCs w:val="22"/>
          <w:lang w:eastAsia="en-US"/>
        </w:rPr>
        <w:t>αι ότι θα διαμορφωθούν σε 52.281</w:t>
      </w:r>
      <w:r w:rsidRPr="00A50FB2">
        <w:rPr>
          <w:sz w:val="22"/>
          <w:szCs w:val="22"/>
          <w:lang w:eastAsia="en-US"/>
        </w:rPr>
        <w:t xml:space="preserve"> εκατ. ευρώ πα</w:t>
      </w:r>
      <w:r w:rsidR="001753CE">
        <w:rPr>
          <w:sz w:val="22"/>
          <w:szCs w:val="22"/>
          <w:lang w:eastAsia="en-US"/>
        </w:rPr>
        <w:t>ρουσιάζοντας</w:t>
      </w:r>
      <w:r w:rsidR="00EC6C32">
        <w:rPr>
          <w:sz w:val="22"/>
          <w:szCs w:val="22"/>
          <w:lang w:eastAsia="en-US"/>
        </w:rPr>
        <w:t xml:space="preserve"> αρνητική</w:t>
      </w:r>
      <w:r w:rsidR="001753CE">
        <w:rPr>
          <w:sz w:val="22"/>
          <w:szCs w:val="22"/>
          <w:lang w:eastAsia="en-US"/>
        </w:rPr>
        <w:t xml:space="preserve"> απόκλιση κατά 1.004</w:t>
      </w:r>
      <w:r w:rsidRPr="00A50FB2">
        <w:rPr>
          <w:sz w:val="22"/>
          <w:szCs w:val="22"/>
          <w:lang w:eastAsia="en-US"/>
        </w:rPr>
        <w:t xml:space="preserve"> εκατ. ευρώ ή 1,9%, έναντι του στόχου του ΜΠΔΣ 2018-2021.</w:t>
      </w:r>
    </w:p>
    <w:p w:rsidR="00EC6C32" w:rsidRDefault="00EC6C32" w:rsidP="00A50FB2">
      <w:pPr>
        <w:jc w:val="both"/>
        <w:rPr>
          <w:sz w:val="22"/>
          <w:szCs w:val="22"/>
          <w:lang w:eastAsia="en-US"/>
        </w:rPr>
      </w:pPr>
    </w:p>
    <w:p w:rsidR="00EC6C32" w:rsidRPr="00A50FB2" w:rsidRDefault="00EC6C32" w:rsidP="00A50FB2">
      <w:pPr>
        <w:jc w:val="both"/>
        <w:rPr>
          <w:sz w:val="22"/>
          <w:szCs w:val="22"/>
          <w:lang w:eastAsia="en-US"/>
        </w:rPr>
      </w:pPr>
      <w:r>
        <w:rPr>
          <w:sz w:val="22"/>
          <w:szCs w:val="22"/>
          <w:lang w:eastAsia="en-US"/>
        </w:rPr>
        <w:t>Αντίστοιχα, οι δαπάνες του Κρατικού Προϋπολογισμού εκτιμάται ότι θα διαμορφωθούν στα 57.425 εκατ. ευρώ σε δημοσιονομική βάση, αυξημένες κατά 170 εκατ. ευρώ ή 0,3% έναντι του στόχου.</w:t>
      </w:r>
    </w:p>
    <w:p w:rsidR="00F47005" w:rsidRPr="00973874" w:rsidRDefault="00F47005" w:rsidP="00A50FB2">
      <w:pPr>
        <w:jc w:val="both"/>
        <w:rPr>
          <w:sz w:val="20"/>
          <w:szCs w:val="22"/>
        </w:rPr>
      </w:pPr>
    </w:p>
    <w:p w:rsidR="00AD1B8C" w:rsidRPr="00017056" w:rsidRDefault="00AD1B8C" w:rsidP="00A50FB2">
      <w:pPr>
        <w:shd w:val="clear" w:color="auto" w:fill="A6A6A6"/>
        <w:jc w:val="both"/>
        <w:rPr>
          <w:sz w:val="20"/>
          <w:szCs w:val="22"/>
        </w:rPr>
      </w:pPr>
      <w:r w:rsidRPr="00017056">
        <w:rPr>
          <w:rFonts w:ascii="Arial Narrow" w:hAnsi="Arial Narrow"/>
          <w:b/>
          <w:szCs w:val="22"/>
        </w:rPr>
        <w:t>2.1</w:t>
      </w:r>
      <w:r w:rsidRPr="00017056">
        <w:rPr>
          <w:rFonts w:ascii="Arial Narrow" w:hAnsi="Arial Narrow"/>
          <w:b/>
          <w:szCs w:val="22"/>
        </w:rPr>
        <w:tab/>
        <w:t xml:space="preserve">Τακτικός προϋπολογισμός </w:t>
      </w:r>
    </w:p>
    <w:p w:rsidR="00AD1B8C" w:rsidRDefault="00AD1B8C" w:rsidP="00A50FB2">
      <w:pPr>
        <w:jc w:val="both"/>
        <w:rPr>
          <w:bCs/>
          <w:sz w:val="22"/>
          <w:szCs w:val="22"/>
        </w:rPr>
      </w:pPr>
    </w:p>
    <w:p w:rsidR="00A50FB2" w:rsidRPr="00124F5E" w:rsidRDefault="00A50FB2" w:rsidP="00A50FB2">
      <w:pPr>
        <w:jc w:val="both"/>
        <w:rPr>
          <w:rFonts w:ascii="Arial Narrow" w:hAnsi="Arial Narrow"/>
          <w:b/>
          <w:color w:val="000080"/>
          <w:szCs w:val="22"/>
        </w:rPr>
      </w:pPr>
      <w:r w:rsidRPr="00124F5E">
        <w:rPr>
          <w:rFonts w:ascii="Arial Narrow" w:hAnsi="Arial Narrow"/>
          <w:b/>
          <w:color w:val="000080"/>
          <w:szCs w:val="22"/>
        </w:rPr>
        <w:t>Έσοδα</w:t>
      </w:r>
    </w:p>
    <w:p w:rsidR="00A50FB2" w:rsidRPr="00973874" w:rsidRDefault="00A50FB2" w:rsidP="00A50FB2">
      <w:pPr>
        <w:rPr>
          <w:sz w:val="20"/>
          <w:szCs w:val="22"/>
          <w:lang w:eastAsia="en-US"/>
        </w:rPr>
      </w:pPr>
    </w:p>
    <w:p w:rsidR="00A50FB2" w:rsidRDefault="00A50FB2" w:rsidP="00A50FB2">
      <w:pPr>
        <w:pStyle w:val="Web"/>
        <w:spacing w:before="0" w:beforeAutospacing="0" w:after="0" w:line="228" w:lineRule="auto"/>
        <w:jc w:val="both"/>
        <w:rPr>
          <w:sz w:val="22"/>
          <w:szCs w:val="22"/>
        </w:rPr>
      </w:pPr>
      <w:r w:rsidRPr="00124900">
        <w:rPr>
          <w:sz w:val="22"/>
          <w:szCs w:val="22"/>
        </w:rPr>
        <w:t>Τα καθαρά έσοδα του Τακτικού Προϋπολογισμού (σε ταμειακή βάση), μετά τη μείωση των επιστρ</w:t>
      </w:r>
      <w:r w:rsidRPr="00124900">
        <w:rPr>
          <w:sz w:val="22"/>
          <w:szCs w:val="22"/>
        </w:rPr>
        <w:t>ο</w:t>
      </w:r>
      <w:r w:rsidRPr="00124900">
        <w:rPr>
          <w:sz w:val="22"/>
          <w:szCs w:val="22"/>
        </w:rPr>
        <w:t>φών φόρων, εκτιμάται ότι θα διαμορφωθούν στα 48.</w:t>
      </w:r>
      <w:r>
        <w:rPr>
          <w:sz w:val="22"/>
          <w:szCs w:val="22"/>
        </w:rPr>
        <w:t>7</w:t>
      </w:r>
      <w:r w:rsidR="001753CE">
        <w:rPr>
          <w:sz w:val="22"/>
          <w:szCs w:val="22"/>
        </w:rPr>
        <w:t>15</w:t>
      </w:r>
      <w:r w:rsidRPr="00124900">
        <w:rPr>
          <w:sz w:val="22"/>
          <w:szCs w:val="22"/>
        </w:rPr>
        <w:t xml:space="preserve"> εκατ. ευρώ</w:t>
      </w:r>
      <w:r>
        <w:rPr>
          <w:sz w:val="22"/>
          <w:szCs w:val="22"/>
        </w:rPr>
        <w:t>,</w:t>
      </w:r>
      <w:r w:rsidRPr="00124900">
        <w:rPr>
          <w:sz w:val="22"/>
          <w:szCs w:val="22"/>
        </w:rPr>
        <w:t xml:space="preserve"> παρουσιάζοντας </w:t>
      </w:r>
      <w:r>
        <w:rPr>
          <w:sz w:val="22"/>
          <w:szCs w:val="22"/>
        </w:rPr>
        <w:t xml:space="preserve">αρνητική </w:t>
      </w:r>
      <w:r w:rsidRPr="00124900">
        <w:rPr>
          <w:sz w:val="22"/>
          <w:szCs w:val="22"/>
        </w:rPr>
        <w:t>απ</w:t>
      </w:r>
      <w:r w:rsidRPr="00124900">
        <w:rPr>
          <w:sz w:val="22"/>
          <w:szCs w:val="22"/>
        </w:rPr>
        <w:t>ό</w:t>
      </w:r>
      <w:r w:rsidRPr="00124900">
        <w:rPr>
          <w:sz w:val="22"/>
          <w:szCs w:val="22"/>
        </w:rPr>
        <w:t xml:space="preserve">κλιση κατά </w:t>
      </w:r>
      <w:r>
        <w:rPr>
          <w:sz w:val="22"/>
          <w:szCs w:val="22"/>
        </w:rPr>
        <w:t>2.9</w:t>
      </w:r>
      <w:r w:rsidR="001753CE">
        <w:rPr>
          <w:sz w:val="22"/>
          <w:szCs w:val="22"/>
        </w:rPr>
        <w:t>49</w:t>
      </w:r>
      <w:r>
        <w:rPr>
          <w:sz w:val="22"/>
          <w:szCs w:val="22"/>
        </w:rPr>
        <w:t xml:space="preserve"> εκατ. ευρώ ή 5,7</w:t>
      </w:r>
      <w:r w:rsidRPr="00124900">
        <w:rPr>
          <w:sz w:val="22"/>
          <w:szCs w:val="22"/>
        </w:rPr>
        <w:t xml:space="preserve">% έναντι του στόχου του </w:t>
      </w:r>
      <w:r>
        <w:rPr>
          <w:sz w:val="22"/>
          <w:szCs w:val="22"/>
        </w:rPr>
        <w:t>ΜΠΔΣ 2018-2021</w:t>
      </w:r>
      <w:r w:rsidRPr="00124900">
        <w:rPr>
          <w:sz w:val="22"/>
          <w:szCs w:val="22"/>
        </w:rPr>
        <w:t>. Η απ</w:t>
      </w:r>
      <w:r>
        <w:rPr>
          <w:sz w:val="22"/>
          <w:szCs w:val="22"/>
        </w:rPr>
        <w:t xml:space="preserve">όκλιση αυτή </w:t>
      </w:r>
      <w:r>
        <w:rPr>
          <w:sz w:val="22"/>
          <w:szCs w:val="22"/>
        </w:rPr>
        <w:t>ο</w:t>
      </w:r>
      <w:r>
        <w:rPr>
          <w:sz w:val="22"/>
          <w:szCs w:val="22"/>
        </w:rPr>
        <w:t>φείλεται κυρίως</w:t>
      </w:r>
      <w:r w:rsidRPr="00124900">
        <w:rPr>
          <w:sz w:val="22"/>
          <w:szCs w:val="22"/>
        </w:rPr>
        <w:t>:</w:t>
      </w:r>
    </w:p>
    <w:p w:rsidR="00A50FB2" w:rsidRDefault="00A50FB2" w:rsidP="00A50FB2">
      <w:pPr>
        <w:pStyle w:val="Web"/>
        <w:spacing w:before="0" w:beforeAutospacing="0" w:after="0" w:line="228" w:lineRule="auto"/>
        <w:jc w:val="both"/>
        <w:rPr>
          <w:sz w:val="22"/>
          <w:szCs w:val="22"/>
        </w:rPr>
      </w:pPr>
    </w:p>
    <w:p w:rsidR="00A50FB2" w:rsidRPr="00AA6AEF" w:rsidRDefault="00A50FB2" w:rsidP="00A50FB2">
      <w:pPr>
        <w:numPr>
          <w:ilvl w:val="0"/>
          <w:numId w:val="13"/>
        </w:numPr>
        <w:spacing w:line="228" w:lineRule="auto"/>
        <w:ind w:left="284" w:hanging="284"/>
        <w:jc w:val="both"/>
        <w:rPr>
          <w:sz w:val="22"/>
          <w:szCs w:val="22"/>
        </w:rPr>
      </w:pPr>
      <w:r w:rsidRPr="00AA6AEF">
        <w:rPr>
          <w:sz w:val="22"/>
          <w:szCs w:val="22"/>
        </w:rPr>
        <w:t xml:space="preserve">στις αυξημένες επιστροφές φόρων, οι οποίες </w:t>
      </w:r>
      <w:r w:rsidR="00F35479">
        <w:rPr>
          <w:sz w:val="22"/>
          <w:szCs w:val="22"/>
        </w:rPr>
        <w:t xml:space="preserve">εκτιμάται ότι θα </w:t>
      </w:r>
      <w:r w:rsidRPr="00AA6AEF">
        <w:rPr>
          <w:sz w:val="22"/>
          <w:szCs w:val="22"/>
        </w:rPr>
        <w:t xml:space="preserve">διαμορφωθούν σε </w:t>
      </w:r>
      <w:r>
        <w:rPr>
          <w:sz w:val="22"/>
          <w:szCs w:val="22"/>
        </w:rPr>
        <w:t>5.577</w:t>
      </w:r>
      <w:r w:rsidRPr="00AA6AEF">
        <w:rPr>
          <w:sz w:val="22"/>
          <w:szCs w:val="22"/>
        </w:rPr>
        <w:t xml:space="preserve"> εκατ. ευρώ, παρουσιάζοντας αύξηση κατά </w:t>
      </w:r>
      <w:r>
        <w:rPr>
          <w:sz w:val="22"/>
          <w:szCs w:val="22"/>
        </w:rPr>
        <w:t>2.253</w:t>
      </w:r>
      <w:r w:rsidRPr="00AA6AEF">
        <w:rPr>
          <w:sz w:val="22"/>
          <w:szCs w:val="22"/>
        </w:rPr>
        <w:t xml:space="preserve"> εκατ. ευρώ έναντι του στόχου</w:t>
      </w:r>
      <w:r w:rsidR="00D16EDC" w:rsidRPr="00D16EDC">
        <w:rPr>
          <w:sz w:val="22"/>
          <w:szCs w:val="22"/>
        </w:rPr>
        <w:t xml:space="preserve"> </w:t>
      </w:r>
      <w:r w:rsidR="000B03A8">
        <w:rPr>
          <w:sz w:val="22"/>
          <w:szCs w:val="22"/>
        </w:rPr>
        <w:t>σε ταμειακή βάση</w:t>
      </w:r>
      <w:r w:rsidR="00EC6C32">
        <w:rPr>
          <w:sz w:val="22"/>
          <w:szCs w:val="22"/>
        </w:rPr>
        <w:t xml:space="preserve">, ενώ </w:t>
      </w:r>
      <w:r w:rsidRPr="00AA6AEF">
        <w:rPr>
          <w:sz w:val="22"/>
          <w:szCs w:val="22"/>
        </w:rPr>
        <w:t>σε δ</w:t>
      </w:r>
      <w:r w:rsidRPr="00AA6AEF">
        <w:rPr>
          <w:sz w:val="22"/>
          <w:szCs w:val="22"/>
        </w:rPr>
        <w:t>η</w:t>
      </w:r>
      <w:r w:rsidRPr="00AA6AEF">
        <w:rPr>
          <w:sz w:val="22"/>
          <w:szCs w:val="22"/>
        </w:rPr>
        <w:t xml:space="preserve">μοσιονομική βάση </w:t>
      </w:r>
      <w:r w:rsidR="000B03A8">
        <w:rPr>
          <w:sz w:val="22"/>
          <w:szCs w:val="22"/>
        </w:rPr>
        <w:t>η αύξηση έναντι του στόχου</w:t>
      </w:r>
      <w:r w:rsidRPr="00AA6AEF">
        <w:rPr>
          <w:sz w:val="22"/>
          <w:szCs w:val="22"/>
        </w:rPr>
        <w:t xml:space="preserve"> </w:t>
      </w:r>
      <w:r>
        <w:rPr>
          <w:sz w:val="22"/>
          <w:szCs w:val="22"/>
        </w:rPr>
        <w:t>περιορίζεται σε 5</w:t>
      </w:r>
      <w:r w:rsidRPr="00AA6AEF">
        <w:rPr>
          <w:sz w:val="22"/>
          <w:szCs w:val="22"/>
        </w:rPr>
        <w:t xml:space="preserve">06 εκατ. ευρώ, </w:t>
      </w:r>
    </w:p>
    <w:p w:rsidR="00A50FB2" w:rsidRPr="00AA6AEF" w:rsidRDefault="00A50FB2" w:rsidP="00A50FB2">
      <w:pPr>
        <w:numPr>
          <w:ilvl w:val="0"/>
          <w:numId w:val="13"/>
        </w:numPr>
        <w:spacing w:line="228" w:lineRule="auto"/>
        <w:ind w:left="284" w:hanging="284"/>
        <w:jc w:val="both"/>
        <w:rPr>
          <w:sz w:val="22"/>
          <w:szCs w:val="22"/>
        </w:rPr>
      </w:pPr>
      <w:r w:rsidRPr="00AA6AEF">
        <w:rPr>
          <w:sz w:val="22"/>
          <w:szCs w:val="22"/>
        </w:rPr>
        <w:t>στη μείωση κατά 9</w:t>
      </w:r>
      <w:r>
        <w:rPr>
          <w:sz w:val="22"/>
          <w:szCs w:val="22"/>
        </w:rPr>
        <w:t xml:space="preserve">96 </w:t>
      </w:r>
      <w:r w:rsidRPr="00AA6AEF">
        <w:rPr>
          <w:sz w:val="22"/>
          <w:szCs w:val="22"/>
        </w:rPr>
        <w:t>εκατ. ευρώ στο</w:t>
      </w:r>
      <w:r w:rsidR="009441D7">
        <w:rPr>
          <w:sz w:val="22"/>
          <w:szCs w:val="22"/>
        </w:rPr>
        <w:t xml:space="preserve"> </w:t>
      </w:r>
      <w:r w:rsidRPr="00AA6AEF">
        <w:rPr>
          <w:sz w:val="22"/>
          <w:szCs w:val="22"/>
        </w:rPr>
        <w:t>Φόρο Εισοδήματος Φυσικών Προσώπων (ΦΕΦΠ),</w:t>
      </w:r>
    </w:p>
    <w:p w:rsidR="00A50FB2" w:rsidRPr="00AA6AEF" w:rsidRDefault="00A50FB2" w:rsidP="00A50FB2">
      <w:pPr>
        <w:numPr>
          <w:ilvl w:val="0"/>
          <w:numId w:val="13"/>
        </w:numPr>
        <w:spacing w:line="228" w:lineRule="auto"/>
        <w:ind w:left="284" w:hanging="284"/>
        <w:jc w:val="both"/>
        <w:rPr>
          <w:sz w:val="22"/>
          <w:szCs w:val="22"/>
        </w:rPr>
      </w:pPr>
      <w:r w:rsidRPr="00AA6AEF">
        <w:rPr>
          <w:sz w:val="22"/>
          <w:szCs w:val="22"/>
        </w:rPr>
        <w:t xml:space="preserve">στη μετακύλιση της τελευταίας δόσης του Ενιαίου Φόρου Ιδιοκτησίας Ακινήτων (ΕΝΦΙΑ) του </w:t>
      </w:r>
      <w:r w:rsidRPr="00AA6AEF">
        <w:rPr>
          <w:sz w:val="22"/>
          <w:szCs w:val="22"/>
        </w:rPr>
        <w:t>έ</w:t>
      </w:r>
      <w:r w:rsidRPr="00AA6AEF">
        <w:rPr>
          <w:sz w:val="22"/>
          <w:szCs w:val="22"/>
        </w:rPr>
        <w:t xml:space="preserve">τους 2017, εκτιμώμενου ποσού </w:t>
      </w:r>
      <w:r>
        <w:rPr>
          <w:sz w:val="22"/>
          <w:szCs w:val="22"/>
        </w:rPr>
        <w:t xml:space="preserve">281 </w:t>
      </w:r>
      <w:r w:rsidRPr="00AA6AEF">
        <w:rPr>
          <w:sz w:val="22"/>
          <w:szCs w:val="22"/>
        </w:rPr>
        <w:t xml:space="preserve">εκατ. ευρώ, στον Ιανουάριο του 2018. </w:t>
      </w:r>
    </w:p>
    <w:p w:rsidR="00A50FB2" w:rsidRDefault="00A50FB2" w:rsidP="00A50FB2">
      <w:pPr>
        <w:spacing w:line="228" w:lineRule="auto"/>
        <w:jc w:val="both"/>
        <w:rPr>
          <w:szCs w:val="22"/>
        </w:rPr>
      </w:pPr>
    </w:p>
    <w:p w:rsidR="00A50FB2" w:rsidRPr="00AA6AEF" w:rsidRDefault="006D5A63" w:rsidP="00A50FB2">
      <w:pPr>
        <w:spacing w:line="228" w:lineRule="auto"/>
        <w:jc w:val="both"/>
        <w:rPr>
          <w:sz w:val="22"/>
          <w:szCs w:val="22"/>
        </w:rPr>
      </w:pPr>
      <w:r>
        <w:rPr>
          <w:sz w:val="22"/>
          <w:szCs w:val="22"/>
        </w:rPr>
        <w:t>Παράλληλα, άλλες κατηγορίες εσόδων αναμένεται να καταγράψουν υπέρβαση 581 εκατ. ευρώ (σε ταμειακή βάση) περιορίζοντας τη</w:t>
      </w:r>
      <w:r w:rsidR="000B03A8">
        <w:rPr>
          <w:sz w:val="22"/>
          <w:szCs w:val="22"/>
        </w:rPr>
        <w:t xml:space="preserve"> συνολική </w:t>
      </w:r>
      <w:r>
        <w:rPr>
          <w:sz w:val="22"/>
          <w:szCs w:val="22"/>
        </w:rPr>
        <w:t xml:space="preserve">ταμειακή </w:t>
      </w:r>
      <w:r w:rsidR="000B03A8">
        <w:rPr>
          <w:sz w:val="22"/>
          <w:szCs w:val="22"/>
        </w:rPr>
        <w:t xml:space="preserve">απόκλιση </w:t>
      </w:r>
      <w:r>
        <w:rPr>
          <w:sz w:val="22"/>
          <w:szCs w:val="22"/>
        </w:rPr>
        <w:t xml:space="preserve">των εσόδων </w:t>
      </w:r>
      <w:r w:rsidR="000B03A8" w:rsidRPr="00AA6AEF">
        <w:rPr>
          <w:sz w:val="22"/>
          <w:szCs w:val="22"/>
        </w:rPr>
        <w:t xml:space="preserve">στα </w:t>
      </w:r>
      <w:r w:rsidR="000B03A8">
        <w:rPr>
          <w:sz w:val="22"/>
          <w:szCs w:val="22"/>
        </w:rPr>
        <w:t>2.949</w:t>
      </w:r>
      <w:r w:rsidR="000B03A8" w:rsidRPr="00AA6AEF">
        <w:rPr>
          <w:sz w:val="22"/>
          <w:szCs w:val="22"/>
        </w:rPr>
        <w:t xml:space="preserve"> εκατ. ευρώ</w:t>
      </w:r>
      <w:r w:rsidR="00A50FB2" w:rsidRPr="00AA6AEF">
        <w:rPr>
          <w:sz w:val="22"/>
          <w:szCs w:val="22"/>
        </w:rPr>
        <w:t>.</w:t>
      </w:r>
    </w:p>
    <w:p w:rsidR="00511DE8" w:rsidRDefault="00511DE8">
      <w:pPr>
        <w:rPr>
          <w:sz w:val="22"/>
          <w:szCs w:val="22"/>
        </w:rPr>
      </w:pPr>
      <w:r>
        <w:rPr>
          <w:sz w:val="22"/>
          <w:szCs w:val="22"/>
        </w:rPr>
        <w:br w:type="page"/>
      </w:r>
    </w:p>
    <w:p w:rsidR="002B25D3" w:rsidRPr="004E19EC" w:rsidRDefault="002B25D3" w:rsidP="002B25D3">
      <w:pPr>
        <w:rPr>
          <w:b/>
          <w:szCs w:val="22"/>
        </w:rPr>
      </w:pPr>
    </w:p>
    <w:tbl>
      <w:tblPr>
        <w:tblW w:w="9364" w:type="dxa"/>
        <w:tblLayout w:type="fixed"/>
        <w:tblCellMar>
          <w:left w:w="85" w:type="dxa"/>
          <w:right w:w="85" w:type="dxa"/>
        </w:tblCellMar>
        <w:tblLook w:val="04A0" w:firstRow="1" w:lastRow="0" w:firstColumn="1" w:lastColumn="0" w:noHBand="0" w:noVBand="1"/>
      </w:tblPr>
      <w:tblGrid>
        <w:gridCol w:w="5111"/>
        <w:gridCol w:w="880"/>
        <w:gridCol w:w="821"/>
        <w:gridCol w:w="920"/>
        <w:gridCol w:w="793"/>
        <w:gridCol w:w="839"/>
      </w:tblGrid>
      <w:tr w:rsidR="002B25D3" w:rsidRPr="00F7342C" w:rsidTr="004E19EC">
        <w:trPr>
          <w:trHeight w:val="794"/>
          <w:tblHeader/>
        </w:trPr>
        <w:tc>
          <w:tcPr>
            <w:tcW w:w="9364" w:type="dxa"/>
            <w:gridSpan w:val="6"/>
            <w:tcBorders>
              <w:top w:val="single" w:sz="6" w:space="0" w:color="auto"/>
              <w:left w:val="single" w:sz="6" w:space="0" w:color="auto"/>
              <w:bottom w:val="single" w:sz="6" w:space="0" w:color="auto"/>
              <w:right w:val="single" w:sz="6" w:space="0" w:color="auto"/>
            </w:tcBorders>
            <w:shd w:val="clear" w:color="auto" w:fill="404040" w:themeFill="text1" w:themeFillTint="BF"/>
            <w:tcMar>
              <w:top w:w="8" w:type="dxa"/>
              <w:left w:w="8" w:type="dxa"/>
              <w:bottom w:w="0" w:type="dxa"/>
              <w:right w:w="8" w:type="dxa"/>
            </w:tcMar>
            <w:vAlign w:val="center"/>
            <w:hideMark/>
          </w:tcPr>
          <w:p w:rsidR="002B25D3" w:rsidRPr="00F7342C" w:rsidRDefault="002B25D3" w:rsidP="002B25D3">
            <w:pPr>
              <w:contextualSpacing/>
              <w:jc w:val="center"/>
              <w:rPr>
                <w:rFonts w:ascii="Arial Narrow" w:hAnsi="Arial Narrow"/>
                <w:b/>
                <w:bCs/>
                <w:color w:val="FFFFFF" w:themeColor="background1"/>
              </w:rPr>
            </w:pPr>
            <w:bookmarkStart w:id="1" w:name="RANGE!A1:E130"/>
            <w:r w:rsidRPr="00F7342C">
              <w:rPr>
                <w:rFonts w:ascii="Arial Narrow" w:hAnsi="Arial Narrow"/>
                <w:b/>
                <w:bCs/>
                <w:color w:val="FFFFFF" w:themeColor="background1"/>
              </w:rPr>
              <w:t>Πίνακας 3.2 Ισοζύγιο Γενικής Κυβέρνησης σύμφωνα με τη μεθοδολογία European System of Accounts (ESA)</w:t>
            </w:r>
          </w:p>
          <w:bookmarkEnd w:id="1"/>
          <w:p w:rsidR="002B25D3" w:rsidRPr="00F7342C" w:rsidRDefault="002B25D3" w:rsidP="002B25D3">
            <w:pPr>
              <w:contextualSpacing/>
              <w:jc w:val="center"/>
              <w:rPr>
                <w:rFonts w:ascii="Arial Narrow" w:hAnsi="Arial Narrow"/>
                <w:b/>
                <w:bCs/>
                <w:color w:val="FFFFFF" w:themeColor="background1"/>
              </w:rPr>
            </w:pPr>
            <w:r w:rsidRPr="00F7342C">
              <w:rPr>
                <w:rFonts w:ascii="Arial Narrow" w:hAnsi="Arial Narrow"/>
                <w:b/>
                <w:bCs/>
                <w:color w:val="FFFFFF" w:themeColor="background1"/>
              </w:rPr>
              <w:t>(σε εκατ. ευρώ)</w:t>
            </w:r>
          </w:p>
        </w:tc>
      </w:tr>
      <w:tr w:rsidR="002B25D3" w:rsidRPr="004E19EC" w:rsidTr="004E19EC">
        <w:trPr>
          <w:trHeight w:val="113"/>
          <w:tblHeader/>
        </w:trPr>
        <w:tc>
          <w:tcPr>
            <w:tcW w:w="9364" w:type="dxa"/>
            <w:gridSpan w:val="6"/>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2B25D3" w:rsidRPr="004E19EC" w:rsidRDefault="002B25D3" w:rsidP="002B25D3">
            <w:pPr>
              <w:contextualSpacing/>
              <w:jc w:val="center"/>
              <w:rPr>
                <w:rFonts w:ascii="Arial Narrow" w:hAnsi="Arial Narrow"/>
                <w:b/>
                <w:bCs/>
                <w:color w:val="FFFFFF" w:themeColor="background1"/>
                <w:sz w:val="12"/>
                <w:szCs w:val="16"/>
              </w:rPr>
            </w:pPr>
          </w:p>
        </w:tc>
      </w:tr>
      <w:tr w:rsidR="002B25D3" w:rsidTr="004E19EC">
        <w:trPr>
          <w:trHeight w:val="20"/>
          <w:tblHeader/>
        </w:trPr>
        <w:tc>
          <w:tcPr>
            <w:tcW w:w="5111" w:type="dxa"/>
            <w:vMerge w:val="restart"/>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2B25D3" w:rsidRDefault="002B25D3" w:rsidP="002B25D3">
            <w:pPr>
              <w:contextualSpacing/>
              <w:jc w:val="center"/>
              <w:rPr>
                <w:rFonts w:ascii="Arial Narrow" w:hAnsi="Arial Narrow"/>
                <w:sz w:val="16"/>
                <w:szCs w:val="16"/>
              </w:rPr>
            </w:pPr>
            <w:r>
              <w:rPr>
                <w:rFonts w:ascii="Arial Narrow" w:hAnsi="Arial Narrow"/>
                <w:sz w:val="16"/>
                <w:szCs w:val="16"/>
              </w:rPr>
              <w:t xml:space="preserve"> </w:t>
            </w:r>
          </w:p>
        </w:tc>
        <w:tc>
          <w:tcPr>
            <w:tcW w:w="880" w:type="dxa"/>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2B25D3" w:rsidRDefault="002B25D3" w:rsidP="002B25D3">
            <w:pPr>
              <w:contextualSpacing/>
              <w:jc w:val="center"/>
              <w:rPr>
                <w:rFonts w:ascii="Arial Narrow" w:hAnsi="Arial Narrow"/>
                <w:b/>
                <w:bCs/>
                <w:sz w:val="16"/>
                <w:szCs w:val="16"/>
              </w:rPr>
            </w:pPr>
            <w:r>
              <w:rPr>
                <w:rFonts w:ascii="Arial Narrow" w:hAnsi="Arial Narrow"/>
                <w:b/>
                <w:bCs/>
                <w:sz w:val="16"/>
                <w:szCs w:val="16"/>
              </w:rPr>
              <w:t>2016</w:t>
            </w:r>
          </w:p>
        </w:tc>
        <w:tc>
          <w:tcPr>
            <w:tcW w:w="1741" w:type="dxa"/>
            <w:gridSpan w:val="2"/>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2B25D3" w:rsidRDefault="002B25D3" w:rsidP="002B25D3">
            <w:pPr>
              <w:contextualSpacing/>
              <w:jc w:val="center"/>
              <w:rPr>
                <w:rFonts w:ascii="Arial Narrow" w:hAnsi="Arial Narrow"/>
                <w:b/>
                <w:bCs/>
                <w:sz w:val="16"/>
                <w:szCs w:val="16"/>
              </w:rPr>
            </w:pPr>
            <w:r>
              <w:rPr>
                <w:rFonts w:ascii="Arial Narrow" w:hAnsi="Arial Narrow"/>
                <w:b/>
                <w:bCs/>
                <w:sz w:val="16"/>
                <w:szCs w:val="16"/>
              </w:rPr>
              <w:t>2017</w:t>
            </w:r>
          </w:p>
        </w:tc>
        <w:tc>
          <w:tcPr>
            <w:tcW w:w="1632" w:type="dxa"/>
            <w:gridSpan w:val="2"/>
            <w:tcBorders>
              <w:top w:val="single" w:sz="6" w:space="0" w:color="auto"/>
              <w:left w:val="single" w:sz="6" w:space="0" w:color="auto"/>
              <w:bottom w:val="single" w:sz="6" w:space="0" w:color="auto"/>
              <w:right w:val="single" w:sz="6" w:space="0" w:color="auto"/>
            </w:tcBorders>
            <w:shd w:val="clear" w:color="auto" w:fill="auto"/>
            <w:noWrap/>
            <w:tcMar>
              <w:top w:w="8" w:type="dxa"/>
              <w:left w:w="8" w:type="dxa"/>
              <w:bottom w:w="0" w:type="dxa"/>
              <w:right w:w="8" w:type="dxa"/>
            </w:tcMar>
            <w:vAlign w:val="center"/>
            <w:hideMark/>
          </w:tcPr>
          <w:p w:rsidR="002B25D3" w:rsidRDefault="002B25D3" w:rsidP="002B25D3">
            <w:pPr>
              <w:contextualSpacing/>
              <w:jc w:val="center"/>
              <w:rPr>
                <w:rFonts w:ascii="Arial Narrow" w:hAnsi="Arial Narrow"/>
                <w:b/>
                <w:bCs/>
                <w:sz w:val="16"/>
                <w:szCs w:val="16"/>
              </w:rPr>
            </w:pPr>
            <w:r>
              <w:rPr>
                <w:rFonts w:ascii="Arial Narrow" w:hAnsi="Arial Narrow"/>
                <w:b/>
                <w:bCs/>
                <w:sz w:val="16"/>
                <w:szCs w:val="16"/>
              </w:rPr>
              <w:t>2018</w:t>
            </w:r>
          </w:p>
        </w:tc>
      </w:tr>
      <w:tr w:rsidR="002B25D3" w:rsidTr="004E19EC">
        <w:trPr>
          <w:trHeight w:val="20"/>
          <w:tblHeader/>
        </w:trPr>
        <w:tc>
          <w:tcPr>
            <w:tcW w:w="511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2B25D3" w:rsidRDefault="002B25D3" w:rsidP="002B25D3">
            <w:pPr>
              <w:contextualSpacing/>
              <w:rPr>
                <w:rFonts w:ascii="Arial Narrow" w:hAnsi="Arial Narrow"/>
                <w:sz w:val="16"/>
                <w:szCs w:val="16"/>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2B25D3" w:rsidRDefault="002B25D3" w:rsidP="002B25D3">
            <w:pPr>
              <w:contextualSpacing/>
              <w:jc w:val="center"/>
              <w:rPr>
                <w:rFonts w:ascii="Arial Narrow" w:hAnsi="Arial Narrow"/>
                <w:b/>
                <w:bCs/>
                <w:sz w:val="16"/>
                <w:szCs w:val="16"/>
              </w:rPr>
            </w:pPr>
            <w:r>
              <w:rPr>
                <w:rFonts w:ascii="Arial Narrow" w:hAnsi="Arial Narrow"/>
                <w:b/>
                <w:bCs/>
                <w:sz w:val="16"/>
                <w:szCs w:val="16"/>
              </w:rPr>
              <w:t>Πραγμ/σεις</w:t>
            </w:r>
            <w:r w:rsidRPr="00E22E42">
              <w:rPr>
                <w:rFonts w:ascii="Arial Narrow" w:hAnsi="Arial Narrow"/>
                <w:b/>
                <w:bCs/>
                <w:sz w:val="16"/>
                <w:szCs w:val="16"/>
                <w:vertAlign w:val="superscript"/>
              </w:rPr>
              <w:t>1</w:t>
            </w:r>
          </w:p>
        </w:tc>
        <w:tc>
          <w:tcPr>
            <w:tcW w:w="821"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2B25D3" w:rsidRDefault="002B25D3" w:rsidP="002B25D3">
            <w:pPr>
              <w:contextualSpacing/>
              <w:jc w:val="center"/>
              <w:rPr>
                <w:rFonts w:ascii="Arial Narrow" w:hAnsi="Arial Narrow"/>
                <w:b/>
                <w:bCs/>
                <w:sz w:val="16"/>
                <w:szCs w:val="16"/>
              </w:rPr>
            </w:pPr>
            <w:r>
              <w:rPr>
                <w:rFonts w:ascii="Arial Narrow" w:hAnsi="Arial Narrow"/>
                <w:b/>
                <w:bCs/>
                <w:sz w:val="16"/>
                <w:szCs w:val="16"/>
              </w:rPr>
              <w:t>Εκτίμηση</w:t>
            </w:r>
          </w:p>
          <w:p w:rsidR="002B25D3" w:rsidRDefault="002B25D3" w:rsidP="002B25D3">
            <w:pPr>
              <w:contextualSpacing/>
              <w:jc w:val="center"/>
              <w:rPr>
                <w:rFonts w:ascii="Arial Narrow" w:hAnsi="Arial Narrow"/>
                <w:b/>
                <w:bCs/>
                <w:sz w:val="16"/>
                <w:szCs w:val="16"/>
              </w:rPr>
            </w:pPr>
            <w:r>
              <w:rPr>
                <w:rFonts w:ascii="Arial Narrow" w:hAnsi="Arial Narrow"/>
                <w:b/>
                <w:bCs/>
                <w:sz w:val="16"/>
                <w:szCs w:val="16"/>
              </w:rPr>
              <w:t>ΜΠΔΣ</w:t>
            </w:r>
          </w:p>
        </w:tc>
        <w:tc>
          <w:tcPr>
            <w:tcW w:w="920"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2B25D3" w:rsidRDefault="002B25D3" w:rsidP="002B25D3">
            <w:pPr>
              <w:contextualSpacing/>
              <w:jc w:val="center"/>
              <w:rPr>
                <w:rFonts w:ascii="Arial Narrow" w:hAnsi="Arial Narrow"/>
                <w:b/>
                <w:bCs/>
                <w:sz w:val="16"/>
                <w:szCs w:val="16"/>
              </w:rPr>
            </w:pPr>
            <w:r>
              <w:rPr>
                <w:rFonts w:ascii="Arial Narrow" w:hAnsi="Arial Narrow"/>
                <w:b/>
                <w:bCs/>
                <w:sz w:val="16"/>
                <w:szCs w:val="16"/>
              </w:rPr>
              <w:t>Εκτίμηση</w:t>
            </w:r>
          </w:p>
        </w:tc>
        <w:tc>
          <w:tcPr>
            <w:tcW w:w="793" w:type="dxa"/>
            <w:tcBorders>
              <w:top w:val="single" w:sz="6" w:space="0" w:color="auto"/>
              <w:left w:val="single" w:sz="6" w:space="0" w:color="auto"/>
              <w:bottom w:val="single" w:sz="6" w:space="0" w:color="auto"/>
              <w:right w:val="single" w:sz="6" w:space="0" w:color="auto"/>
            </w:tcBorders>
            <w:shd w:val="clear" w:color="auto" w:fill="auto"/>
            <w:tcMar>
              <w:top w:w="8" w:type="dxa"/>
              <w:left w:w="8" w:type="dxa"/>
              <w:bottom w:w="0" w:type="dxa"/>
              <w:right w:w="8" w:type="dxa"/>
            </w:tcMar>
            <w:vAlign w:val="center"/>
            <w:hideMark/>
          </w:tcPr>
          <w:p w:rsidR="002B25D3" w:rsidRDefault="002B25D3" w:rsidP="002B25D3">
            <w:pPr>
              <w:contextualSpacing/>
              <w:jc w:val="center"/>
              <w:rPr>
                <w:rFonts w:ascii="Arial Narrow" w:hAnsi="Arial Narrow"/>
                <w:b/>
                <w:bCs/>
                <w:sz w:val="16"/>
                <w:szCs w:val="16"/>
              </w:rPr>
            </w:pPr>
            <w:r>
              <w:rPr>
                <w:rFonts w:ascii="Arial Narrow" w:hAnsi="Arial Narrow"/>
                <w:b/>
                <w:bCs/>
                <w:sz w:val="16"/>
                <w:szCs w:val="16"/>
              </w:rPr>
              <w:t>Πρόβλεψη</w:t>
            </w:r>
          </w:p>
          <w:p w:rsidR="002B25D3" w:rsidRDefault="002B25D3" w:rsidP="002B25D3">
            <w:pPr>
              <w:contextualSpacing/>
              <w:jc w:val="center"/>
              <w:rPr>
                <w:rFonts w:ascii="Arial Narrow" w:hAnsi="Arial Narrow"/>
                <w:b/>
                <w:bCs/>
                <w:sz w:val="16"/>
                <w:szCs w:val="16"/>
              </w:rPr>
            </w:pPr>
            <w:r>
              <w:rPr>
                <w:rFonts w:ascii="Arial Narrow" w:hAnsi="Arial Narrow"/>
                <w:b/>
                <w:bCs/>
                <w:sz w:val="16"/>
                <w:szCs w:val="16"/>
              </w:rPr>
              <w:t>ΜΠΔΣ</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2B25D3" w:rsidRDefault="00FD3193" w:rsidP="002B25D3">
            <w:pPr>
              <w:contextualSpacing/>
              <w:jc w:val="center"/>
              <w:rPr>
                <w:rFonts w:ascii="Arial Narrow" w:hAnsi="Arial Narrow"/>
                <w:b/>
                <w:bCs/>
                <w:sz w:val="16"/>
                <w:szCs w:val="16"/>
              </w:rPr>
            </w:pPr>
            <w:r>
              <w:rPr>
                <w:rFonts w:ascii="Arial Narrow" w:hAnsi="Arial Narrow"/>
                <w:b/>
                <w:bCs/>
                <w:sz w:val="16"/>
                <w:szCs w:val="16"/>
              </w:rPr>
              <w:t>Πρόβλεψη</w:t>
            </w:r>
          </w:p>
        </w:tc>
      </w:tr>
      <w:tr w:rsidR="004E19EC" w:rsidTr="004E19EC">
        <w:trPr>
          <w:trHeight w:val="20"/>
        </w:trPr>
        <w:tc>
          <w:tcPr>
            <w:tcW w:w="5111" w:type="dxa"/>
            <w:tcBorders>
              <w:top w:val="single" w:sz="6" w:space="0" w:color="auto"/>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Ι. Έσοδα (1+2)</w:t>
            </w:r>
          </w:p>
        </w:tc>
        <w:tc>
          <w:tcPr>
            <w:tcW w:w="880"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53.125</w:t>
            </w:r>
          </w:p>
        </w:tc>
        <w:tc>
          <w:tcPr>
            <w:tcW w:w="821"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55.281</w:t>
            </w:r>
          </w:p>
        </w:tc>
        <w:tc>
          <w:tcPr>
            <w:tcW w:w="920"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52.142</w:t>
            </w:r>
          </w:p>
        </w:tc>
        <w:tc>
          <w:tcPr>
            <w:tcW w:w="793" w:type="dxa"/>
            <w:tcBorders>
              <w:top w:val="single" w:sz="6" w:space="0" w:color="auto"/>
            </w:tcBorders>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55.008</w:t>
            </w:r>
          </w:p>
        </w:tc>
        <w:tc>
          <w:tcPr>
            <w:tcW w:w="839" w:type="dxa"/>
            <w:tcBorders>
              <w:top w:val="single" w:sz="6" w:space="0" w:color="auto"/>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54.244</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1. Καθαρά έσοδα τακτικού προϋπολογισμού (α+β-γ-γ1+δ+ε)</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48.954</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51.664</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48.715</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51.273</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50.509</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α. Τακτικά έσοδα (1+2+3+4)</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52.334</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52.730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52.055</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52.938</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52.429</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 xml:space="preserve">    1. Άμεσοι φόροι</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21.839</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21.525</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20.288</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21.453</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20.766</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 xml:space="preserve">    2.Έμμεσοι φόροι</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25.680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26.718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26.917</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27.502</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27.390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 xml:space="preserve">    3. Απολήψεις από ΕΕ</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415</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508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510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321</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331</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 xml:space="preserve">    4. Μη φορολογικά έσοδα</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4.400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3.979</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4.340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3.662</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3.942</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β. Μη τακτικά έσοδα</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429</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306</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350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283</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304</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γ. Επιστροφές φόρων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3.263</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3.324</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5.577</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3.383</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3.648</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γ1.Επιστροφές φόρων από ειδική πίστωση</w:t>
            </w:r>
            <w:r w:rsidRPr="00FA191C">
              <w:rPr>
                <w:rFonts w:ascii="Arial Narrow" w:hAnsi="Arial Narrow"/>
                <w:sz w:val="16"/>
                <w:szCs w:val="16"/>
              </w:rPr>
              <w:tab/>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1.026</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δ. Έσοδα αποκρατικοποιήσεων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106</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1.607</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1.542</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1.121</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1.110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ε. Μεταφορά εσόδων από ANFA</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375</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345</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345</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314</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314</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2. Έσοδα ΠΔΕ (α+β)</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4.172</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3.617</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3.427</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3.735</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3.735</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α. Εισροές από ΕΕ</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3.861</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3.437</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3.177</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3.555</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3.555</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β. Ίδια έσοδα</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311</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180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250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180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180</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8"/>
                <w:szCs w:val="8"/>
              </w:rPr>
            </w:pPr>
            <w:r w:rsidRPr="00FA191C">
              <w:rPr>
                <w:rFonts w:ascii="Arial Narrow" w:hAnsi="Arial Narrow"/>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ΙΙ. Δαπάνες Κρατικού Προϋπολογισμού (1+2)</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59.774</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56.594</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57.265</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56.104</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55.188</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1. Δαπάνες Τακτικού Προϋπολογισμού (α+β)</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53.490</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49.844</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50.515</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49.354</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48.438</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α. Πρωτογενείς δαπάνες (1+2+3+4+5+6+7+8+9+10+11)</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47.913</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44.194</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44.514</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43.454</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43.238</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ind w:left="340" w:hanging="227"/>
              <w:contextualSpacing/>
              <w:rPr>
                <w:rFonts w:ascii="Arial Narrow" w:hAnsi="Arial Narrow"/>
                <w:sz w:val="16"/>
                <w:szCs w:val="16"/>
              </w:rPr>
            </w:pPr>
            <w:r w:rsidRPr="00FA191C">
              <w:rPr>
                <w:rFonts w:ascii="Arial Narrow" w:hAnsi="Arial Narrow"/>
                <w:sz w:val="16"/>
                <w:szCs w:val="16"/>
              </w:rPr>
              <w:t>1.</w:t>
            </w:r>
            <w:r w:rsidRPr="00FA191C">
              <w:rPr>
                <w:rFonts w:ascii="Arial Narrow" w:hAnsi="Arial Narrow"/>
                <w:sz w:val="16"/>
                <w:szCs w:val="16"/>
              </w:rPr>
              <w:tab/>
              <w:t>Μισθοί και συντάξεις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18.065</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12.366</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12.217</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12.540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12.660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ind w:left="340" w:hanging="227"/>
              <w:contextualSpacing/>
              <w:rPr>
                <w:rFonts w:ascii="Arial Narrow" w:hAnsi="Arial Narrow"/>
                <w:sz w:val="16"/>
                <w:szCs w:val="16"/>
              </w:rPr>
            </w:pPr>
            <w:r w:rsidRPr="00FA191C">
              <w:rPr>
                <w:rFonts w:ascii="Arial Narrow" w:hAnsi="Arial Narrow"/>
                <w:sz w:val="16"/>
                <w:szCs w:val="16"/>
              </w:rPr>
              <w:t>2.</w:t>
            </w:r>
            <w:r w:rsidRPr="00FA191C">
              <w:rPr>
                <w:rFonts w:ascii="Arial Narrow" w:hAnsi="Arial Narrow"/>
                <w:sz w:val="16"/>
                <w:szCs w:val="16"/>
              </w:rPr>
              <w:tab/>
              <w:t>Ασφάλιση, Περίθαλψη και Κοινωνική Προστασία</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15.638</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20.268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21.037</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19.649</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19.438</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ind w:left="340" w:hanging="227"/>
              <w:contextualSpacing/>
              <w:rPr>
                <w:rFonts w:ascii="Arial Narrow" w:hAnsi="Arial Narrow"/>
                <w:sz w:val="16"/>
                <w:szCs w:val="16"/>
              </w:rPr>
            </w:pPr>
            <w:r w:rsidRPr="00FA191C">
              <w:rPr>
                <w:rFonts w:ascii="Arial Narrow" w:hAnsi="Arial Narrow"/>
                <w:sz w:val="16"/>
                <w:szCs w:val="16"/>
              </w:rPr>
              <w:t>3.</w:t>
            </w:r>
            <w:r w:rsidRPr="00FA191C">
              <w:rPr>
                <w:rFonts w:ascii="Arial Narrow" w:hAnsi="Arial Narrow"/>
                <w:sz w:val="16"/>
                <w:szCs w:val="16"/>
              </w:rPr>
              <w:tab/>
              <w:t>Λειτουργικές και άλλες δαπάνες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5.297</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5.704</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6.173</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5.295</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5.333</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ind w:left="340" w:hanging="227"/>
              <w:contextualSpacing/>
              <w:rPr>
                <w:rFonts w:ascii="Arial Narrow" w:hAnsi="Arial Narrow"/>
                <w:sz w:val="16"/>
                <w:szCs w:val="16"/>
              </w:rPr>
            </w:pPr>
            <w:r w:rsidRPr="00FA191C">
              <w:rPr>
                <w:rFonts w:ascii="Arial Narrow" w:hAnsi="Arial Narrow"/>
                <w:sz w:val="16"/>
                <w:szCs w:val="16"/>
              </w:rPr>
              <w:t>4.</w:t>
            </w:r>
            <w:r w:rsidRPr="00FA191C">
              <w:rPr>
                <w:rFonts w:ascii="Arial Narrow" w:hAnsi="Arial Narrow"/>
                <w:sz w:val="16"/>
                <w:szCs w:val="16"/>
              </w:rPr>
              <w:tab/>
              <w:t>Αποδόσεις προς τρίτους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3.236</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3.119</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3.108</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3.395</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3.262</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ind w:left="340" w:hanging="227"/>
              <w:contextualSpacing/>
              <w:rPr>
                <w:rFonts w:ascii="Arial Narrow" w:hAnsi="Arial Narrow"/>
                <w:sz w:val="16"/>
                <w:szCs w:val="16"/>
              </w:rPr>
            </w:pPr>
            <w:r w:rsidRPr="00FA191C">
              <w:rPr>
                <w:rFonts w:ascii="Arial Narrow" w:hAnsi="Arial Narrow"/>
                <w:sz w:val="16"/>
                <w:szCs w:val="16"/>
              </w:rPr>
              <w:t>5.</w:t>
            </w:r>
            <w:r w:rsidRPr="00FA191C">
              <w:rPr>
                <w:rFonts w:ascii="Arial Narrow" w:hAnsi="Arial Narrow"/>
                <w:sz w:val="16"/>
                <w:szCs w:val="16"/>
              </w:rPr>
              <w:tab/>
              <w:t>Αποθεματικό</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1.000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346</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1.000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1.000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ind w:left="340" w:hanging="227"/>
              <w:contextualSpacing/>
              <w:rPr>
                <w:rFonts w:ascii="Arial Narrow" w:hAnsi="Arial Narrow"/>
                <w:sz w:val="16"/>
                <w:szCs w:val="16"/>
              </w:rPr>
            </w:pPr>
            <w:r w:rsidRPr="00FA191C">
              <w:rPr>
                <w:rFonts w:ascii="Arial Narrow" w:hAnsi="Arial Narrow"/>
                <w:sz w:val="16"/>
                <w:szCs w:val="16"/>
              </w:rPr>
              <w:t>6.</w:t>
            </w:r>
            <w:r w:rsidRPr="00FA191C">
              <w:rPr>
                <w:rFonts w:ascii="Arial Narrow" w:hAnsi="Arial Narrow"/>
                <w:sz w:val="16"/>
                <w:szCs w:val="16"/>
              </w:rPr>
              <w:tab/>
              <w:t>Δαπάνες ανάληψης δανείων από τον Ευρωπαϊκό Μηχανισμό Στήριξης (ΕΜΣ) και παράλληλες δαπάνες δημοσίου χρέους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65</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75</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75</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65</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ind w:left="340" w:hanging="227"/>
              <w:contextualSpacing/>
              <w:rPr>
                <w:rFonts w:ascii="Arial Narrow" w:hAnsi="Arial Narrow"/>
                <w:sz w:val="16"/>
                <w:szCs w:val="16"/>
              </w:rPr>
            </w:pPr>
            <w:r w:rsidRPr="00FA191C">
              <w:rPr>
                <w:rFonts w:ascii="Arial Narrow" w:hAnsi="Arial Narrow"/>
                <w:sz w:val="16"/>
                <w:szCs w:val="16"/>
              </w:rPr>
              <w:t>7.</w:t>
            </w:r>
            <w:r w:rsidRPr="00FA191C">
              <w:rPr>
                <w:rFonts w:ascii="Arial Narrow" w:hAnsi="Arial Narrow"/>
                <w:sz w:val="16"/>
                <w:szCs w:val="16"/>
              </w:rPr>
              <w:tab/>
              <w:t>Δαπάνες ανάληψης χρεών φορέων</w:t>
            </w:r>
            <w:r w:rsidRPr="00FA191C">
              <w:rPr>
                <w:rFonts w:ascii="Arial Narrow" w:hAnsi="Arial Narrow"/>
                <w:sz w:val="16"/>
                <w:szCs w:val="16"/>
                <w:vertAlign w:val="superscript"/>
              </w:rPr>
              <w:t xml:space="preserve"> </w:t>
            </w:r>
            <w:r w:rsidRPr="00FA191C">
              <w:rPr>
                <w:rFonts w:ascii="Arial Narrow" w:hAnsi="Arial Narrow"/>
                <w:sz w:val="16"/>
                <w:szCs w:val="16"/>
              </w:rPr>
              <w:t xml:space="preserve"> Γενικής Κυβέρνησης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553</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193</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193</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ind w:left="340" w:hanging="227"/>
              <w:contextualSpacing/>
              <w:rPr>
                <w:rFonts w:ascii="Arial Narrow" w:hAnsi="Arial Narrow"/>
                <w:sz w:val="16"/>
                <w:szCs w:val="16"/>
              </w:rPr>
            </w:pPr>
            <w:r w:rsidRPr="00FA191C">
              <w:rPr>
                <w:rFonts w:ascii="Arial Narrow" w:hAnsi="Arial Narrow"/>
                <w:sz w:val="16"/>
                <w:szCs w:val="16"/>
              </w:rPr>
              <w:t>8.</w:t>
            </w:r>
            <w:r w:rsidRPr="00FA191C">
              <w:rPr>
                <w:rFonts w:ascii="Arial Narrow" w:hAnsi="Arial Narrow"/>
                <w:sz w:val="16"/>
                <w:szCs w:val="16"/>
              </w:rPr>
              <w:tab/>
              <w:t>Εγγυήσεις για φορείς εντός Γενικής Κυβέρνησης (σε ακαθάριστη βάση)</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1.619</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855</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855</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927</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927</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ind w:left="340" w:hanging="227"/>
              <w:contextualSpacing/>
              <w:rPr>
                <w:rFonts w:ascii="Arial Narrow" w:hAnsi="Arial Narrow"/>
                <w:sz w:val="16"/>
                <w:szCs w:val="16"/>
              </w:rPr>
            </w:pPr>
            <w:r w:rsidRPr="00FA191C">
              <w:rPr>
                <w:rFonts w:ascii="Arial Narrow" w:hAnsi="Arial Narrow"/>
                <w:sz w:val="16"/>
                <w:szCs w:val="16"/>
              </w:rPr>
              <w:t>9.</w:t>
            </w:r>
            <w:r w:rsidRPr="00FA191C">
              <w:rPr>
                <w:rFonts w:ascii="Arial Narrow" w:hAnsi="Arial Narrow"/>
                <w:sz w:val="16"/>
                <w:szCs w:val="16"/>
              </w:rPr>
              <w:tab/>
              <w:t xml:space="preserve">Εγγυήσεις για φορείς εκτός Γενικής Κυβέρνησης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32</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140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35</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118</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43</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ind w:left="340" w:hanging="227"/>
              <w:contextualSpacing/>
              <w:rPr>
                <w:rFonts w:ascii="Arial Narrow" w:hAnsi="Arial Narrow"/>
                <w:sz w:val="16"/>
                <w:szCs w:val="16"/>
              </w:rPr>
            </w:pPr>
            <w:r w:rsidRPr="00FA191C">
              <w:rPr>
                <w:rFonts w:ascii="Arial Narrow" w:hAnsi="Arial Narrow"/>
                <w:sz w:val="16"/>
                <w:szCs w:val="16"/>
              </w:rPr>
              <w:t>10.</w:t>
            </w:r>
            <w:r w:rsidRPr="00FA191C">
              <w:rPr>
                <w:rFonts w:ascii="Arial Narrow" w:hAnsi="Arial Narrow"/>
                <w:sz w:val="16"/>
                <w:szCs w:val="16"/>
              </w:rPr>
              <w:tab/>
              <w:t>Δαπάνες εξοπλιστικών προγραμμάτων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584</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475</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475</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510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510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ind w:left="340" w:hanging="227"/>
              <w:contextualSpacing/>
              <w:rPr>
                <w:rFonts w:ascii="Arial Narrow" w:hAnsi="Arial Narrow"/>
                <w:sz w:val="16"/>
                <w:szCs w:val="16"/>
              </w:rPr>
            </w:pPr>
            <w:r w:rsidRPr="00FA191C">
              <w:rPr>
                <w:rFonts w:ascii="Arial Narrow" w:hAnsi="Arial Narrow"/>
                <w:sz w:val="16"/>
                <w:szCs w:val="16"/>
              </w:rPr>
              <w:t>11.</w:t>
            </w:r>
            <w:r w:rsidRPr="00FA191C">
              <w:rPr>
                <w:rFonts w:ascii="Arial Narrow" w:hAnsi="Arial Narrow"/>
                <w:sz w:val="16"/>
                <w:szCs w:val="16"/>
              </w:rPr>
              <w:tab/>
              <w:t xml:space="preserve">Χρηματοδοτήσεις για πληρωμές υποχρεώσεων προηγούμενων οικονομικών </w:t>
            </w:r>
            <w:r w:rsidRPr="00FA191C">
              <w:rPr>
                <w:rFonts w:ascii="Arial Narrow" w:hAnsi="Arial Narrow"/>
                <w:sz w:val="16"/>
                <w:szCs w:val="16"/>
              </w:rPr>
              <w:t>ε</w:t>
            </w:r>
            <w:r w:rsidRPr="00FA191C">
              <w:rPr>
                <w:rFonts w:ascii="Arial Narrow" w:hAnsi="Arial Narrow"/>
                <w:sz w:val="16"/>
                <w:szCs w:val="16"/>
              </w:rPr>
              <w:t>τών (ΠΟΕ)</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2.824</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 </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β. Τόκοι</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5.577</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5.650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6.000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5.900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5.200</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8"/>
                <w:szCs w:val="8"/>
              </w:rPr>
            </w:pPr>
            <w:r w:rsidRPr="00FA191C">
              <w:rPr>
                <w:rFonts w:ascii="Arial Narrow" w:hAnsi="Arial Narrow"/>
                <w:b/>
                <w:bCs/>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2. ΠΔΕ  (α+β)</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6.284</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6.750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6.750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6.750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6.750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α. Συγχρηματοδοτούμενο σκέλος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5.474</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5.750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5.750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5.750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5.750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β. Εθνικό σκέλος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810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1.000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1.000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1.000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1.000</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8"/>
                <w:szCs w:val="8"/>
              </w:rPr>
            </w:pPr>
            <w:r w:rsidRPr="00FA191C">
              <w:rPr>
                <w:rFonts w:ascii="Arial Narrow" w:hAnsi="Arial Narrow"/>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ΙΙΙ. Ταμειακό Ισοζύγιο Κρατικού Προϋπολογισμού (Ι - ΙΙ)</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-6.649</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-1.313</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-5.123</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-1.096</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-943</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-3,8%</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-0,7%</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-2,9%</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-0,6%</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-0,5%</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 xml:space="preserve">ΙΙΙ.α. Ταμειακό Πρωτογενές αποτέλεσμα Κρατικού Προϋπολογισμού (ΙΙΙ + </w:t>
            </w:r>
            <w:r w:rsidRPr="00FA191C">
              <w:rPr>
                <w:rFonts w:ascii="Arial Narrow" w:hAnsi="Arial Narrow"/>
                <w:b/>
                <w:bCs/>
                <w:sz w:val="16"/>
                <w:szCs w:val="16"/>
                <w:lang w:val="en-US"/>
              </w:rPr>
              <w:t>II</w:t>
            </w:r>
            <w:r w:rsidRPr="00FA191C">
              <w:rPr>
                <w:rFonts w:ascii="Arial Narrow" w:hAnsi="Arial Narrow"/>
                <w:b/>
                <w:bCs/>
                <w:sz w:val="16"/>
                <w:szCs w:val="16"/>
              </w:rPr>
              <w:t>.1β)</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-1.071</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4.337</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877</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4.804</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4.257</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-0,6%</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2,4%</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0,5%</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2,6%</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2,3%</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8"/>
                <w:szCs w:val="8"/>
              </w:rPr>
            </w:pPr>
            <w:r w:rsidRPr="00FA191C">
              <w:rPr>
                <w:rFonts w:ascii="Arial Narrow" w:hAnsi="Arial Narrow"/>
                <w:b/>
                <w:bCs/>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ΙV. Εθνικολογιστικές προσαρμογές κεντρικής διοίκησης (1+2)</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-371</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-2.657</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-21</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-780</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-2.286</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8"/>
                <w:szCs w:val="8"/>
              </w:rPr>
            </w:pPr>
            <w:r w:rsidRPr="00FA191C">
              <w:rPr>
                <w:rFonts w:ascii="Arial Narrow" w:hAnsi="Arial Narrow"/>
                <w:b/>
                <w:bCs/>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1. Εθνικολογιστικές προσαρμογές – Έσοδα</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-1.350</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-1.996</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139</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-348</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-428</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Επιστροφές Φορολογικών εσόδων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13</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1.747</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Ενιαίος Φόρος Ιδιοκτησίας Ακινήτων (ΕΝΦΙΑ)</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-341</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-382</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-41</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-279</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Φορολογικά έσοδα</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-165</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-19</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56</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Διαφορά ταμειακών - δεδουλευμένων από σχήμα στήριξης Τραπεζών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104</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Διαφορά απαιτήσεων εισπράξεων από ΕΕ</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156</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-98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152</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44</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16</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Προκαταβολές από ΕΕ</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-1.104</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-79</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-15</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13</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Άλλες προσαρμογές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-115</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-117</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-127</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Έσοδα  αποκρατικοποιήσεων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102</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-1.361</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-1.309</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-407</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-522</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vertAlign w:val="superscript"/>
              </w:rPr>
            </w:pPr>
            <w:r w:rsidRPr="00FA191C">
              <w:rPr>
                <w:rFonts w:ascii="Arial Narrow" w:hAnsi="Arial Narrow"/>
                <w:sz w:val="16"/>
                <w:szCs w:val="16"/>
              </w:rPr>
              <w:t>Μεταβολή υπολοίπου λογαριασμών Θησαυροφυλακίου σε σχέση με την 31/12 του προηγούμενου έτους</w:t>
            </w:r>
            <w:r w:rsidRPr="00FA191C">
              <w:rPr>
                <w:rFonts w:ascii="Arial Narrow" w:hAnsi="Arial Narrow"/>
                <w:sz w:val="16"/>
                <w:szCs w:val="16"/>
                <w:vertAlign w:val="superscript"/>
              </w:rPr>
              <w:t>5</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-164</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294</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2. Εθνικολογιστικές προσαρμογές - Δαπάνες</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979</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-661</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-160</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-433</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-1.858</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Εξοπλιστικά προγράμματα του Υπουργείου Εθνικής Άμυνας (διαφορά φυσικών π</w:t>
            </w:r>
            <w:r w:rsidRPr="00FA191C">
              <w:rPr>
                <w:rFonts w:ascii="Arial Narrow" w:hAnsi="Arial Narrow"/>
                <w:sz w:val="16"/>
                <w:szCs w:val="16"/>
              </w:rPr>
              <w:t>α</w:t>
            </w:r>
            <w:r w:rsidRPr="00FA191C">
              <w:rPr>
                <w:rFonts w:ascii="Arial Narrow" w:hAnsi="Arial Narrow"/>
                <w:sz w:val="16"/>
                <w:szCs w:val="16"/>
              </w:rPr>
              <w:t>ραλαβών – πληρωμών)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300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-404</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-357</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207</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204</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Διαφορά απλήρωτων οφειλών Κράτους σε σχέση με την 31/12 του προηγούμενου έτους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502</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Εξοικονόμηση από αναδιάρθρωση προσωπικού λόγω αναγκαστικών αποχωρήσεων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8</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24</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24</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Ατακτοποίητες προκαταβολές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17</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Υπόλοιπο λογαριασμών εκτός προϋπολογισμού</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35</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FA191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Δεδουλευμένοι τόκοι (διαφορά δεδουλευμένων – ταμειακών τόκων)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-731</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-900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-500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-1.100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-2.100</w:t>
            </w:r>
          </w:p>
        </w:tc>
      </w:tr>
      <w:tr w:rsidR="004E19EC" w:rsidTr="00FA191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vertAlign w:val="superscript"/>
              </w:rPr>
            </w:pPr>
            <w:r w:rsidRPr="00FA191C">
              <w:rPr>
                <w:rFonts w:ascii="Arial Narrow" w:hAnsi="Arial Narrow"/>
                <w:sz w:val="16"/>
                <w:szCs w:val="16"/>
              </w:rPr>
              <w:t>Μεταβολή υπολοίπου λογαριασμών Θησαυροφυλακίου σε σχέση με την 31/12 του προηγούμενου έτους</w:t>
            </w:r>
            <w:r w:rsidRPr="00FA191C">
              <w:rPr>
                <w:rFonts w:ascii="Arial Narrow" w:hAnsi="Arial Narrow"/>
                <w:sz w:val="16"/>
                <w:szCs w:val="16"/>
                <w:vertAlign w:val="superscript"/>
              </w:rPr>
              <w:t>5</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944</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-170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300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FA191C">
        <w:trPr>
          <w:trHeight w:val="20"/>
        </w:trPr>
        <w:tc>
          <w:tcPr>
            <w:tcW w:w="5111" w:type="dxa"/>
            <w:tcBorders>
              <w:left w:val="single" w:sz="6" w:space="0" w:color="auto"/>
              <w:bottom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vertAlign w:val="superscript"/>
              </w:rPr>
            </w:pPr>
            <w:r w:rsidRPr="00FA191C">
              <w:rPr>
                <w:rFonts w:ascii="Arial Narrow" w:hAnsi="Arial Narrow"/>
                <w:sz w:val="16"/>
                <w:szCs w:val="16"/>
              </w:rPr>
              <w:t>ΕΛΕΓΕΠ</w:t>
            </w:r>
            <w:r w:rsidRPr="00FA191C">
              <w:rPr>
                <w:rFonts w:ascii="Arial Narrow" w:hAnsi="Arial Narrow"/>
                <w:sz w:val="16"/>
                <w:szCs w:val="16"/>
                <w:vertAlign w:val="superscript"/>
              </w:rPr>
              <w:t>4</w:t>
            </w:r>
          </w:p>
        </w:tc>
        <w:tc>
          <w:tcPr>
            <w:tcW w:w="880" w:type="dxa"/>
            <w:tcBorders>
              <w:bottom w:val="single" w:sz="6"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-223</w:t>
            </w:r>
          </w:p>
        </w:tc>
        <w:tc>
          <w:tcPr>
            <w:tcW w:w="821" w:type="dxa"/>
            <w:tcBorders>
              <w:bottom w:val="single" w:sz="6"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94</w:t>
            </w:r>
          </w:p>
        </w:tc>
        <w:tc>
          <w:tcPr>
            <w:tcW w:w="920" w:type="dxa"/>
            <w:tcBorders>
              <w:bottom w:val="single" w:sz="6"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tcBorders>
              <w:bottom w:val="single" w:sz="6"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115</w:t>
            </w:r>
          </w:p>
        </w:tc>
        <w:tc>
          <w:tcPr>
            <w:tcW w:w="839" w:type="dxa"/>
            <w:tcBorders>
              <w:bottom w:val="single" w:sz="6" w:space="0" w:color="auto"/>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FA191C">
        <w:trPr>
          <w:trHeight w:val="20"/>
        </w:trPr>
        <w:tc>
          <w:tcPr>
            <w:tcW w:w="5111" w:type="dxa"/>
            <w:tcBorders>
              <w:top w:val="single" w:sz="6" w:space="0" w:color="auto"/>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lastRenderedPageBreak/>
              <w:t>Συμμετοχή σε αυξήσεις μετοχικού κεφαλαίου (κεφαλαιακές μεταβιβάσεις)</w:t>
            </w:r>
          </w:p>
        </w:tc>
        <w:tc>
          <w:tcPr>
            <w:tcW w:w="880" w:type="dxa"/>
            <w:tcBorders>
              <w:top w:val="single" w:sz="6"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-21</w:t>
            </w:r>
          </w:p>
        </w:tc>
        <w:tc>
          <w:tcPr>
            <w:tcW w:w="821" w:type="dxa"/>
            <w:tcBorders>
              <w:top w:val="single" w:sz="6"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-20</w:t>
            </w:r>
          </w:p>
        </w:tc>
        <w:tc>
          <w:tcPr>
            <w:tcW w:w="920" w:type="dxa"/>
            <w:tcBorders>
              <w:top w:val="single" w:sz="6"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w:t>
            </w:r>
          </w:p>
        </w:tc>
        <w:tc>
          <w:tcPr>
            <w:tcW w:w="793" w:type="dxa"/>
            <w:tcBorders>
              <w:top w:val="single" w:sz="6"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w:t>
            </w:r>
          </w:p>
        </w:tc>
        <w:tc>
          <w:tcPr>
            <w:tcW w:w="839" w:type="dxa"/>
            <w:tcBorders>
              <w:top w:val="single" w:sz="6" w:space="0" w:color="auto"/>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Προσαρμογή στο έλλειμμα εγγυημένων δανείων (ΟΔΙΕ)</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53</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Αναδρομικά δικαστικών 2003-2007</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13</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Αναδρομικά δικαστικών και ενστόλων 2012-2014</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148</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149</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149</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 xml:space="preserve">Λοιπές προσαρμογές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27</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Παραχωρήσεις αυτοκινητοδρόμων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470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464</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Συνεισφορά προς την ΕΕ για τη διαχείριση προσφυγικών ροών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16"/>
                <w:szCs w:val="16"/>
              </w:rPr>
            </w:pPr>
            <w:r w:rsidRPr="00FA191C">
              <w:rPr>
                <w:rFonts w:ascii="Arial Narrow" w:hAnsi="Arial Narrow"/>
                <w:sz w:val="16"/>
                <w:szCs w:val="16"/>
              </w:rPr>
              <w:t>Συνεισφορά προς την ΕΕ λόγω αναθεώρησης βάσεων</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-72</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68</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 xml:space="preserve">Έσοδα Κρατικού Προϋπολογισμού κατά ESA     (Ι + </w:t>
            </w:r>
            <w:r w:rsidRPr="00FA191C">
              <w:rPr>
                <w:rFonts w:ascii="Arial Narrow" w:hAnsi="Arial Narrow"/>
                <w:b/>
                <w:bCs/>
                <w:sz w:val="16"/>
                <w:szCs w:val="16"/>
                <w:lang w:val="en-GB"/>
              </w:rPr>
              <w:t>IV</w:t>
            </w:r>
            <w:r w:rsidRPr="00FA191C">
              <w:rPr>
                <w:rFonts w:ascii="Arial Narrow" w:hAnsi="Arial Narrow"/>
                <w:b/>
                <w:bCs/>
                <w:sz w:val="16"/>
                <w:szCs w:val="16"/>
              </w:rPr>
              <w:t>.1)</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51.775</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53.285</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52.281</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54.661</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53.817</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Δαπάνες Κρατικού Προϋπολογισμού κατά ESA  (</w:t>
            </w:r>
            <w:r w:rsidRPr="00FA191C">
              <w:rPr>
                <w:rFonts w:ascii="Arial Narrow" w:hAnsi="Arial Narrow"/>
                <w:b/>
                <w:bCs/>
                <w:sz w:val="16"/>
                <w:szCs w:val="16"/>
                <w:lang w:val="en-GB"/>
              </w:rPr>
              <w:t>I</w:t>
            </w:r>
            <w:r w:rsidRPr="00FA191C">
              <w:rPr>
                <w:rFonts w:ascii="Arial Narrow" w:hAnsi="Arial Narrow"/>
                <w:b/>
                <w:bCs/>
                <w:sz w:val="16"/>
                <w:szCs w:val="16"/>
              </w:rPr>
              <w:t xml:space="preserve">Ι - </w:t>
            </w:r>
            <w:r w:rsidRPr="00FA191C">
              <w:rPr>
                <w:rFonts w:ascii="Arial Narrow" w:hAnsi="Arial Narrow"/>
                <w:b/>
                <w:bCs/>
                <w:sz w:val="16"/>
                <w:szCs w:val="16"/>
                <w:lang w:val="en-GB"/>
              </w:rPr>
              <w:t>IV</w:t>
            </w:r>
            <w:r w:rsidRPr="00FA191C">
              <w:rPr>
                <w:rFonts w:ascii="Arial Narrow" w:hAnsi="Arial Narrow"/>
                <w:b/>
                <w:bCs/>
                <w:sz w:val="16"/>
                <w:szCs w:val="16"/>
              </w:rPr>
              <w:t>.2)</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58.795</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57.255</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57.425</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56.537</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57.046</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8"/>
                <w:szCs w:val="8"/>
              </w:rPr>
            </w:pPr>
            <w:r w:rsidRPr="00FA191C">
              <w:rPr>
                <w:rFonts w:ascii="Arial Narrow" w:hAnsi="Arial Narrow"/>
                <w:b/>
                <w:bCs/>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r>
      <w:tr w:rsidR="004E19EC" w:rsidRPr="00976553"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V. Πρωτογενές αποτέλεσμα Κρατικού Προϋπολογισμού κατά ESA</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-711</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2.580</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1.356</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5.124</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4.071</w:t>
            </w:r>
          </w:p>
        </w:tc>
      </w:tr>
      <w:tr w:rsidR="004E19EC" w:rsidRPr="00976553"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i/>
                <w:iCs/>
                <w:sz w:val="16"/>
                <w:szCs w:val="16"/>
              </w:rPr>
            </w:pPr>
            <w:r w:rsidRPr="00FA191C">
              <w:rPr>
                <w:rFonts w:ascii="Arial Narrow" w:hAnsi="Arial Narrow"/>
                <w:b/>
                <w:bCs/>
                <w:i/>
                <w:i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-0,4%</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1,4%</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0,8%</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2,7%</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2,2%</w:t>
            </w:r>
          </w:p>
        </w:tc>
      </w:tr>
      <w:tr w:rsidR="004E19EC" w:rsidRPr="00976553"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V.α. Ισοζύγιο  Κρατικού Προϋπολογισμού κατά ESA (</w:t>
            </w:r>
            <w:r w:rsidRPr="00FA191C">
              <w:rPr>
                <w:rFonts w:ascii="Arial Narrow" w:hAnsi="Arial Narrow"/>
                <w:b/>
                <w:bCs/>
                <w:sz w:val="16"/>
                <w:szCs w:val="16"/>
                <w:lang w:val="en-GB"/>
              </w:rPr>
              <w:t>III</w:t>
            </w:r>
            <w:r w:rsidRPr="00FA191C">
              <w:rPr>
                <w:rFonts w:ascii="Arial Narrow" w:hAnsi="Arial Narrow"/>
                <w:b/>
                <w:bCs/>
                <w:sz w:val="16"/>
                <w:szCs w:val="16"/>
              </w:rPr>
              <w:t xml:space="preserve"> + </w:t>
            </w:r>
            <w:r w:rsidRPr="00FA191C">
              <w:rPr>
                <w:rFonts w:ascii="Arial Narrow" w:hAnsi="Arial Narrow"/>
                <w:b/>
                <w:bCs/>
                <w:sz w:val="16"/>
                <w:szCs w:val="16"/>
                <w:lang w:val="en-GB"/>
              </w:rPr>
              <w:t>IV</w:t>
            </w:r>
            <w:r w:rsidRPr="00FA191C">
              <w:rPr>
                <w:rFonts w:ascii="Arial Narrow" w:hAnsi="Arial Narrow"/>
                <w:b/>
                <w:bCs/>
                <w:sz w:val="16"/>
                <w:szCs w:val="16"/>
              </w:rPr>
              <w:t>)</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-7.020</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-3.970</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-5.144</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-1.876</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-3.229</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i/>
                <w:iCs/>
                <w:sz w:val="16"/>
                <w:szCs w:val="16"/>
              </w:rPr>
            </w:pPr>
            <w:r w:rsidRPr="00FA191C">
              <w:rPr>
                <w:rFonts w:ascii="Arial Narrow" w:hAnsi="Arial Narrow"/>
                <w:b/>
                <w:bCs/>
                <w:i/>
                <w:i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-4,0%</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-2,2%</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-2,9%</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-1,0%</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-1,7%</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i/>
                <w:iCs/>
                <w:color w:val="FFFFFF"/>
                <w:sz w:val="8"/>
                <w:szCs w:val="8"/>
              </w:rPr>
            </w:pPr>
            <w:r w:rsidRPr="00FA191C">
              <w:rPr>
                <w:rFonts w:ascii="Arial Narrow" w:hAnsi="Arial Narrow"/>
                <w:i/>
                <w:iCs/>
                <w:color w:val="FFFFFF"/>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color w:val="FFFFFF"/>
                <w:sz w:val="8"/>
                <w:szCs w:val="8"/>
              </w:rPr>
            </w:pPr>
            <w:r w:rsidRPr="00FA191C">
              <w:rPr>
                <w:rFonts w:ascii="Arial Narrow" w:hAnsi="Arial Narrow"/>
                <w:color w:val="FFFFFF"/>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 xml:space="preserve">Ισοζύγιο Νομικών Προσώπων κατά </w:t>
            </w:r>
            <w:r w:rsidRPr="00FA191C">
              <w:rPr>
                <w:rFonts w:ascii="Arial Narrow" w:hAnsi="Arial Narrow"/>
                <w:b/>
                <w:bCs/>
                <w:sz w:val="16"/>
                <w:szCs w:val="16"/>
                <w:lang w:val="en-GB"/>
              </w:rPr>
              <w:t>ESA</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1.798</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1.634</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1.798</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1.284</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1.318</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Τροποποιημένο ταμειακό αποτέλεσμα</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1.798</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1.625</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1.809</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1.284</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1.312</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9</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Τόκοι</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97</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141</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135</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134</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131</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Έκτακτες δαπάνες (εκτός προγράμματος αξιολόγησης)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-338</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i/>
                <w:sz w:val="16"/>
                <w:szCs w:val="16"/>
              </w:rPr>
            </w:pPr>
            <w:r w:rsidRPr="00FA191C">
              <w:rPr>
                <w:rFonts w:ascii="Arial Narrow" w:hAnsi="Arial Narrow"/>
                <w:b/>
                <w:bCs/>
                <w:i/>
                <w:sz w:val="16"/>
                <w:szCs w:val="16"/>
              </w:rPr>
              <w:t xml:space="preserve">Πρωτογενές αποτέλεσμα Νομικών Προσώπων κατά </w:t>
            </w:r>
            <w:r w:rsidRPr="00FA191C">
              <w:rPr>
                <w:rFonts w:ascii="Arial Narrow" w:hAnsi="Arial Narrow"/>
                <w:b/>
                <w:bCs/>
                <w:i/>
                <w:sz w:val="16"/>
                <w:szCs w:val="16"/>
                <w:lang w:val="en-GB"/>
              </w:rPr>
              <w:t>ESA</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1.895</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1.775</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1.933</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1.418</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1.449</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8"/>
                <w:szCs w:val="8"/>
              </w:rPr>
            </w:pPr>
            <w:r w:rsidRPr="00FA191C">
              <w:rPr>
                <w:rFonts w:ascii="Arial Narrow" w:hAnsi="Arial Narrow"/>
                <w:b/>
                <w:bCs/>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vertAlign w:val="superscript"/>
              </w:rPr>
            </w:pPr>
            <w:r w:rsidRPr="00FA191C">
              <w:rPr>
                <w:rFonts w:ascii="Arial Narrow" w:hAnsi="Arial Narrow"/>
                <w:b/>
                <w:bCs/>
                <w:sz w:val="16"/>
                <w:szCs w:val="16"/>
              </w:rPr>
              <w:t>Ισοζύγιο επαναταξινομημένων ΔΕΚΟ</w:t>
            </w:r>
            <w:r w:rsidRPr="00FA191C">
              <w:rPr>
                <w:rFonts w:ascii="Arial Narrow" w:hAnsi="Arial Narrow"/>
                <w:b/>
                <w:bCs/>
                <w:sz w:val="16"/>
                <w:szCs w:val="16"/>
                <w:vertAlign w:val="superscript"/>
              </w:rPr>
              <w:t xml:space="preserve"> </w:t>
            </w:r>
            <w:r w:rsidRPr="00FA191C">
              <w:rPr>
                <w:rFonts w:ascii="Arial Narrow" w:hAnsi="Arial Narrow"/>
                <w:b/>
                <w:bCs/>
                <w:sz w:val="16"/>
                <w:szCs w:val="16"/>
              </w:rPr>
              <w:t xml:space="preserve"> κατά </w:t>
            </w:r>
            <w:r w:rsidRPr="00FA191C">
              <w:rPr>
                <w:rFonts w:ascii="Arial Narrow" w:hAnsi="Arial Narrow"/>
                <w:b/>
                <w:bCs/>
                <w:sz w:val="16"/>
                <w:szCs w:val="16"/>
                <w:lang w:val="en-GB"/>
              </w:rPr>
              <w:t>ESA</w:t>
            </w:r>
            <w:r w:rsidRPr="00FA191C">
              <w:rPr>
                <w:rFonts w:ascii="Arial Narrow" w:hAnsi="Arial Narrow"/>
                <w:b/>
                <w:bCs/>
                <w:sz w:val="16"/>
                <w:szCs w:val="16"/>
              </w:rPr>
              <w:t xml:space="preserve"> </w:t>
            </w:r>
            <w:r w:rsidRPr="00FA191C">
              <w:rPr>
                <w:rFonts w:ascii="Arial Narrow" w:hAnsi="Arial Narrow"/>
                <w:b/>
                <w:bCs/>
                <w:sz w:val="16"/>
                <w:szCs w:val="16"/>
                <w:vertAlign w:val="superscript"/>
              </w:rPr>
              <w:t>4</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2.158</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368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530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855</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766</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Τροποποιημένο ταμειακό αποτέλεσμα</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2.158</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368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530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855</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766</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Τόκοι</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363</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395</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414</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364</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381</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i/>
                <w:sz w:val="16"/>
                <w:szCs w:val="16"/>
              </w:rPr>
            </w:pPr>
            <w:r w:rsidRPr="00FA191C">
              <w:rPr>
                <w:rFonts w:ascii="Arial Narrow" w:hAnsi="Arial Narrow"/>
                <w:b/>
                <w:bCs/>
                <w:i/>
                <w:sz w:val="16"/>
                <w:szCs w:val="16"/>
              </w:rPr>
              <w:t xml:space="preserve">Πρωτογενές αποτέλεσμα ΔΕΚΟ κατά </w:t>
            </w:r>
            <w:r w:rsidRPr="00FA191C">
              <w:rPr>
                <w:rFonts w:ascii="Arial Narrow" w:hAnsi="Arial Narrow"/>
                <w:b/>
                <w:bCs/>
                <w:i/>
                <w:sz w:val="16"/>
                <w:szCs w:val="16"/>
                <w:lang w:val="en-GB"/>
              </w:rPr>
              <w:t>ESA</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2.521</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763</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944</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1.219</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1.147</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8"/>
                <w:szCs w:val="8"/>
              </w:rPr>
            </w:pPr>
            <w:r w:rsidRPr="00FA191C">
              <w:rPr>
                <w:rFonts w:ascii="Arial Narrow" w:hAnsi="Arial Narrow"/>
                <w:b/>
                <w:bCs/>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8"/>
                <w:szCs w:val="8"/>
              </w:rPr>
            </w:pPr>
            <w:r w:rsidRPr="00FA191C">
              <w:rPr>
                <w:rFonts w:ascii="Arial Narrow" w:hAnsi="Arial Narrow"/>
                <w:b/>
                <w:bCs/>
                <w:sz w:val="8"/>
                <w:szCs w:val="8"/>
              </w:rPr>
              <w:t> </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940379" w:rsidRDefault="004E19EC" w:rsidP="004E19EC">
            <w:pPr>
              <w:spacing w:line="230" w:lineRule="auto"/>
              <w:contextualSpacing/>
              <w:rPr>
                <w:rFonts w:ascii="Arial Narrow" w:hAnsi="Arial Narrow"/>
                <w:b/>
                <w:bCs/>
                <w:sz w:val="16"/>
                <w:szCs w:val="16"/>
                <w:vertAlign w:val="superscript"/>
              </w:rPr>
            </w:pPr>
            <w:r w:rsidRPr="00FA191C">
              <w:rPr>
                <w:rFonts w:ascii="Arial Narrow" w:hAnsi="Arial Narrow"/>
                <w:b/>
                <w:bCs/>
                <w:sz w:val="16"/>
                <w:szCs w:val="16"/>
              </w:rPr>
              <w:t xml:space="preserve">Ισοζύγιο Νοσοκομείων – ΠΕΔΥ κατά </w:t>
            </w:r>
            <w:r w:rsidRPr="00FA191C">
              <w:rPr>
                <w:rFonts w:ascii="Arial Narrow" w:hAnsi="Arial Narrow"/>
                <w:b/>
                <w:bCs/>
                <w:sz w:val="16"/>
                <w:szCs w:val="16"/>
                <w:lang w:val="en-GB"/>
              </w:rPr>
              <w:t>ESA</w:t>
            </w:r>
            <w:r w:rsidR="00940379">
              <w:rPr>
                <w:rFonts w:ascii="Arial Narrow" w:hAnsi="Arial Narrow"/>
                <w:b/>
                <w:bCs/>
                <w:sz w:val="16"/>
                <w:szCs w:val="16"/>
              </w:rPr>
              <w:t xml:space="preserve"> </w:t>
            </w:r>
            <w:r w:rsidR="00940379">
              <w:rPr>
                <w:rFonts w:ascii="Arial Narrow" w:hAnsi="Arial Narrow"/>
                <w:b/>
                <w:bCs/>
                <w:sz w:val="16"/>
                <w:szCs w:val="16"/>
                <w:vertAlign w:val="superscript"/>
              </w:rPr>
              <w:t>6</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1.403</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508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475</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138</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144</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Τροποποιημένο ταμειακό αποτέλεσμα</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685</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161</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241</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37</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-64</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718</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348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235</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101</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208</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Τόκοι</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0</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i/>
                <w:sz w:val="16"/>
                <w:szCs w:val="16"/>
              </w:rPr>
            </w:pPr>
            <w:r w:rsidRPr="00FA191C">
              <w:rPr>
                <w:rFonts w:ascii="Arial Narrow" w:hAnsi="Arial Narrow"/>
                <w:b/>
                <w:bCs/>
                <w:i/>
                <w:sz w:val="16"/>
                <w:szCs w:val="16"/>
              </w:rPr>
              <w:t xml:space="preserve">Πρωτογενές αποτέλεσμα Νοσοκομείων - ΠΕΔΥ κατά </w:t>
            </w:r>
            <w:r w:rsidRPr="00FA191C">
              <w:rPr>
                <w:rFonts w:ascii="Arial Narrow" w:hAnsi="Arial Narrow"/>
                <w:b/>
                <w:bCs/>
                <w:i/>
                <w:sz w:val="16"/>
                <w:szCs w:val="16"/>
                <w:lang w:val="en-GB"/>
              </w:rPr>
              <w:t>ESA</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1.403</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508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475</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138</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144</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8"/>
                <w:szCs w:val="8"/>
              </w:rPr>
            </w:pPr>
            <w:r w:rsidRPr="00FA191C">
              <w:rPr>
                <w:rFonts w:ascii="Arial Narrow" w:hAnsi="Arial Narrow"/>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116C21">
            <w:pPr>
              <w:spacing w:line="230" w:lineRule="auto"/>
              <w:contextualSpacing/>
              <w:rPr>
                <w:rFonts w:ascii="Arial Narrow" w:hAnsi="Arial Narrow"/>
                <w:b/>
                <w:bCs/>
                <w:sz w:val="16"/>
                <w:szCs w:val="16"/>
              </w:rPr>
            </w:pPr>
            <w:r w:rsidRPr="00FA191C">
              <w:rPr>
                <w:rFonts w:ascii="Arial Narrow" w:hAnsi="Arial Narrow"/>
                <w:b/>
                <w:bCs/>
                <w:sz w:val="16"/>
                <w:szCs w:val="16"/>
              </w:rPr>
              <w:t xml:space="preserve">VI. </w:t>
            </w:r>
            <w:r w:rsidR="00116C21" w:rsidRPr="00FA191C">
              <w:rPr>
                <w:rFonts w:ascii="Arial Narrow" w:hAnsi="Arial Narrow"/>
                <w:b/>
                <w:bCs/>
                <w:sz w:val="16"/>
                <w:szCs w:val="16"/>
              </w:rPr>
              <w:t>Ισοζύγιο</w:t>
            </w:r>
            <w:r w:rsidRPr="00FA191C">
              <w:rPr>
                <w:rFonts w:ascii="Arial Narrow" w:hAnsi="Arial Narrow"/>
                <w:b/>
                <w:bCs/>
                <w:sz w:val="16"/>
                <w:szCs w:val="16"/>
              </w:rPr>
              <w:t xml:space="preserve"> Κεντρικής Κυβέρνησης κατά ESA</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-1.661</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-1.459</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-2.341</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401</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-1.001</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sz w:val="8"/>
                <w:szCs w:val="8"/>
              </w:rPr>
            </w:pPr>
            <w:r w:rsidRPr="00FA191C">
              <w:rPr>
                <w:rFonts w:ascii="Arial Narrow" w:hAnsi="Arial Narrow"/>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 xml:space="preserve">Ισοζύγιο ΟΤΑ κατά </w:t>
            </w:r>
            <w:r w:rsidRPr="00FA191C">
              <w:rPr>
                <w:rFonts w:ascii="Arial Narrow" w:hAnsi="Arial Narrow"/>
                <w:b/>
                <w:bCs/>
                <w:sz w:val="16"/>
                <w:szCs w:val="16"/>
                <w:lang w:val="en-GB"/>
              </w:rPr>
              <w:t>ESA</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556</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200</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171</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398</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342</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vertAlign w:val="superscript"/>
              </w:rPr>
            </w:pPr>
            <w:r w:rsidRPr="00FA191C">
              <w:rPr>
                <w:rFonts w:ascii="Arial Narrow" w:hAnsi="Arial Narrow"/>
                <w:bCs/>
                <w:sz w:val="16"/>
                <w:szCs w:val="16"/>
              </w:rPr>
              <w:t>Τροποποιημένο ταμειακό αποτέλεσμα</w:t>
            </w:r>
            <w:r w:rsidRPr="00FA191C">
              <w:rPr>
                <w:rFonts w:ascii="Arial Narrow" w:hAnsi="Arial Narrow"/>
                <w:bCs/>
                <w:sz w:val="16"/>
                <w:szCs w:val="16"/>
                <w:vertAlign w:val="superscript"/>
              </w:rPr>
              <w:t>2</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566</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276</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214</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454</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367</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-11</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-77</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-44</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-56</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-25</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Τόκοι</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71</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71</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58</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71</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58</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i/>
                <w:sz w:val="16"/>
                <w:szCs w:val="16"/>
              </w:rPr>
            </w:pPr>
            <w:r w:rsidRPr="00FA191C">
              <w:rPr>
                <w:rFonts w:ascii="Arial Narrow" w:hAnsi="Arial Narrow"/>
                <w:b/>
                <w:bCs/>
                <w:i/>
                <w:sz w:val="16"/>
                <w:szCs w:val="16"/>
              </w:rPr>
              <w:t xml:space="preserve">Πρωτογενές αποτέλεσμα ΟΤΑ κατά </w:t>
            </w:r>
            <w:r w:rsidRPr="00FA191C">
              <w:rPr>
                <w:rFonts w:ascii="Arial Narrow" w:hAnsi="Arial Narrow"/>
                <w:b/>
                <w:bCs/>
                <w:i/>
                <w:sz w:val="16"/>
                <w:szCs w:val="16"/>
                <w:lang w:val="en-GB"/>
              </w:rPr>
              <w:t>ESA</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627</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271</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229</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469</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i/>
                <w:iCs/>
                <w:sz w:val="16"/>
                <w:szCs w:val="16"/>
              </w:rPr>
            </w:pPr>
            <w:r w:rsidRPr="00FA191C">
              <w:rPr>
                <w:rFonts w:ascii="Arial Narrow" w:hAnsi="Arial Narrow"/>
                <w:b/>
                <w:bCs/>
                <w:i/>
                <w:iCs/>
                <w:sz w:val="16"/>
                <w:szCs w:val="16"/>
              </w:rPr>
              <w:t>401</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8"/>
                <w:szCs w:val="8"/>
              </w:rPr>
            </w:pPr>
            <w:r w:rsidRPr="00FA191C">
              <w:rPr>
                <w:rFonts w:ascii="Arial Narrow" w:hAnsi="Arial Narrow"/>
                <w:b/>
                <w:bCs/>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vertAlign w:val="superscript"/>
              </w:rPr>
            </w:pPr>
            <w:r w:rsidRPr="00FA191C">
              <w:rPr>
                <w:rFonts w:ascii="Arial Narrow" w:hAnsi="Arial Narrow"/>
                <w:b/>
                <w:bCs/>
                <w:sz w:val="16"/>
                <w:szCs w:val="16"/>
              </w:rPr>
              <w:t xml:space="preserve">Ισοζύγιο ΟKΑ (εκτός Νοσοκομείων) κατά </w:t>
            </w:r>
            <w:r w:rsidRPr="00FA191C">
              <w:rPr>
                <w:rFonts w:ascii="Arial Narrow" w:hAnsi="Arial Narrow"/>
                <w:b/>
                <w:bCs/>
                <w:sz w:val="16"/>
                <w:szCs w:val="16"/>
                <w:lang w:val="en-GB"/>
              </w:rPr>
              <w:t>ESA</w:t>
            </w:r>
            <w:r w:rsidRPr="00FA191C">
              <w:rPr>
                <w:rFonts w:ascii="Arial Narrow" w:hAnsi="Arial Narrow"/>
                <w:b/>
                <w:bCs/>
                <w:sz w:val="16"/>
                <w:szCs w:val="16"/>
                <w:vertAlign w:val="superscript"/>
              </w:rPr>
              <w:t>3</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1.895</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-941</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1.085</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175</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1.785</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vertAlign w:val="superscript"/>
              </w:rPr>
            </w:pPr>
            <w:r w:rsidRPr="00FA191C">
              <w:rPr>
                <w:rFonts w:ascii="Arial Narrow" w:hAnsi="Arial Narrow"/>
                <w:bCs/>
                <w:sz w:val="16"/>
                <w:szCs w:val="16"/>
              </w:rPr>
              <w:t>Τροποποιημένο ταμειακό αποτέλεσμα</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933</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-1.314</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1.341</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-72</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1.559</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Εθνικολογιστικές προσαρμογές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962</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373</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-256</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247</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226</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Cs/>
                <w:sz w:val="16"/>
                <w:szCs w:val="16"/>
              </w:rPr>
            </w:pPr>
            <w:r w:rsidRPr="00FA191C">
              <w:rPr>
                <w:rFonts w:ascii="Arial Narrow" w:hAnsi="Arial Narrow"/>
                <w:bCs/>
                <w:sz w:val="16"/>
                <w:szCs w:val="16"/>
              </w:rPr>
              <w:t>Τόκοι</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3</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16"/>
                <w:szCs w:val="16"/>
              </w:rPr>
            </w:pPr>
            <w:r w:rsidRPr="00FA191C">
              <w:rPr>
                <w:rFonts w:ascii="Arial Narrow" w:hAnsi="Arial Narrow"/>
                <w:sz w:val="16"/>
                <w:szCs w:val="16"/>
              </w:rPr>
              <w:t>4</w:t>
            </w:r>
          </w:p>
        </w:tc>
      </w:tr>
      <w:tr w:rsidR="004E19EC" w:rsidRPr="00BB7D67"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i/>
                <w:sz w:val="16"/>
                <w:szCs w:val="16"/>
              </w:rPr>
            </w:pPr>
            <w:r w:rsidRPr="00FA191C">
              <w:rPr>
                <w:rFonts w:ascii="Arial Narrow" w:hAnsi="Arial Narrow"/>
                <w:b/>
                <w:bCs/>
                <w:i/>
                <w:sz w:val="16"/>
                <w:szCs w:val="16"/>
              </w:rPr>
              <w:t xml:space="preserve">Πρωτογενές αποτέλεσμα ΟΚΑ κατά </w:t>
            </w:r>
            <w:r w:rsidRPr="00FA191C">
              <w:rPr>
                <w:rFonts w:ascii="Arial Narrow" w:hAnsi="Arial Narrow"/>
                <w:b/>
                <w:bCs/>
                <w:i/>
                <w:sz w:val="16"/>
                <w:szCs w:val="16"/>
                <w:lang w:val="en-GB"/>
              </w:rPr>
              <w:t>ESA</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1.898</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-938</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1.089</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128</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1.789</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8"/>
                <w:szCs w:val="8"/>
              </w:rPr>
            </w:pPr>
            <w:r w:rsidRPr="00FA191C">
              <w:rPr>
                <w:rFonts w:ascii="Arial Narrow" w:hAnsi="Arial Narrow"/>
                <w:b/>
                <w:bCs/>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 xml:space="preserve">VII. Ισοζύγιο Γενικής </w:t>
            </w:r>
            <w:r w:rsidR="00500B39" w:rsidRPr="00FA191C">
              <w:rPr>
                <w:rFonts w:ascii="Arial Narrow" w:hAnsi="Arial Narrow"/>
                <w:b/>
                <w:bCs/>
                <w:sz w:val="16"/>
                <w:szCs w:val="16"/>
              </w:rPr>
              <w:t xml:space="preserve">Κυβέρνησης </w:t>
            </w:r>
            <w:r w:rsidRPr="00FA191C">
              <w:rPr>
                <w:rFonts w:ascii="Arial Narrow" w:hAnsi="Arial Narrow"/>
                <w:b/>
                <w:bCs/>
                <w:sz w:val="16"/>
                <w:szCs w:val="16"/>
              </w:rPr>
              <w:t>κατά ESA</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790</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-2.201</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-1.086</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974</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1.126</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0,5%</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-1,2%</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-0,6%</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0,5%</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0,6%</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Ενοποιημένοι Τόκοι Γενικής Κυβέρνησης</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5.651</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6.015</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5.768</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6.445</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6.590</w:t>
            </w:r>
          </w:p>
        </w:tc>
      </w:tr>
      <w:tr w:rsidR="004E19E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 ΑΕΠ</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3,2%</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3,3%</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3,2%</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3,4%</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3,6%</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i/>
                <w:iCs/>
                <w:sz w:val="8"/>
                <w:szCs w:val="8"/>
              </w:rPr>
            </w:pPr>
            <w:r w:rsidRPr="00FA191C">
              <w:rPr>
                <w:rFonts w:ascii="Arial Narrow" w:hAnsi="Arial Narrow"/>
                <w:b/>
                <w:bCs/>
                <w:i/>
                <w:iCs/>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8"/>
                <w:szCs w:val="8"/>
              </w:rPr>
            </w:pPr>
            <w:r w:rsidRPr="00FA191C">
              <w:rPr>
                <w:rFonts w:ascii="Arial Narrow" w:hAnsi="Arial Narrow"/>
                <w:b/>
                <w:bCs/>
                <w:i/>
                <w:iCs/>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8"/>
                <w:szCs w:val="8"/>
              </w:rPr>
            </w:pPr>
            <w:r w:rsidRPr="00FA191C">
              <w:rPr>
                <w:rFonts w:ascii="Arial Narrow" w:hAnsi="Arial Narrow"/>
                <w:b/>
                <w:bCs/>
                <w:i/>
                <w:iCs/>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8"/>
                <w:szCs w:val="8"/>
              </w:rPr>
            </w:pPr>
            <w:r w:rsidRPr="00FA191C">
              <w:rPr>
                <w:rFonts w:ascii="Arial Narrow" w:hAnsi="Arial Narrow"/>
                <w:b/>
                <w:bCs/>
                <w:i/>
                <w:iCs/>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i/>
                <w:iCs/>
                <w:sz w:val="8"/>
                <w:szCs w:val="8"/>
              </w:rPr>
            </w:pPr>
            <w:r w:rsidRPr="00FA191C">
              <w:rPr>
                <w:rFonts w:ascii="Arial Narrow" w:hAnsi="Arial Narrow"/>
                <w:b/>
                <w:bCs/>
                <w:i/>
                <w:iCs/>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i/>
                <w:iCs/>
                <w:sz w:val="8"/>
                <w:szCs w:val="8"/>
              </w:rPr>
            </w:pPr>
            <w:r w:rsidRPr="00FA191C">
              <w:rPr>
                <w:rFonts w:ascii="Arial Narrow" w:hAnsi="Arial Narrow"/>
                <w:b/>
                <w:bCs/>
                <w:i/>
                <w:iCs/>
                <w:sz w:val="8"/>
                <w:szCs w:val="8"/>
              </w:rPr>
              <w:t> </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VIII. Πρωτογενές αποτέλεσμα Γενικής Κυβέρνησης κατά ESA</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6.441</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3.814</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4.683</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7.420</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7.716</w:t>
            </w:r>
          </w:p>
        </w:tc>
      </w:tr>
      <w:tr w:rsidR="004E19EC" w:rsidTr="004E19EC">
        <w:trPr>
          <w:trHeight w:val="20"/>
        </w:trPr>
        <w:tc>
          <w:tcPr>
            <w:tcW w:w="5111" w:type="dxa"/>
            <w:tcBorders>
              <w:left w:val="single" w:sz="6" w:space="0" w:color="auto"/>
            </w:tcBorders>
            <w:shd w:val="clear" w:color="auto" w:fill="BFBFBF" w:themeFill="background1" w:themeFillShade="BF"/>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sz w:val="16"/>
                <w:szCs w:val="16"/>
              </w:rPr>
            </w:pPr>
            <w:r w:rsidRPr="00FA191C">
              <w:rPr>
                <w:rFonts w:ascii="Arial Narrow" w:hAnsi="Arial Narrow"/>
                <w:b/>
                <w:bCs/>
                <w:sz w:val="16"/>
                <w:szCs w:val="16"/>
              </w:rPr>
              <w:t>% ΑΕΠ</w:t>
            </w:r>
          </w:p>
        </w:tc>
        <w:tc>
          <w:tcPr>
            <w:tcW w:w="88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3,7%</w:t>
            </w:r>
          </w:p>
        </w:tc>
        <w:tc>
          <w:tcPr>
            <w:tcW w:w="821"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2,1%</w:t>
            </w:r>
          </w:p>
        </w:tc>
        <w:tc>
          <w:tcPr>
            <w:tcW w:w="920"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2,6%</w:t>
            </w:r>
          </w:p>
        </w:tc>
        <w:tc>
          <w:tcPr>
            <w:tcW w:w="793" w:type="dxa"/>
            <w:shd w:val="clear" w:color="auto" w:fill="BFBFBF" w:themeFill="background1" w:themeFillShade="BF"/>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4,0%</w:t>
            </w:r>
          </w:p>
        </w:tc>
        <w:tc>
          <w:tcPr>
            <w:tcW w:w="839" w:type="dxa"/>
            <w:tcBorders>
              <w:right w:val="single" w:sz="6" w:space="0" w:color="auto"/>
            </w:tcBorders>
            <w:shd w:val="clear" w:color="auto" w:fill="BFBFBF" w:themeFill="background1" w:themeFillShade="BF"/>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4,2%</w:t>
            </w:r>
          </w:p>
        </w:tc>
      </w:tr>
      <w:tr w:rsidR="004E19EC" w:rsidRPr="00FA191C" w:rsidTr="004E19EC">
        <w:trPr>
          <w:trHeight w:val="20"/>
        </w:trPr>
        <w:tc>
          <w:tcPr>
            <w:tcW w:w="5111" w:type="dxa"/>
            <w:tcBorders>
              <w:left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color w:val="000000"/>
                <w:sz w:val="8"/>
                <w:szCs w:val="8"/>
              </w:rPr>
            </w:pPr>
            <w:r w:rsidRPr="00FA191C">
              <w:rPr>
                <w:rFonts w:ascii="Arial Narrow" w:hAnsi="Arial Narrow"/>
                <w:color w:val="000000"/>
                <w:sz w:val="8"/>
                <w:szCs w:val="8"/>
              </w:rPr>
              <w:t> </w:t>
            </w:r>
          </w:p>
        </w:tc>
        <w:tc>
          <w:tcPr>
            <w:tcW w:w="88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color w:val="000000"/>
                <w:sz w:val="8"/>
                <w:szCs w:val="8"/>
              </w:rPr>
            </w:pPr>
            <w:r w:rsidRPr="00FA191C">
              <w:rPr>
                <w:rFonts w:ascii="Arial Narrow" w:hAnsi="Arial Narrow"/>
                <w:color w:val="000000"/>
                <w:sz w:val="8"/>
                <w:szCs w:val="8"/>
              </w:rPr>
              <w:t> </w:t>
            </w:r>
          </w:p>
        </w:tc>
        <w:tc>
          <w:tcPr>
            <w:tcW w:w="821"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920"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793" w:type="dxa"/>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c>
          <w:tcPr>
            <w:tcW w:w="839" w:type="dxa"/>
            <w:tcBorders>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sz w:val="8"/>
                <w:szCs w:val="8"/>
              </w:rPr>
            </w:pPr>
            <w:r w:rsidRPr="00FA191C">
              <w:rPr>
                <w:rFonts w:ascii="Arial Narrow" w:hAnsi="Arial Narrow"/>
                <w:sz w:val="8"/>
                <w:szCs w:val="8"/>
              </w:rPr>
              <w:t> </w:t>
            </w:r>
          </w:p>
        </w:tc>
      </w:tr>
      <w:tr w:rsidR="004E19EC" w:rsidTr="004E19EC">
        <w:trPr>
          <w:trHeight w:val="20"/>
        </w:trPr>
        <w:tc>
          <w:tcPr>
            <w:tcW w:w="5111" w:type="dxa"/>
            <w:tcBorders>
              <w:left w:val="single" w:sz="6" w:space="0" w:color="auto"/>
              <w:bottom w:val="single" w:sz="6" w:space="0" w:color="auto"/>
            </w:tcBorders>
            <w:shd w:val="clear" w:color="auto" w:fill="auto"/>
            <w:tcMar>
              <w:top w:w="0" w:type="dxa"/>
              <w:left w:w="28" w:type="dxa"/>
              <w:bottom w:w="0" w:type="dxa"/>
              <w:right w:w="28" w:type="dxa"/>
            </w:tcMar>
            <w:hideMark/>
          </w:tcPr>
          <w:p w:rsidR="004E19EC" w:rsidRPr="00FA191C" w:rsidRDefault="004E19EC" w:rsidP="004E19EC">
            <w:pPr>
              <w:spacing w:line="230" w:lineRule="auto"/>
              <w:contextualSpacing/>
              <w:rPr>
                <w:rFonts w:ascii="Arial Narrow" w:hAnsi="Arial Narrow"/>
                <w:b/>
                <w:bCs/>
                <w:color w:val="000000"/>
                <w:sz w:val="16"/>
                <w:szCs w:val="16"/>
              </w:rPr>
            </w:pPr>
            <w:r w:rsidRPr="00FA191C">
              <w:rPr>
                <w:rFonts w:ascii="Arial Narrow" w:hAnsi="Arial Narrow"/>
                <w:b/>
                <w:bCs/>
                <w:color w:val="000000"/>
                <w:sz w:val="16"/>
                <w:szCs w:val="16"/>
              </w:rPr>
              <w:t>ΑΕΠ</w:t>
            </w:r>
          </w:p>
        </w:tc>
        <w:tc>
          <w:tcPr>
            <w:tcW w:w="880" w:type="dxa"/>
            <w:tcBorders>
              <w:bottom w:val="single" w:sz="6"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color w:val="000000"/>
                <w:sz w:val="16"/>
                <w:szCs w:val="16"/>
              </w:rPr>
            </w:pPr>
            <w:r w:rsidRPr="00FA191C">
              <w:rPr>
                <w:rFonts w:ascii="Arial Narrow" w:hAnsi="Arial Narrow"/>
                <w:b/>
                <w:bCs/>
                <w:color w:val="000000"/>
                <w:sz w:val="16"/>
                <w:szCs w:val="16"/>
              </w:rPr>
              <w:t>174.199</w:t>
            </w:r>
          </w:p>
        </w:tc>
        <w:tc>
          <w:tcPr>
            <w:tcW w:w="821" w:type="dxa"/>
            <w:tcBorders>
              <w:bottom w:val="single" w:sz="6"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181.204</w:t>
            </w:r>
          </w:p>
        </w:tc>
        <w:tc>
          <w:tcPr>
            <w:tcW w:w="920" w:type="dxa"/>
            <w:tcBorders>
              <w:bottom w:val="single" w:sz="6"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178.579</w:t>
            </w:r>
          </w:p>
        </w:tc>
        <w:tc>
          <w:tcPr>
            <w:tcW w:w="793" w:type="dxa"/>
            <w:tcBorders>
              <w:bottom w:val="single" w:sz="4" w:space="0" w:color="auto"/>
            </w:tcBorders>
            <w:shd w:val="clear" w:color="auto" w:fill="auto"/>
            <w:tcMar>
              <w:top w:w="8" w:type="dxa"/>
              <w:left w:w="8" w:type="dxa"/>
              <w:bottom w:w="0" w:type="dxa"/>
              <w:right w:w="8" w:type="dxa"/>
            </w:tcMar>
            <w:vAlign w:val="center"/>
            <w:hideMark/>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187.745</w:t>
            </w:r>
          </w:p>
        </w:tc>
        <w:tc>
          <w:tcPr>
            <w:tcW w:w="839" w:type="dxa"/>
            <w:tcBorders>
              <w:bottom w:val="single" w:sz="4" w:space="0" w:color="auto"/>
              <w:right w:val="single" w:sz="6" w:space="0" w:color="auto"/>
            </w:tcBorders>
            <w:shd w:val="clear" w:color="auto" w:fill="auto"/>
            <w:vAlign w:val="center"/>
          </w:tcPr>
          <w:p w:rsidR="004E19EC" w:rsidRPr="00FA191C" w:rsidRDefault="004E19EC" w:rsidP="004E19EC">
            <w:pPr>
              <w:spacing w:line="230" w:lineRule="auto"/>
              <w:ind w:right="170"/>
              <w:jc w:val="right"/>
              <w:rPr>
                <w:rFonts w:ascii="Arial Narrow" w:hAnsi="Arial Narrow"/>
                <w:b/>
                <w:bCs/>
                <w:sz w:val="16"/>
                <w:szCs w:val="16"/>
              </w:rPr>
            </w:pPr>
            <w:r w:rsidRPr="00FA191C">
              <w:rPr>
                <w:rFonts w:ascii="Arial Narrow" w:hAnsi="Arial Narrow"/>
                <w:b/>
                <w:bCs/>
                <w:sz w:val="16"/>
                <w:szCs w:val="16"/>
              </w:rPr>
              <w:t>184.691</w:t>
            </w:r>
          </w:p>
        </w:tc>
      </w:tr>
    </w:tbl>
    <w:p w:rsidR="002B25D3" w:rsidRPr="00940379" w:rsidRDefault="002B25D3" w:rsidP="00FA191C">
      <w:pPr>
        <w:spacing w:before="240" w:line="228" w:lineRule="auto"/>
        <w:ind w:left="142" w:right="-285" w:hanging="142"/>
        <w:contextualSpacing/>
        <w:jc w:val="both"/>
        <w:rPr>
          <w:rFonts w:ascii="Arial Narrow" w:hAnsi="Arial Narrow"/>
          <w:color w:val="000000"/>
          <w:sz w:val="14"/>
          <w:szCs w:val="14"/>
        </w:rPr>
      </w:pPr>
      <w:r w:rsidRPr="00940379">
        <w:rPr>
          <w:rFonts w:ascii="Arial Narrow" w:hAnsi="Arial Narrow"/>
          <w:color w:val="000000"/>
          <w:sz w:val="14"/>
          <w:szCs w:val="14"/>
          <w:vertAlign w:val="superscript"/>
        </w:rPr>
        <w:t>1</w:t>
      </w:r>
      <w:r w:rsidRPr="00940379">
        <w:rPr>
          <w:rFonts w:ascii="Arial Narrow" w:hAnsi="Arial Narrow"/>
          <w:color w:val="000000"/>
          <w:sz w:val="14"/>
          <w:szCs w:val="14"/>
        </w:rPr>
        <w:tab/>
      </w:r>
      <w:r w:rsidR="004E19EC" w:rsidRPr="00940379">
        <w:rPr>
          <w:rFonts w:ascii="Arial Narrow" w:hAnsi="Arial Narrow"/>
          <w:color w:val="000000"/>
          <w:sz w:val="14"/>
          <w:szCs w:val="14"/>
        </w:rPr>
        <w:t xml:space="preserve">Στοιχεία σύμφωνα με τα στοιχεία της </w:t>
      </w:r>
      <w:r w:rsidRPr="00940379">
        <w:rPr>
          <w:rFonts w:ascii="Arial Narrow" w:hAnsi="Arial Narrow"/>
          <w:color w:val="000000"/>
          <w:sz w:val="14"/>
          <w:szCs w:val="14"/>
        </w:rPr>
        <w:t>Διαδικασία</w:t>
      </w:r>
      <w:r w:rsidR="004E19EC" w:rsidRPr="00940379">
        <w:rPr>
          <w:rFonts w:ascii="Arial Narrow" w:hAnsi="Arial Narrow"/>
          <w:color w:val="000000"/>
          <w:sz w:val="14"/>
          <w:szCs w:val="14"/>
        </w:rPr>
        <w:t>ς</w:t>
      </w:r>
      <w:r w:rsidRPr="00940379">
        <w:rPr>
          <w:rFonts w:ascii="Arial Narrow" w:hAnsi="Arial Narrow"/>
          <w:color w:val="000000"/>
          <w:sz w:val="14"/>
          <w:szCs w:val="14"/>
        </w:rPr>
        <w:t xml:space="preserve"> Υπερβολικού Ελλείμματος</w:t>
      </w:r>
      <w:r w:rsidR="004E19EC" w:rsidRPr="00940379">
        <w:rPr>
          <w:rFonts w:ascii="Arial Narrow" w:hAnsi="Arial Narrow"/>
          <w:color w:val="000000"/>
          <w:sz w:val="14"/>
          <w:szCs w:val="14"/>
        </w:rPr>
        <w:t xml:space="preserve"> (ΔΥΕ) Οκτωβρίου 2017 της ΕΛΣΤΑΤ.</w:t>
      </w:r>
    </w:p>
    <w:p w:rsidR="002B25D3" w:rsidRPr="00940379" w:rsidRDefault="002B25D3" w:rsidP="00FA191C">
      <w:pPr>
        <w:spacing w:line="228" w:lineRule="auto"/>
        <w:ind w:left="142" w:right="-285" w:hanging="142"/>
        <w:contextualSpacing/>
        <w:jc w:val="both"/>
        <w:rPr>
          <w:rFonts w:ascii="Arial Narrow" w:hAnsi="Arial Narrow"/>
          <w:color w:val="000000"/>
          <w:sz w:val="14"/>
          <w:szCs w:val="14"/>
        </w:rPr>
      </w:pPr>
      <w:r w:rsidRPr="00940379">
        <w:rPr>
          <w:rFonts w:ascii="Arial Narrow" w:hAnsi="Arial Narrow"/>
          <w:color w:val="000000"/>
          <w:sz w:val="14"/>
          <w:szCs w:val="14"/>
          <w:vertAlign w:val="superscript"/>
        </w:rPr>
        <w:t>2</w:t>
      </w:r>
      <w:r w:rsidRPr="00940379">
        <w:rPr>
          <w:rFonts w:ascii="Arial Narrow" w:hAnsi="Arial Narrow"/>
          <w:color w:val="000000"/>
          <w:sz w:val="14"/>
          <w:szCs w:val="14"/>
        </w:rPr>
        <w:t xml:space="preserve"> </w:t>
      </w:r>
      <w:r w:rsidRPr="00940379">
        <w:rPr>
          <w:rFonts w:ascii="Arial Narrow" w:hAnsi="Arial Narrow"/>
          <w:color w:val="000000"/>
          <w:sz w:val="14"/>
          <w:szCs w:val="14"/>
        </w:rPr>
        <w:tab/>
      </w:r>
      <w:r w:rsidR="004E19EC" w:rsidRPr="00940379">
        <w:rPr>
          <w:rFonts w:ascii="Arial Narrow" w:hAnsi="Arial Narrow"/>
          <w:color w:val="000000"/>
          <w:sz w:val="14"/>
          <w:szCs w:val="14"/>
        </w:rPr>
        <w:t xml:space="preserve">Το τροποποιημένο ταμειακό αποτέλεσμα των νομικών προσώπων των ΟΤΑ περιλαμβάνεται </w:t>
      </w:r>
      <w:r w:rsidR="00B36C6A" w:rsidRPr="00940379">
        <w:rPr>
          <w:rFonts w:ascii="Arial Narrow" w:hAnsi="Arial Narrow"/>
          <w:color w:val="000000"/>
          <w:sz w:val="14"/>
          <w:szCs w:val="14"/>
        </w:rPr>
        <w:t>στη γραμμή Τροποποιημένο Ταμειακό Αποτέλεσμα των ΟΤΑ για όλα τα έτη.</w:t>
      </w:r>
    </w:p>
    <w:p w:rsidR="00E67D07" w:rsidRPr="00940379" w:rsidRDefault="002B25D3" w:rsidP="00FA191C">
      <w:pPr>
        <w:spacing w:line="228" w:lineRule="auto"/>
        <w:ind w:left="142" w:right="-285" w:hanging="142"/>
        <w:contextualSpacing/>
        <w:jc w:val="both"/>
        <w:rPr>
          <w:rFonts w:ascii="Arial Narrow" w:hAnsi="Arial Narrow"/>
          <w:color w:val="000000"/>
          <w:sz w:val="14"/>
          <w:szCs w:val="14"/>
        </w:rPr>
      </w:pPr>
      <w:r w:rsidRPr="00940379">
        <w:rPr>
          <w:rFonts w:ascii="Arial Narrow" w:hAnsi="Arial Narrow"/>
          <w:color w:val="000000"/>
          <w:sz w:val="14"/>
          <w:szCs w:val="14"/>
          <w:vertAlign w:val="superscript"/>
        </w:rPr>
        <w:t>3</w:t>
      </w:r>
      <w:r w:rsidRPr="00940379">
        <w:rPr>
          <w:rFonts w:ascii="Arial Narrow" w:hAnsi="Arial Narrow"/>
          <w:color w:val="000000"/>
          <w:sz w:val="14"/>
          <w:szCs w:val="14"/>
        </w:rPr>
        <w:t xml:space="preserve"> </w:t>
      </w:r>
      <w:r w:rsidRPr="00940379">
        <w:rPr>
          <w:rFonts w:ascii="Arial Narrow" w:hAnsi="Arial Narrow"/>
          <w:color w:val="000000"/>
          <w:sz w:val="14"/>
          <w:szCs w:val="14"/>
        </w:rPr>
        <w:tab/>
      </w:r>
      <w:r w:rsidR="00B36C6A" w:rsidRPr="00940379">
        <w:rPr>
          <w:rFonts w:ascii="Arial Narrow" w:hAnsi="Arial Narrow"/>
          <w:color w:val="000000"/>
          <w:sz w:val="14"/>
          <w:szCs w:val="14"/>
        </w:rPr>
        <w:t xml:space="preserve">Ενσωματωμένες </w:t>
      </w:r>
      <w:r w:rsidR="00E67D07" w:rsidRPr="00940379">
        <w:rPr>
          <w:rFonts w:ascii="Arial Narrow" w:hAnsi="Arial Narrow"/>
          <w:color w:val="000000"/>
          <w:sz w:val="14"/>
          <w:szCs w:val="14"/>
        </w:rPr>
        <w:t xml:space="preserve">στο ισοζύγιο των ΟΚΑ είναι οι οροφές της φαρμακευτικής δαπάνης του ΕΟΠΥΥ ύψους </w:t>
      </w:r>
      <w:r w:rsidR="00940379" w:rsidRPr="00940379">
        <w:rPr>
          <w:rFonts w:ascii="Arial Narrow" w:hAnsi="Arial Narrow"/>
          <w:color w:val="000000"/>
          <w:sz w:val="14"/>
          <w:szCs w:val="14"/>
        </w:rPr>
        <w:t xml:space="preserve">2.003 </w:t>
      </w:r>
      <w:r w:rsidR="00E67D07" w:rsidRPr="00940379">
        <w:rPr>
          <w:rFonts w:ascii="Arial Narrow" w:hAnsi="Arial Narrow"/>
          <w:color w:val="000000"/>
          <w:sz w:val="14"/>
          <w:szCs w:val="14"/>
        </w:rPr>
        <w:t xml:space="preserve"> εκατ. ευρώ για το 2017 και </w:t>
      </w:r>
      <w:r w:rsidR="00940379" w:rsidRPr="00940379">
        <w:rPr>
          <w:rFonts w:ascii="Arial Narrow" w:hAnsi="Arial Narrow"/>
          <w:color w:val="000000"/>
          <w:sz w:val="14"/>
          <w:szCs w:val="14"/>
        </w:rPr>
        <w:t>2.001</w:t>
      </w:r>
      <w:r w:rsidR="00E67D07" w:rsidRPr="00940379">
        <w:rPr>
          <w:rFonts w:ascii="Arial Narrow" w:hAnsi="Arial Narrow"/>
          <w:color w:val="000000"/>
          <w:sz w:val="14"/>
          <w:szCs w:val="14"/>
        </w:rPr>
        <w:t xml:space="preserve"> εκατ. ευρώ για το 2018. Επίσης, ενσωματωμένες στο ισοζύγιο των ΟΚΑ είναι οι οροφές των δαπανών για παροχές ασθενείας του ΕΟΠΥΥ ύψους </w:t>
      </w:r>
      <w:r w:rsidR="00940379" w:rsidRPr="00940379">
        <w:rPr>
          <w:rFonts w:ascii="Arial Narrow" w:hAnsi="Arial Narrow"/>
          <w:color w:val="000000"/>
          <w:sz w:val="14"/>
          <w:szCs w:val="14"/>
        </w:rPr>
        <w:t>1.525</w:t>
      </w:r>
      <w:r w:rsidR="00E67D07" w:rsidRPr="00940379">
        <w:rPr>
          <w:rFonts w:ascii="Arial Narrow" w:hAnsi="Arial Narrow"/>
          <w:color w:val="000000"/>
          <w:sz w:val="14"/>
          <w:szCs w:val="14"/>
        </w:rPr>
        <w:t xml:space="preserve"> εκατ. ευρώ για το 2017 και </w:t>
      </w:r>
      <w:r w:rsidR="00940379" w:rsidRPr="00940379">
        <w:rPr>
          <w:rFonts w:ascii="Arial Narrow" w:hAnsi="Arial Narrow"/>
          <w:color w:val="000000"/>
          <w:sz w:val="14"/>
          <w:szCs w:val="14"/>
        </w:rPr>
        <w:t xml:space="preserve">1.462,5 </w:t>
      </w:r>
      <w:r w:rsidR="00E67D07" w:rsidRPr="00940379">
        <w:rPr>
          <w:rFonts w:ascii="Arial Narrow" w:hAnsi="Arial Narrow"/>
          <w:color w:val="000000"/>
          <w:sz w:val="14"/>
          <w:szCs w:val="14"/>
        </w:rPr>
        <w:t>εκατ. ευρώ για το 2018.</w:t>
      </w:r>
    </w:p>
    <w:p w:rsidR="002B25D3" w:rsidRPr="00940379" w:rsidRDefault="002B25D3" w:rsidP="00FA191C">
      <w:pPr>
        <w:spacing w:line="228" w:lineRule="auto"/>
        <w:ind w:left="142" w:right="-285" w:hanging="142"/>
        <w:contextualSpacing/>
        <w:jc w:val="both"/>
        <w:rPr>
          <w:rFonts w:ascii="Arial Narrow" w:hAnsi="Arial Narrow"/>
          <w:sz w:val="14"/>
          <w:szCs w:val="14"/>
        </w:rPr>
      </w:pPr>
      <w:r w:rsidRPr="00940379">
        <w:rPr>
          <w:rFonts w:ascii="Arial Narrow" w:hAnsi="Arial Narrow"/>
          <w:sz w:val="14"/>
          <w:szCs w:val="14"/>
          <w:vertAlign w:val="superscript"/>
        </w:rPr>
        <w:t>4</w:t>
      </w:r>
      <w:r w:rsidRPr="00940379">
        <w:rPr>
          <w:rFonts w:ascii="Arial Narrow" w:hAnsi="Arial Narrow"/>
          <w:sz w:val="14"/>
          <w:szCs w:val="14"/>
        </w:rPr>
        <w:t xml:space="preserve"> </w:t>
      </w:r>
      <w:r w:rsidRPr="00940379">
        <w:rPr>
          <w:rFonts w:ascii="Arial Narrow" w:hAnsi="Arial Narrow"/>
          <w:sz w:val="14"/>
          <w:szCs w:val="14"/>
        </w:rPr>
        <w:tab/>
      </w:r>
      <w:r w:rsidR="00940379" w:rsidRPr="00940379">
        <w:rPr>
          <w:rFonts w:ascii="Arial Narrow" w:hAnsi="Arial Narrow"/>
          <w:sz w:val="14"/>
          <w:szCs w:val="14"/>
        </w:rPr>
        <w:t xml:space="preserve">Η προσαρμογή </w:t>
      </w:r>
      <w:r w:rsidR="00E67D07" w:rsidRPr="00940379">
        <w:rPr>
          <w:rFonts w:ascii="Arial Narrow" w:hAnsi="Arial Narrow"/>
          <w:sz w:val="14"/>
          <w:szCs w:val="14"/>
        </w:rPr>
        <w:t>του Ειδικού Λογαριασμού Εγγυήσεων Γεωργικών Προϊόντων (ΕΛΕΓΕΠ) ύψους +</w:t>
      </w:r>
      <w:r w:rsidR="00940379" w:rsidRPr="00940379">
        <w:rPr>
          <w:rFonts w:ascii="Arial Narrow" w:hAnsi="Arial Narrow"/>
          <w:sz w:val="14"/>
          <w:szCs w:val="14"/>
        </w:rPr>
        <w:t>89</w:t>
      </w:r>
      <w:r w:rsidR="00E67D07" w:rsidRPr="00940379">
        <w:rPr>
          <w:rFonts w:ascii="Arial Narrow" w:hAnsi="Arial Narrow"/>
          <w:sz w:val="14"/>
          <w:szCs w:val="14"/>
        </w:rPr>
        <w:t xml:space="preserve"> εκατ. ευρώ για το 2017 και -</w:t>
      </w:r>
      <w:r w:rsidR="00940379" w:rsidRPr="00940379">
        <w:rPr>
          <w:rFonts w:ascii="Arial Narrow" w:hAnsi="Arial Narrow"/>
          <w:sz w:val="14"/>
          <w:szCs w:val="14"/>
        </w:rPr>
        <w:t>51</w:t>
      </w:r>
      <w:r w:rsidR="00E67D07" w:rsidRPr="00940379">
        <w:rPr>
          <w:rFonts w:ascii="Arial Narrow" w:hAnsi="Arial Narrow"/>
          <w:sz w:val="14"/>
          <w:szCs w:val="14"/>
        </w:rPr>
        <w:t xml:space="preserve"> εκατ. ευρώ για το 2018 έχει ενσωματωθεί στο ισοζύγιο των ΔΕΚΟ, έναντι των πραγματοποιήσεων έτους 2016 και των στόχων του ΜΠΔΣ για τα έτη 2017 και 2018 που περιλαμβανόταν στις εθνικολογιστικές προσαρμογές των δαπανών του Κρατικού Προϋπολογισμού.</w:t>
      </w:r>
    </w:p>
    <w:p w:rsidR="00FA191C" w:rsidRPr="00940379" w:rsidRDefault="002B25D3" w:rsidP="00FA191C">
      <w:pPr>
        <w:spacing w:line="228" w:lineRule="auto"/>
        <w:ind w:left="142" w:right="-285" w:hanging="142"/>
        <w:contextualSpacing/>
        <w:jc w:val="both"/>
        <w:rPr>
          <w:rFonts w:ascii="Arial Narrow" w:hAnsi="Arial Narrow"/>
          <w:sz w:val="14"/>
          <w:szCs w:val="14"/>
        </w:rPr>
      </w:pPr>
      <w:r w:rsidRPr="00940379">
        <w:rPr>
          <w:rFonts w:ascii="Arial Narrow" w:hAnsi="Arial Narrow"/>
          <w:sz w:val="14"/>
          <w:szCs w:val="14"/>
          <w:vertAlign w:val="superscript"/>
        </w:rPr>
        <w:t>5</w:t>
      </w:r>
      <w:r w:rsidRPr="00940379">
        <w:rPr>
          <w:rFonts w:ascii="Arial Narrow" w:hAnsi="Arial Narrow"/>
          <w:sz w:val="14"/>
          <w:szCs w:val="14"/>
        </w:rPr>
        <w:tab/>
      </w:r>
      <w:r w:rsidR="003D3165" w:rsidRPr="00940379">
        <w:rPr>
          <w:rFonts w:ascii="Arial Narrow" w:hAnsi="Arial Narrow"/>
          <w:sz w:val="14"/>
          <w:szCs w:val="14"/>
        </w:rPr>
        <w:t>Η</w:t>
      </w:r>
      <w:r w:rsidRPr="00940379">
        <w:rPr>
          <w:rFonts w:ascii="Arial Narrow" w:hAnsi="Arial Narrow"/>
          <w:sz w:val="14"/>
          <w:szCs w:val="14"/>
        </w:rPr>
        <w:t xml:space="preserve"> </w:t>
      </w:r>
      <w:r w:rsidR="003D3165" w:rsidRPr="00940379">
        <w:rPr>
          <w:rFonts w:ascii="Arial Narrow" w:hAnsi="Arial Narrow"/>
          <w:sz w:val="14"/>
          <w:szCs w:val="14"/>
        </w:rPr>
        <w:t>μεταβολή του υπολοίπου λογαριασμών Θησαυροφυλακίου σε σχέση με την 31/12 του προηγούμενου έτους εμφανίζεται στις εθνικολογιστικές προσαρμογές των εσόδων της Κεντρικής Διοίκησης, έναντι των πραγματοποιήσεων έτους 2016 και των στόχων του ΜΠΔΣ για τα έτη 2017 και 2018 που περιλαμβανόταν στις εθνικολογιστικές προσαρμογές των δαπανών της Κεντρικής Διοίκησης.</w:t>
      </w:r>
    </w:p>
    <w:p w:rsidR="00940379" w:rsidRPr="00940379" w:rsidRDefault="00940379" w:rsidP="00FA191C">
      <w:pPr>
        <w:spacing w:line="228" w:lineRule="auto"/>
        <w:ind w:left="142" w:right="-285" w:hanging="142"/>
        <w:contextualSpacing/>
        <w:jc w:val="both"/>
        <w:rPr>
          <w:rFonts w:ascii="Arial Narrow" w:hAnsi="Arial Narrow"/>
          <w:sz w:val="14"/>
          <w:szCs w:val="14"/>
        </w:rPr>
      </w:pPr>
      <w:r w:rsidRPr="00940379">
        <w:rPr>
          <w:rFonts w:ascii="Arial Narrow" w:hAnsi="Arial Narrow"/>
          <w:sz w:val="14"/>
          <w:szCs w:val="14"/>
          <w:vertAlign w:val="superscript"/>
        </w:rPr>
        <w:t>6</w:t>
      </w:r>
      <w:r w:rsidRPr="00940379">
        <w:rPr>
          <w:rFonts w:ascii="Arial Narrow" w:hAnsi="Arial Narrow"/>
          <w:sz w:val="14"/>
          <w:szCs w:val="14"/>
          <w:vertAlign w:val="superscript"/>
        </w:rPr>
        <w:tab/>
      </w:r>
      <w:r w:rsidRPr="00940379">
        <w:rPr>
          <w:rFonts w:ascii="Arial Narrow" w:hAnsi="Arial Narrow"/>
          <w:sz w:val="14"/>
          <w:szCs w:val="14"/>
        </w:rPr>
        <w:t>Ενσωματωμένη στο ισοζύγιο Νοσοκομείων – ΠΕΔΥ είναι η οροφή της φαρμακευτικής δαπάνης ύψους 492,1 εκατ. ευρώ για το 2017 και 474,2 εκατ. ευρώ για το 2018.</w:t>
      </w:r>
    </w:p>
    <w:p w:rsidR="00940379" w:rsidRPr="00940379" w:rsidRDefault="00940379" w:rsidP="00FA191C">
      <w:pPr>
        <w:spacing w:line="228" w:lineRule="auto"/>
        <w:ind w:left="142" w:right="-285" w:hanging="142"/>
        <w:contextualSpacing/>
        <w:jc w:val="both"/>
        <w:rPr>
          <w:rFonts w:ascii="Arial Narrow" w:hAnsi="Arial Narrow"/>
          <w:sz w:val="19"/>
          <w:szCs w:val="15"/>
        </w:rPr>
      </w:pPr>
    </w:p>
    <w:p w:rsidR="00F27A06" w:rsidRDefault="005F1D9A" w:rsidP="00FA191C">
      <w:pPr>
        <w:spacing w:line="228" w:lineRule="auto"/>
        <w:ind w:left="142" w:right="-285" w:hanging="142"/>
        <w:contextualSpacing/>
        <w:jc w:val="both"/>
        <w:rPr>
          <w:rFonts w:ascii="Arial Narrow" w:hAnsi="Arial Narrow"/>
          <w:sz w:val="15"/>
          <w:szCs w:val="15"/>
        </w:rPr>
      </w:pPr>
      <w:r>
        <w:rPr>
          <w:b/>
          <w:noProof/>
          <w:sz w:val="22"/>
          <w:szCs w:val="22"/>
        </w:rPr>
        <mc:AlternateContent>
          <mc:Choice Requires="wps">
            <w:drawing>
              <wp:inline distT="0" distB="0" distL="0" distR="0">
                <wp:extent cx="5945505" cy="269240"/>
                <wp:effectExtent l="10795" t="6985" r="635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269240"/>
                        </a:xfrm>
                        <a:prstGeom prst="rect">
                          <a:avLst/>
                        </a:prstGeom>
                        <a:solidFill>
                          <a:srgbClr val="FFFFFF"/>
                        </a:solidFill>
                        <a:ln w="12700">
                          <a:solidFill>
                            <a:srgbClr val="000080"/>
                          </a:solidFill>
                          <a:miter lim="800000"/>
                          <a:headEnd/>
                          <a:tailEnd/>
                        </a:ln>
                      </wps:spPr>
                      <wps:txbx>
                        <w:txbxContent>
                          <w:p w:rsidR="0041428B" w:rsidRPr="003A56DC" w:rsidRDefault="0041428B" w:rsidP="0094690D">
                            <w:r>
                              <w:rPr>
                                <w:rFonts w:ascii="Arial Narrow" w:hAnsi="Arial Narrow"/>
                                <w:b/>
                                <w:color w:val="000080"/>
                                <w:sz w:val="16"/>
                              </w:rPr>
                              <w:t>Για τα έτη 2017 και 2018</w:t>
                            </w:r>
                            <w:r w:rsidRPr="003A56DC">
                              <w:rPr>
                                <w:rFonts w:ascii="Arial Narrow" w:hAnsi="Arial Narrow"/>
                                <w:b/>
                                <w:color w:val="000080"/>
                                <w:sz w:val="16"/>
                              </w:rPr>
                              <w:t xml:space="preserve">, δεν περιλαμβάνεται πρόγραμμα </w:t>
                            </w:r>
                            <w:r>
                              <w:rPr>
                                <w:rFonts w:ascii="Arial Narrow" w:hAnsi="Arial Narrow"/>
                                <w:b/>
                                <w:color w:val="000080"/>
                                <w:sz w:val="16"/>
                              </w:rPr>
                              <w:t xml:space="preserve">εξόφλησης </w:t>
                            </w:r>
                            <w:r w:rsidRPr="003A56DC">
                              <w:rPr>
                                <w:rFonts w:ascii="Arial Narrow" w:hAnsi="Arial Narrow"/>
                                <w:b/>
                                <w:color w:val="000080"/>
                                <w:sz w:val="16"/>
                              </w:rPr>
                              <w:t>ληξιπρόθεσμων υποχρεώσεων προς τρίτους εκτός γενικής κυβέρνησης, το οποίο είναι δημοσιονομικά ουδέτερο σε όρους Γενικής Κυβέρνησης.</w:t>
                            </w:r>
                          </w:p>
                        </w:txbxContent>
                      </wps:txbx>
                      <wps:bodyPr rot="0" vert="horz" wrap="square" lIns="91440" tIns="10800" rIns="91440" bIns="10800" anchor="t" anchorCtr="0" upright="1">
                        <a:noAutofit/>
                      </wps:bodyPr>
                    </wps:wsp>
                  </a:graphicData>
                </a:graphic>
              </wp:inline>
            </w:drawing>
          </mc:Choice>
          <mc:Fallback>
            <w:pict>
              <v:shape id="Text Box 2" o:spid="_x0000_s1027" type="#_x0000_t202" style="width:468.15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" strokecolor="navy" strokeweight="1pt">
                <v:textbox inset=",.3mm,,.3mm">
                  <w:txbxContent>
                    <w:p w:rsidR="0041428B" w:rsidRPr="003A56DC" w:rsidRDefault="0041428B" w:rsidP="0094690D">
                      <w:r>
                        <w:rPr>
                          <w:rFonts w:ascii="Arial Narrow" w:hAnsi="Arial Narrow"/>
                          <w:b/>
                          <w:color w:val="000080"/>
                          <w:sz w:val="16"/>
                        </w:rPr>
                        <w:t>Για τα έτη 2017 και 2018</w:t>
                      </w:r>
                      <w:r w:rsidRPr="003A56DC">
                        <w:rPr>
                          <w:rFonts w:ascii="Arial Narrow" w:hAnsi="Arial Narrow"/>
                          <w:b/>
                          <w:color w:val="000080"/>
                          <w:sz w:val="16"/>
                        </w:rPr>
                        <w:t xml:space="preserve">, δεν περιλαμβάνεται πρόγραμμα </w:t>
                      </w:r>
                      <w:r>
                        <w:rPr>
                          <w:rFonts w:ascii="Arial Narrow" w:hAnsi="Arial Narrow"/>
                          <w:b/>
                          <w:color w:val="000080"/>
                          <w:sz w:val="16"/>
                        </w:rPr>
                        <w:t xml:space="preserve">εξόφλησης </w:t>
                      </w:r>
                      <w:r w:rsidRPr="003A56DC">
                        <w:rPr>
                          <w:rFonts w:ascii="Arial Narrow" w:hAnsi="Arial Narrow"/>
                          <w:b/>
                          <w:color w:val="000080"/>
                          <w:sz w:val="16"/>
                        </w:rPr>
                        <w:t>ληξιπρόθεσμων υποχρεώσεων προς τρίτους εκτός γενικής κυβέρνησης, το οποίο είναι δημοσιονομικά ουδέτερο σε όρους Γενικής Κυβέρνησης.</w:t>
                      </w:r>
                    </w:p>
                  </w:txbxContent>
                </v:textbox>
                <w10:anchorlock/>
              </v:shape>
            </w:pict>
          </mc:Fallback>
        </mc:AlternateContent>
      </w:r>
    </w:p>
    <w:p w:rsidR="002B25D3" w:rsidRDefault="002B25D3" w:rsidP="00FA191C">
      <w:pPr>
        <w:spacing w:line="228" w:lineRule="auto"/>
        <w:ind w:left="142" w:right="-285" w:hanging="142"/>
        <w:contextualSpacing/>
        <w:jc w:val="both"/>
        <w:rPr>
          <w:sz w:val="22"/>
          <w:szCs w:val="22"/>
        </w:rPr>
      </w:pPr>
      <w:r>
        <w:rPr>
          <w:sz w:val="22"/>
          <w:szCs w:val="22"/>
        </w:rPr>
        <w:br w:type="page"/>
      </w:r>
    </w:p>
    <w:p w:rsidR="00CF79E5" w:rsidRDefault="00CF79E5" w:rsidP="003D3165">
      <w:pPr>
        <w:spacing w:line="228" w:lineRule="auto"/>
        <w:ind w:left="142" w:hanging="142"/>
        <w:contextualSpacing/>
        <w:jc w:val="both"/>
        <w:rPr>
          <w:sz w:val="22"/>
          <w:szCs w:val="22"/>
        </w:rPr>
      </w:pPr>
    </w:p>
    <w:tbl>
      <w:tblPr>
        <w:tblW w:w="9002" w:type="dxa"/>
        <w:tblInd w:w="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316"/>
        <w:gridCol w:w="4292"/>
        <w:gridCol w:w="993"/>
        <w:gridCol w:w="850"/>
        <w:gridCol w:w="778"/>
        <w:gridCol w:w="853"/>
        <w:gridCol w:w="920"/>
      </w:tblGrid>
      <w:tr w:rsidR="00CF79E5" w:rsidRPr="00D1509A" w:rsidTr="00CF79E5">
        <w:trPr>
          <w:trHeight w:val="866"/>
        </w:trPr>
        <w:tc>
          <w:tcPr>
            <w:tcW w:w="9002" w:type="dxa"/>
            <w:gridSpan w:val="7"/>
            <w:tcBorders>
              <w:bottom w:val="single" w:sz="6" w:space="0" w:color="auto"/>
            </w:tcBorders>
            <w:shd w:val="clear" w:color="auto" w:fill="404040" w:themeFill="text1" w:themeFillTint="BF"/>
            <w:vAlign w:val="center"/>
            <w:hideMark/>
          </w:tcPr>
          <w:p w:rsidR="00CF79E5" w:rsidRPr="00D1509A" w:rsidRDefault="00CF79E5" w:rsidP="00EB7461">
            <w:pPr>
              <w:jc w:val="center"/>
              <w:rPr>
                <w:rFonts w:ascii="Arial Narrow" w:hAnsi="Arial Narrow"/>
                <w:b/>
                <w:bCs/>
                <w:color w:val="FFFFFF" w:themeColor="background1"/>
              </w:rPr>
            </w:pPr>
            <w:r w:rsidRPr="00D1509A">
              <w:rPr>
                <w:rFonts w:ascii="Arial Narrow" w:hAnsi="Arial Narrow"/>
                <w:b/>
                <w:bCs/>
                <w:color w:val="FFFFFF" w:themeColor="background1"/>
              </w:rPr>
              <w:t xml:space="preserve">Πίνακας </w:t>
            </w:r>
            <w:r>
              <w:rPr>
                <w:rFonts w:ascii="Arial Narrow" w:hAnsi="Arial Narrow"/>
                <w:b/>
                <w:bCs/>
                <w:color w:val="FFFFFF" w:themeColor="background1"/>
              </w:rPr>
              <w:t>3.3</w:t>
            </w:r>
            <w:r w:rsidRPr="00D1509A">
              <w:rPr>
                <w:rFonts w:ascii="Arial Narrow" w:hAnsi="Arial Narrow"/>
                <w:b/>
                <w:bCs/>
                <w:color w:val="FFFFFF" w:themeColor="background1"/>
              </w:rPr>
              <w:t xml:space="preserve"> Πρωτογενές αποτέλεσμα Γενικής Κυβέρνησης </w:t>
            </w:r>
          </w:p>
          <w:p w:rsidR="00CF79E5" w:rsidRPr="00D1509A" w:rsidRDefault="00CF79E5" w:rsidP="00EB7461">
            <w:pPr>
              <w:jc w:val="center"/>
              <w:rPr>
                <w:rFonts w:ascii="Arial Narrow" w:hAnsi="Arial Narrow"/>
                <w:b/>
                <w:bCs/>
                <w:color w:val="FFFFFF" w:themeColor="background1"/>
              </w:rPr>
            </w:pPr>
            <w:r w:rsidRPr="00D1509A">
              <w:rPr>
                <w:rFonts w:ascii="Arial Narrow" w:hAnsi="Arial Narrow"/>
                <w:b/>
                <w:bCs/>
                <w:color w:val="FFFFFF" w:themeColor="background1"/>
              </w:rPr>
              <w:t>σύμφωνα με τη μεθοδολογία της Σύμβασης Χρηματοδοτικής Διευκόλυνσης</w:t>
            </w:r>
          </w:p>
          <w:p w:rsidR="00CF79E5" w:rsidRPr="00D1509A" w:rsidRDefault="00CF79E5" w:rsidP="00EB7461">
            <w:pPr>
              <w:jc w:val="center"/>
              <w:rPr>
                <w:rFonts w:ascii="Arial Narrow" w:hAnsi="Arial Narrow"/>
                <w:b/>
                <w:bCs/>
                <w:color w:val="FFFFFF" w:themeColor="background1"/>
              </w:rPr>
            </w:pPr>
            <w:r w:rsidRPr="00D1509A">
              <w:rPr>
                <w:rFonts w:ascii="Arial Narrow" w:hAnsi="Arial Narrow"/>
                <w:b/>
                <w:bCs/>
                <w:color w:val="FFFFFF" w:themeColor="background1"/>
              </w:rPr>
              <w:t>(σε εκατ. ευρώ)</w:t>
            </w:r>
          </w:p>
        </w:tc>
      </w:tr>
      <w:tr w:rsidR="00CF79E5" w:rsidRPr="00D1509A" w:rsidTr="00CF79E5">
        <w:trPr>
          <w:trHeight w:val="227"/>
        </w:trPr>
        <w:tc>
          <w:tcPr>
            <w:tcW w:w="9002" w:type="dxa"/>
            <w:gridSpan w:val="7"/>
            <w:tcBorders>
              <w:bottom w:val="single" w:sz="6" w:space="0" w:color="auto"/>
            </w:tcBorders>
            <w:shd w:val="clear" w:color="auto" w:fill="auto"/>
            <w:vAlign w:val="center"/>
            <w:hideMark/>
          </w:tcPr>
          <w:p w:rsidR="00CF79E5" w:rsidRPr="00D1509A" w:rsidRDefault="00CF79E5" w:rsidP="00EB7461">
            <w:pPr>
              <w:jc w:val="center"/>
              <w:rPr>
                <w:rFonts w:ascii="Arial Narrow" w:hAnsi="Arial Narrow"/>
                <w:b/>
                <w:bCs/>
                <w:color w:val="FFFFFF" w:themeColor="background1"/>
                <w:sz w:val="16"/>
                <w:szCs w:val="16"/>
              </w:rPr>
            </w:pPr>
          </w:p>
        </w:tc>
      </w:tr>
      <w:tr w:rsidR="00CF79E5" w:rsidTr="00CF79E5">
        <w:trPr>
          <w:trHeight w:val="20"/>
        </w:trPr>
        <w:tc>
          <w:tcPr>
            <w:tcW w:w="4608" w:type="dxa"/>
            <w:gridSpan w:val="2"/>
            <w:vMerge w:val="restart"/>
            <w:tcBorders>
              <w:top w:val="single" w:sz="6" w:space="0" w:color="auto"/>
              <w:bottom w:val="single" w:sz="6" w:space="0" w:color="auto"/>
              <w:right w:val="single" w:sz="6" w:space="0" w:color="auto"/>
            </w:tcBorders>
            <w:shd w:val="clear" w:color="auto" w:fill="auto"/>
            <w:vAlign w:val="center"/>
            <w:hideMark/>
          </w:tcPr>
          <w:p w:rsidR="00CF79E5" w:rsidRDefault="00CF79E5" w:rsidP="00EB7461">
            <w:pPr>
              <w:jc w:val="center"/>
              <w:rPr>
                <w:rFonts w:ascii="Arial Narrow" w:hAnsi="Arial Narrow"/>
                <w:sz w:val="16"/>
                <w:szCs w:val="16"/>
              </w:rPr>
            </w:pPr>
            <w:r>
              <w:rPr>
                <w:rFonts w:ascii="Arial Narrow" w:hAnsi="Arial Narrow"/>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79E5" w:rsidRDefault="00CF79E5" w:rsidP="00EB7461">
            <w:pPr>
              <w:jc w:val="center"/>
              <w:rPr>
                <w:rFonts w:ascii="Arial Narrow" w:hAnsi="Arial Narrow"/>
                <w:b/>
                <w:bCs/>
                <w:sz w:val="16"/>
                <w:szCs w:val="16"/>
              </w:rPr>
            </w:pPr>
            <w:r>
              <w:rPr>
                <w:rFonts w:ascii="Arial Narrow" w:hAnsi="Arial Narrow"/>
                <w:b/>
                <w:bCs/>
                <w:sz w:val="16"/>
                <w:szCs w:val="16"/>
              </w:rPr>
              <w:t>2016</w:t>
            </w:r>
          </w:p>
        </w:tc>
        <w:tc>
          <w:tcPr>
            <w:tcW w:w="16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F79E5" w:rsidRDefault="00CF79E5" w:rsidP="00EB7461">
            <w:pPr>
              <w:jc w:val="center"/>
              <w:rPr>
                <w:rFonts w:ascii="Arial Narrow" w:hAnsi="Arial Narrow"/>
                <w:b/>
                <w:bCs/>
                <w:sz w:val="16"/>
                <w:szCs w:val="16"/>
              </w:rPr>
            </w:pPr>
            <w:r>
              <w:rPr>
                <w:rFonts w:ascii="Arial Narrow" w:hAnsi="Arial Narrow"/>
                <w:b/>
                <w:bCs/>
                <w:sz w:val="16"/>
                <w:szCs w:val="16"/>
              </w:rPr>
              <w:t>2017</w:t>
            </w:r>
          </w:p>
        </w:tc>
        <w:tc>
          <w:tcPr>
            <w:tcW w:w="1773" w:type="dxa"/>
            <w:gridSpan w:val="2"/>
            <w:tcBorders>
              <w:top w:val="single" w:sz="6" w:space="0" w:color="auto"/>
              <w:left w:val="single" w:sz="6" w:space="0" w:color="auto"/>
              <w:bottom w:val="single" w:sz="6" w:space="0" w:color="auto"/>
            </w:tcBorders>
            <w:shd w:val="clear" w:color="auto" w:fill="auto"/>
            <w:vAlign w:val="center"/>
            <w:hideMark/>
          </w:tcPr>
          <w:p w:rsidR="00CF79E5" w:rsidRDefault="00CF79E5" w:rsidP="00EB7461">
            <w:pPr>
              <w:jc w:val="center"/>
              <w:rPr>
                <w:rFonts w:ascii="Arial Narrow" w:hAnsi="Arial Narrow"/>
                <w:b/>
                <w:bCs/>
                <w:sz w:val="16"/>
                <w:szCs w:val="16"/>
              </w:rPr>
            </w:pPr>
            <w:r>
              <w:rPr>
                <w:rFonts w:ascii="Arial Narrow" w:hAnsi="Arial Narrow"/>
                <w:b/>
                <w:bCs/>
                <w:sz w:val="16"/>
                <w:szCs w:val="16"/>
              </w:rPr>
              <w:t>2018</w:t>
            </w:r>
          </w:p>
        </w:tc>
      </w:tr>
      <w:tr w:rsidR="00CF79E5" w:rsidTr="00CF79E5">
        <w:trPr>
          <w:trHeight w:val="20"/>
        </w:trPr>
        <w:tc>
          <w:tcPr>
            <w:tcW w:w="4608" w:type="dxa"/>
            <w:gridSpan w:val="2"/>
            <w:vMerge/>
            <w:tcBorders>
              <w:top w:val="single" w:sz="6" w:space="0" w:color="auto"/>
              <w:bottom w:val="single" w:sz="6" w:space="0" w:color="auto"/>
              <w:right w:val="single" w:sz="6" w:space="0" w:color="auto"/>
            </w:tcBorders>
            <w:shd w:val="clear" w:color="auto" w:fill="auto"/>
            <w:vAlign w:val="center"/>
            <w:hideMark/>
          </w:tcPr>
          <w:p w:rsidR="00CF79E5" w:rsidRDefault="00CF79E5" w:rsidP="00EB7461">
            <w:pPr>
              <w:rPr>
                <w:rFonts w:ascii="Arial Narrow" w:hAnsi="Arial Narrow"/>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79E5" w:rsidRPr="00CF79E5" w:rsidRDefault="00CF79E5" w:rsidP="00EB7461">
            <w:pPr>
              <w:jc w:val="center"/>
              <w:rPr>
                <w:rFonts w:ascii="Arial Narrow" w:hAnsi="Arial Narrow"/>
                <w:b/>
                <w:bCs/>
                <w:sz w:val="16"/>
                <w:szCs w:val="16"/>
                <w:vertAlign w:val="superscript"/>
              </w:rPr>
            </w:pPr>
            <w:r>
              <w:rPr>
                <w:rFonts w:ascii="Arial Narrow" w:hAnsi="Arial Narrow"/>
                <w:b/>
                <w:bCs/>
                <w:sz w:val="16"/>
                <w:szCs w:val="16"/>
              </w:rPr>
              <w:t>Πραγματ/σεις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79E5" w:rsidRDefault="00CF79E5" w:rsidP="00EB7461">
            <w:pPr>
              <w:jc w:val="center"/>
              <w:rPr>
                <w:rFonts w:ascii="Arial Narrow" w:hAnsi="Arial Narrow"/>
                <w:b/>
                <w:bCs/>
                <w:sz w:val="16"/>
                <w:szCs w:val="16"/>
              </w:rPr>
            </w:pPr>
            <w:r>
              <w:rPr>
                <w:rFonts w:ascii="Arial Narrow" w:hAnsi="Arial Narrow"/>
                <w:b/>
                <w:bCs/>
                <w:sz w:val="16"/>
                <w:szCs w:val="16"/>
              </w:rPr>
              <w:t>Εκτίμηση</w:t>
            </w:r>
          </w:p>
          <w:p w:rsidR="00CF79E5" w:rsidRDefault="00CF79E5" w:rsidP="00EB7461">
            <w:pPr>
              <w:jc w:val="center"/>
              <w:rPr>
                <w:rFonts w:ascii="Arial Narrow" w:hAnsi="Arial Narrow"/>
                <w:b/>
                <w:bCs/>
                <w:sz w:val="16"/>
                <w:szCs w:val="16"/>
              </w:rPr>
            </w:pPr>
            <w:r>
              <w:rPr>
                <w:rFonts w:ascii="Arial Narrow" w:hAnsi="Arial Narrow"/>
                <w:b/>
                <w:bCs/>
                <w:sz w:val="16"/>
                <w:szCs w:val="16"/>
              </w:rPr>
              <w:t>ΜΠΔΣ</w:t>
            </w:r>
          </w:p>
        </w:tc>
        <w:tc>
          <w:tcPr>
            <w:tcW w:w="7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79E5" w:rsidRDefault="00CF79E5" w:rsidP="00EB7461">
            <w:pPr>
              <w:jc w:val="center"/>
              <w:rPr>
                <w:rFonts w:ascii="Arial Narrow" w:hAnsi="Arial Narrow"/>
                <w:b/>
                <w:bCs/>
                <w:sz w:val="16"/>
                <w:szCs w:val="16"/>
              </w:rPr>
            </w:pPr>
            <w:r>
              <w:rPr>
                <w:rFonts w:ascii="Arial Narrow" w:hAnsi="Arial Narrow"/>
                <w:b/>
                <w:bCs/>
                <w:sz w:val="16"/>
                <w:szCs w:val="16"/>
              </w:rPr>
              <w:t>Εκτίμηση</w:t>
            </w:r>
          </w:p>
        </w:tc>
        <w:tc>
          <w:tcPr>
            <w:tcW w:w="853" w:type="dxa"/>
            <w:tcBorders>
              <w:top w:val="single" w:sz="6" w:space="0" w:color="auto"/>
              <w:left w:val="single" w:sz="6" w:space="0" w:color="auto"/>
              <w:bottom w:val="single" w:sz="6" w:space="0" w:color="auto"/>
            </w:tcBorders>
            <w:shd w:val="clear" w:color="auto" w:fill="auto"/>
            <w:vAlign w:val="center"/>
            <w:hideMark/>
          </w:tcPr>
          <w:p w:rsidR="00CF79E5" w:rsidRDefault="00CF79E5" w:rsidP="00EB7461">
            <w:pPr>
              <w:jc w:val="center"/>
              <w:rPr>
                <w:rFonts w:ascii="Arial Narrow" w:hAnsi="Arial Narrow"/>
                <w:b/>
                <w:bCs/>
                <w:sz w:val="16"/>
                <w:szCs w:val="16"/>
              </w:rPr>
            </w:pPr>
            <w:r>
              <w:rPr>
                <w:rFonts w:ascii="Arial Narrow" w:hAnsi="Arial Narrow"/>
                <w:b/>
                <w:bCs/>
                <w:sz w:val="16"/>
                <w:szCs w:val="16"/>
              </w:rPr>
              <w:t>Πρόβλεψη</w:t>
            </w:r>
          </w:p>
          <w:p w:rsidR="00CF79E5" w:rsidRDefault="00CF79E5" w:rsidP="00EB7461">
            <w:pPr>
              <w:jc w:val="center"/>
              <w:rPr>
                <w:rFonts w:ascii="Arial Narrow" w:hAnsi="Arial Narrow"/>
                <w:b/>
                <w:bCs/>
                <w:sz w:val="16"/>
                <w:szCs w:val="16"/>
              </w:rPr>
            </w:pPr>
            <w:r>
              <w:rPr>
                <w:rFonts w:ascii="Arial Narrow" w:hAnsi="Arial Narrow"/>
                <w:b/>
                <w:bCs/>
                <w:sz w:val="16"/>
                <w:szCs w:val="16"/>
              </w:rPr>
              <w:t xml:space="preserve">ΜΠΔΣ </w:t>
            </w:r>
          </w:p>
        </w:tc>
        <w:tc>
          <w:tcPr>
            <w:tcW w:w="920" w:type="dxa"/>
            <w:tcBorders>
              <w:top w:val="single" w:sz="6" w:space="0" w:color="auto"/>
              <w:left w:val="single" w:sz="6" w:space="0" w:color="auto"/>
              <w:bottom w:val="single" w:sz="6" w:space="0" w:color="auto"/>
            </w:tcBorders>
            <w:shd w:val="clear" w:color="auto" w:fill="auto"/>
            <w:vAlign w:val="center"/>
          </w:tcPr>
          <w:p w:rsidR="00CF79E5" w:rsidRDefault="00CF79E5" w:rsidP="00EB7461">
            <w:pPr>
              <w:jc w:val="center"/>
              <w:rPr>
                <w:rFonts w:ascii="Arial Narrow" w:hAnsi="Arial Narrow"/>
                <w:b/>
                <w:bCs/>
                <w:sz w:val="16"/>
                <w:szCs w:val="16"/>
              </w:rPr>
            </w:pPr>
            <w:r>
              <w:rPr>
                <w:rFonts w:ascii="Arial Narrow" w:hAnsi="Arial Narrow"/>
                <w:b/>
                <w:bCs/>
                <w:sz w:val="16"/>
                <w:szCs w:val="16"/>
              </w:rPr>
              <w:t>Πρόβλεψη</w:t>
            </w:r>
          </w:p>
        </w:tc>
      </w:tr>
      <w:tr w:rsidR="00CF79E5" w:rsidRPr="00CF79E5" w:rsidTr="00CF79E5">
        <w:trPr>
          <w:trHeight w:val="20"/>
        </w:trPr>
        <w:tc>
          <w:tcPr>
            <w:tcW w:w="316" w:type="dxa"/>
            <w:tcBorders>
              <w:top w:val="single" w:sz="6" w:space="0" w:color="auto"/>
            </w:tcBorders>
            <w:shd w:val="clear" w:color="auto" w:fill="auto"/>
            <w:hideMark/>
          </w:tcPr>
          <w:p w:rsidR="00CF79E5" w:rsidRPr="00CF79E5" w:rsidRDefault="00CF79E5" w:rsidP="00EB7461">
            <w:pPr>
              <w:jc w:val="center"/>
              <w:rPr>
                <w:rFonts w:ascii="Arial Narrow" w:hAnsi="Arial Narrow"/>
                <w:b/>
                <w:bCs/>
                <w:i/>
                <w:iCs/>
                <w:sz w:val="16"/>
                <w:szCs w:val="16"/>
              </w:rPr>
            </w:pPr>
            <w:r w:rsidRPr="00CF79E5">
              <w:rPr>
                <w:rFonts w:ascii="Arial Narrow" w:hAnsi="Arial Narrow"/>
                <w:b/>
                <w:bCs/>
                <w:i/>
                <w:iCs/>
                <w:sz w:val="16"/>
                <w:szCs w:val="16"/>
              </w:rPr>
              <w:t> </w:t>
            </w:r>
          </w:p>
        </w:tc>
        <w:tc>
          <w:tcPr>
            <w:tcW w:w="4292" w:type="dxa"/>
            <w:tcBorders>
              <w:top w:val="single" w:sz="6" w:space="0" w:color="auto"/>
            </w:tcBorders>
            <w:shd w:val="clear" w:color="auto" w:fill="auto"/>
            <w:vAlign w:val="center"/>
            <w:hideMark/>
          </w:tcPr>
          <w:p w:rsidR="00CF79E5" w:rsidRPr="00CF79E5" w:rsidRDefault="00CF79E5" w:rsidP="00EB7461">
            <w:pPr>
              <w:jc w:val="center"/>
              <w:rPr>
                <w:rFonts w:ascii="Arial Narrow" w:hAnsi="Arial Narrow"/>
                <w:b/>
                <w:bCs/>
                <w:i/>
                <w:iCs/>
                <w:sz w:val="16"/>
                <w:szCs w:val="16"/>
              </w:rPr>
            </w:pPr>
            <w:r w:rsidRPr="00CF79E5">
              <w:rPr>
                <w:rFonts w:ascii="Arial Narrow" w:hAnsi="Arial Narrow"/>
                <w:b/>
                <w:bCs/>
                <w:i/>
                <w:iCs/>
                <w:sz w:val="16"/>
                <w:szCs w:val="16"/>
              </w:rPr>
              <w:t> </w:t>
            </w:r>
          </w:p>
        </w:tc>
        <w:tc>
          <w:tcPr>
            <w:tcW w:w="993" w:type="dxa"/>
            <w:tcBorders>
              <w:top w:val="single" w:sz="6" w:space="0" w:color="auto"/>
            </w:tcBorders>
            <w:shd w:val="clear" w:color="auto" w:fill="auto"/>
            <w:vAlign w:val="center"/>
            <w:hideMark/>
          </w:tcPr>
          <w:p w:rsidR="00CF79E5" w:rsidRPr="00CF79E5" w:rsidRDefault="00CF79E5" w:rsidP="00EB7461">
            <w:pPr>
              <w:rPr>
                <w:rFonts w:ascii="Arial Narrow" w:hAnsi="Arial Narrow"/>
                <w:b/>
                <w:bCs/>
                <w:sz w:val="16"/>
                <w:szCs w:val="16"/>
              </w:rPr>
            </w:pPr>
            <w:r w:rsidRPr="00CF79E5">
              <w:rPr>
                <w:rFonts w:ascii="Arial Narrow" w:hAnsi="Arial Narrow"/>
                <w:b/>
                <w:bCs/>
                <w:sz w:val="16"/>
                <w:szCs w:val="16"/>
              </w:rPr>
              <w:t> </w:t>
            </w:r>
          </w:p>
        </w:tc>
        <w:tc>
          <w:tcPr>
            <w:tcW w:w="850" w:type="dxa"/>
            <w:tcBorders>
              <w:top w:val="single" w:sz="6" w:space="0" w:color="auto"/>
            </w:tcBorders>
            <w:shd w:val="clear" w:color="auto" w:fill="auto"/>
            <w:vAlign w:val="center"/>
            <w:hideMark/>
          </w:tcPr>
          <w:p w:rsidR="00CF79E5" w:rsidRPr="00CF79E5" w:rsidRDefault="00CF79E5" w:rsidP="00EB7461">
            <w:pPr>
              <w:rPr>
                <w:rFonts w:ascii="Arial Narrow" w:hAnsi="Arial Narrow"/>
                <w:b/>
                <w:bCs/>
                <w:sz w:val="16"/>
                <w:szCs w:val="16"/>
              </w:rPr>
            </w:pPr>
            <w:r w:rsidRPr="00CF79E5">
              <w:rPr>
                <w:rFonts w:ascii="Arial Narrow" w:hAnsi="Arial Narrow"/>
                <w:b/>
                <w:bCs/>
                <w:sz w:val="16"/>
                <w:szCs w:val="16"/>
              </w:rPr>
              <w:t> </w:t>
            </w:r>
          </w:p>
        </w:tc>
        <w:tc>
          <w:tcPr>
            <w:tcW w:w="778" w:type="dxa"/>
            <w:tcBorders>
              <w:top w:val="single" w:sz="6" w:space="0" w:color="auto"/>
            </w:tcBorders>
            <w:shd w:val="clear" w:color="auto" w:fill="auto"/>
            <w:vAlign w:val="center"/>
            <w:hideMark/>
          </w:tcPr>
          <w:p w:rsidR="00CF79E5" w:rsidRPr="00CF79E5" w:rsidRDefault="00CF79E5" w:rsidP="00EB7461">
            <w:pPr>
              <w:rPr>
                <w:rFonts w:ascii="Arial Narrow" w:hAnsi="Arial Narrow"/>
                <w:b/>
                <w:bCs/>
                <w:sz w:val="16"/>
                <w:szCs w:val="16"/>
              </w:rPr>
            </w:pPr>
            <w:r w:rsidRPr="00CF79E5">
              <w:rPr>
                <w:rFonts w:ascii="Arial Narrow" w:hAnsi="Arial Narrow"/>
                <w:b/>
                <w:bCs/>
                <w:sz w:val="16"/>
                <w:szCs w:val="16"/>
              </w:rPr>
              <w:t> </w:t>
            </w:r>
          </w:p>
        </w:tc>
        <w:tc>
          <w:tcPr>
            <w:tcW w:w="853" w:type="dxa"/>
            <w:tcBorders>
              <w:top w:val="single" w:sz="6" w:space="0" w:color="auto"/>
              <w:bottom w:val="nil"/>
              <w:right w:val="nil"/>
            </w:tcBorders>
            <w:shd w:val="clear" w:color="auto" w:fill="auto"/>
            <w:vAlign w:val="center"/>
            <w:hideMark/>
          </w:tcPr>
          <w:p w:rsidR="00CF79E5" w:rsidRPr="00CF79E5" w:rsidRDefault="00CF79E5" w:rsidP="00EB7461">
            <w:pPr>
              <w:rPr>
                <w:rFonts w:ascii="Arial Narrow" w:hAnsi="Arial Narrow"/>
                <w:b/>
                <w:bCs/>
                <w:sz w:val="16"/>
                <w:szCs w:val="16"/>
              </w:rPr>
            </w:pPr>
            <w:r w:rsidRPr="00CF79E5">
              <w:rPr>
                <w:rFonts w:ascii="Arial Narrow" w:hAnsi="Arial Narrow"/>
                <w:b/>
                <w:bCs/>
                <w:sz w:val="16"/>
                <w:szCs w:val="16"/>
              </w:rPr>
              <w:t> </w:t>
            </w:r>
          </w:p>
        </w:tc>
        <w:tc>
          <w:tcPr>
            <w:tcW w:w="920" w:type="dxa"/>
            <w:tcBorders>
              <w:top w:val="single" w:sz="6" w:space="0" w:color="auto"/>
              <w:left w:val="nil"/>
              <w:bottom w:val="nil"/>
            </w:tcBorders>
            <w:shd w:val="clear" w:color="auto" w:fill="auto"/>
            <w:vAlign w:val="center"/>
          </w:tcPr>
          <w:p w:rsidR="00CF79E5" w:rsidRPr="00CF79E5" w:rsidRDefault="00CF79E5" w:rsidP="00CF79E5">
            <w:pPr>
              <w:rPr>
                <w:rFonts w:ascii="Arial Narrow" w:hAnsi="Arial Narrow"/>
                <w:b/>
                <w:bCs/>
                <w:sz w:val="16"/>
                <w:szCs w:val="16"/>
              </w:rPr>
            </w:pPr>
          </w:p>
        </w:tc>
      </w:tr>
      <w:tr w:rsidR="00C521C5" w:rsidTr="00C521C5">
        <w:trPr>
          <w:trHeight w:val="20"/>
        </w:trPr>
        <w:tc>
          <w:tcPr>
            <w:tcW w:w="316" w:type="dxa"/>
            <w:shd w:val="clear" w:color="auto" w:fill="BFBFBF" w:themeFill="background1" w:themeFillShade="BF"/>
            <w:hideMark/>
          </w:tcPr>
          <w:p w:rsidR="00C521C5" w:rsidRDefault="00C521C5" w:rsidP="00EB7461">
            <w:pPr>
              <w:jc w:val="center"/>
              <w:rPr>
                <w:rFonts w:ascii="Arial Narrow" w:hAnsi="Arial Narrow"/>
                <w:b/>
                <w:bCs/>
                <w:sz w:val="16"/>
                <w:szCs w:val="16"/>
              </w:rPr>
            </w:pPr>
            <w:r>
              <w:rPr>
                <w:rFonts w:ascii="Arial Narrow" w:hAnsi="Arial Narrow"/>
                <w:b/>
                <w:bCs/>
                <w:sz w:val="16"/>
                <w:szCs w:val="16"/>
              </w:rPr>
              <w:t>1.</w:t>
            </w:r>
          </w:p>
        </w:tc>
        <w:tc>
          <w:tcPr>
            <w:tcW w:w="4292" w:type="dxa"/>
            <w:shd w:val="clear" w:color="auto" w:fill="BFBFBF" w:themeFill="background1" w:themeFillShade="BF"/>
            <w:vAlign w:val="center"/>
            <w:hideMark/>
          </w:tcPr>
          <w:p w:rsidR="00C521C5" w:rsidRDefault="00C521C5" w:rsidP="00CF79E5">
            <w:pPr>
              <w:rPr>
                <w:rFonts w:ascii="Arial Narrow" w:hAnsi="Arial Narrow"/>
                <w:b/>
                <w:bCs/>
                <w:sz w:val="16"/>
                <w:szCs w:val="16"/>
              </w:rPr>
            </w:pPr>
            <w:r>
              <w:rPr>
                <w:rFonts w:ascii="Arial Narrow" w:hAnsi="Arial Narrow"/>
                <w:b/>
                <w:bCs/>
                <w:sz w:val="16"/>
                <w:szCs w:val="16"/>
              </w:rPr>
              <w:t xml:space="preserve">Πρωτογενές αποτέλεσμα Γενικής </w:t>
            </w:r>
            <w:r w:rsidR="009872DD">
              <w:rPr>
                <w:rFonts w:ascii="Arial Narrow" w:hAnsi="Arial Narrow"/>
                <w:b/>
                <w:bCs/>
                <w:sz w:val="16"/>
                <w:szCs w:val="16"/>
              </w:rPr>
              <w:t xml:space="preserve">Κυβέρνησης </w:t>
            </w:r>
            <w:r>
              <w:rPr>
                <w:rFonts w:ascii="Arial Narrow" w:hAnsi="Arial Narrow"/>
                <w:b/>
                <w:bCs/>
                <w:sz w:val="16"/>
                <w:szCs w:val="16"/>
              </w:rPr>
              <w:t xml:space="preserve">σύμφωνα  με τη μεθοδολογία  ESA (μεταφορά από πίνακα </w:t>
            </w:r>
            <w:r w:rsidRPr="009D2531">
              <w:rPr>
                <w:rFonts w:ascii="Arial Narrow" w:hAnsi="Arial Narrow"/>
                <w:b/>
                <w:bCs/>
                <w:sz w:val="16"/>
                <w:szCs w:val="16"/>
              </w:rPr>
              <w:t>3.2)</w:t>
            </w:r>
          </w:p>
        </w:tc>
        <w:tc>
          <w:tcPr>
            <w:tcW w:w="993"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6.441</w:t>
            </w:r>
          </w:p>
        </w:tc>
        <w:tc>
          <w:tcPr>
            <w:tcW w:w="850"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3.814</w:t>
            </w:r>
          </w:p>
        </w:tc>
        <w:tc>
          <w:tcPr>
            <w:tcW w:w="778"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4.683</w:t>
            </w:r>
          </w:p>
        </w:tc>
        <w:tc>
          <w:tcPr>
            <w:tcW w:w="853" w:type="dxa"/>
            <w:tcBorders>
              <w:top w:val="nil"/>
              <w:bottom w:val="nil"/>
              <w:right w:val="nil"/>
            </w:tcBorders>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7.420</w:t>
            </w:r>
          </w:p>
        </w:tc>
        <w:tc>
          <w:tcPr>
            <w:tcW w:w="920" w:type="dxa"/>
            <w:tcBorders>
              <w:top w:val="nil"/>
              <w:left w:val="nil"/>
              <w:bottom w:val="nil"/>
            </w:tcBorders>
            <w:shd w:val="clear" w:color="auto" w:fill="BFBFBF" w:themeFill="background1" w:themeFillShade="BF"/>
            <w:vAlign w:val="center"/>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7.716</w:t>
            </w:r>
          </w:p>
        </w:tc>
      </w:tr>
      <w:tr w:rsidR="00C521C5" w:rsidTr="00C521C5">
        <w:trPr>
          <w:trHeight w:val="20"/>
        </w:trPr>
        <w:tc>
          <w:tcPr>
            <w:tcW w:w="316" w:type="dxa"/>
            <w:shd w:val="clear" w:color="auto" w:fill="auto"/>
            <w:hideMark/>
          </w:tcPr>
          <w:p w:rsidR="00C521C5" w:rsidRDefault="00C521C5" w:rsidP="00EB7461">
            <w:pPr>
              <w:jc w:val="center"/>
              <w:rPr>
                <w:rFonts w:ascii="Arial Narrow" w:hAnsi="Arial Narrow"/>
                <w:b/>
                <w:bCs/>
                <w:sz w:val="16"/>
                <w:szCs w:val="16"/>
              </w:rPr>
            </w:pPr>
          </w:p>
        </w:tc>
        <w:tc>
          <w:tcPr>
            <w:tcW w:w="4292" w:type="dxa"/>
            <w:shd w:val="clear" w:color="auto" w:fill="auto"/>
            <w:vAlign w:val="center"/>
            <w:hideMark/>
          </w:tcPr>
          <w:p w:rsidR="00C521C5" w:rsidRDefault="00C521C5" w:rsidP="00EB7461">
            <w:pPr>
              <w:rPr>
                <w:rFonts w:ascii="Arial Narrow" w:hAnsi="Arial Narrow"/>
                <w:b/>
                <w:bCs/>
                <w:sz w:val="16"/>
                <w:szCs w:val="16"/>
              </w:rPr>
            </w:pPr>
            <w:r>
              <w:rPr>
                <w:rFonts w:ascii="Arial Narrow" w:hAnsi="Arial Narrow"/>
                <w:b/>
                <w:bCs/>
                <w:sz w:val="16"/>
                <w:szCs w:val="16"/>
              </w:rPr>
              <w:t> </w:t>
            </w:r>
          </w:p>
        </w:tc>
        <w:tc>
          <w:tcPr>
            <w:tcW w:w="993" w:type="dxa"/>
            <w:shd w:val="clear" w:color="auto" w:fill="auto"/>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 </w:t>
            </w:r>
          </w:p>
        </w:tc>
        <w:tc>
          <w:tcPr>
            <w:tcW w:w="850" w:type="dxa"/>
            <w:shd w:val="clear" w:color="auto" w:fill="auto"/>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 </w:t>
            </w:r>
          </w:p>
        </w:tc>
        <w:tc>
          <w:tcPr>
            <w:tcW w:w="778" w:type="dxa"/>
            <w:shd w:val="clear" w:color="auto" w:fill="auto"/>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 </w:t>
            </w:r>
          </w:p>
        </w:tc>
        <w:tc>
          <w:tcPr>
            <w:tcW w:w="853" w:type="dxa"/>
            <w:tcBorders>
              <w:top w:val="nil"/>
              <w:bottom w:val="nil"/>
              <w:right w:val="nil"/>
            </w:tcBorders>
            <w:shd w:val="clear" w:color="auto" w:fill="auto"/>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 </w:t>
            </w:r>
          </w:p>
        </w:tc>
        <w:tc>
          <w:tcPr>
            <w:tcW w:w="920" w:type="dxa"/>
            <w:tcBorders>
              <w:top w:val="nil"/>
              <w:left w:val="nil"/>
              <w:bottom w:val="nil"/>
            </w:tcBorders>
            <w:shd w:val="clear" w:color="auto" w:fill="auto"/>
            <w:vAlign w:val="center"/>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 </w:t>
            </w:r>
          </w:p>
        </w:tc>
      </w:tr>
      <w:tr w:rsidR="00C521C5" w:rsidTr="00C521C5">
        <w:trPr>
          <w:trHeight w:val="20"/>
        </w:trPr>
        <w:tc>
          <w:tcPr>
            <w:tcW w:w="316" w:type="dxa"/>
            <w:shd w:val="clear" w:color="auto" w:fill="BFBFBF" w:themeFill="background1" w:themeFillShade="BF"/>
            <w:hideMark/>
          </w:tcPr>
          <w:p w:rsidR="00C521C5" w:rsidRDefault="00C521C5" w:rsidP="00EB7461">
            <w:pPr>
              <w:jc w:val="center"/>
              <w:rPr>
                <w:rFonts w:ascii="Arial Narrow" w:hAnsi="Arial Narrow"/>
                <w:b/>
                <w:bCs/>
                <w:color w:val="000000"/>
                <w:sz w:val="16"/>
                <w:szCs w:val="16"/>
              </w:rPr>
            </w:pPr>
          </w:p>
        </w:tc>
        <w:tc>
          <w:tcPr>
            <w:tcW w:w="4292" w:type="dxa"/>
            <w:shd w:val="clear" w:color="auto" w:fill="BFBFBF" w:themeFill="background1" w:themeFillShade="BF"/>
            <w:vAlign w:val="center"/>
            <w:hideMark/>
          </w:tcPr>
          <w:p w:rsidR="00C521C5" w:rsidRDefault="00C521C5" w:rsidP="00EB7461">
            <w:pPr>
              <w:rPr>
                <w:rFonts w:ascii="Arial Narrow" w:hAnsi="Arial Narrow"/>
                <w:b/>
                <w:bCs/>
                <w:sz w:val="16"/>
                <w:szCs w:val="16"/>
              </w:rPr>
            </w:pPr>
            <w:r>
              <w:rPr>
                <w:rFonts w:ascii="Arial Narrow" w:hAnsi="Arial Narrow"/>
                <w:b/>
                <w:bCs/>
                <w:sz w:val="16"/>
                <w:szCs w:val="16"/>
              </w:rPr>
              <w:t>Προσαρμογές Σύμβασης Χρηματοδοτικής Διευκόλυνσης</w:t>
            </w:r>
          </w:p>
        </w:tc>
        <w:tc>
          <w:tcPr>
            <w:tcW w:w="993"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118</w:t>
            </w:r>
          </w:p>
        </w:tc>
        <w:tc>
          <w:tcPr>
            <w:tcW w:w="850"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-369</w:t>
            </w:r>
          </w:p>
        </w:tc>
        <w:tc>
          <w:tcPr>
            <w:tcW w:w="778"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-322</w:t>
            </w:r>
          </w:p>
        </w:tc>
        <w:tc>
          <w:tcPr>
            <w:tcW w:w="853" w:type="dxa"/>
            <w:tcBorders>
              <w:top w:val="nil"/>
              <w:bottom w:val="nil"/>
              <w:right w:val="nil"/>
            </w:tcBorders>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-795</w:t>
            </w:r>
          </w:p>
        </w:tc>
        <w:tc>
          <w:tcPr>
            <w:tcW w:w="920" w:type="dxa"/>
            <w:tcBorders>
              <w:top w:val="nil"/>
              <w:left w:val="nil"/>
              <w:bottom w:val="nil"/>
            </w:tcBorders>
            <w:shd w:val="clear" w:color="auto" w:fill="BFBFBF" w:themeFill="background1" w:themeFillShade="BF"/>
            <w:vAlign w:val="center"/>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-665</w:t>
            </w:r>
          </w:p>
        </w:tc>
      </w:tr>
      <w:tr w:rsidR="00C521C5" w:rsidTr="00C521C5">
        <w:trPr>
          <w:trHeight w:val="20"/>
        </w:trPr>
        <w:tc>
          <w:tcPr>
            <w:tcW w:w="316" w:type="dxa"/>
            <w:shd w:val="clear" w:color="auto" w:fill="auto"/>
            <w:hideMark/>
          </w:tcPr>
          <w:p w:rsidR="00C521C5" w:rsidRDefault="00C521C5" w:rsidP="00EB7461">
            <w:pPr>
              <w:jc w:val="center"/>
              <w:rPr>
                <w:rFonts w:ascii="Arial Narrow" w:hAnsi="Arial Narrow"/>
                <w:b/>
                <w:bCs/>
                <w:color w:val="000000"/>
                <w:sz w:val="16"/>
                <w:szCs w:val="16"/>
              </w:rPr>
            </w:pPr>
          </w:p>
        </w:tc>
        <w:tc>
          <w:tcPr>
            <w:tcW w:w="4292" w:type="dxa"/>
            <w:shd w:val="clear" w:color="auto" w:fill="auto"/>
            <w:vAlign w:val="center"/>
            <w:hideMark/>
          </w:tcPr>
          <w:p w:rsidR="00C521C5" w:rsidRDefault="00C521C5" w:rsidP="00C521C5">
            <w:pPr>
              <w:ind w:left="153"/>
              <w:rPr>
                <w:rFonts w:ascii="Arial Narrow" w:hAnsi="Arial Narrow"/>
                <w:sz w:val="16"/>
                <w:szCs w:val="16"/>
              </w:rPr>
            </w:pPr>
            <w:r>
              <w:rPr>
                <w:rFonts w:ascii="Arial Narrow" w:hAnsi="Arial Narrow"/>
                <w:sz w:val="16"/>
                <w:szCs w:val="16"/>
              </w:rPr>
              <w:t>Μεταφορά εσόδων από ANFA και SMP (σε δεδουλευμένη βάση)</w:t>
            </w:r>
          </w:p>
        </w:tc>
        <w:tc>
          <w:tcPr>
            <w:tcW w:w="993"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-375</w:t>
            </w:r>
          </w:p>
        </w:tc>
        <w:tc>
          <w:tcPr>
            <w:tcW w:w="850"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-345</w:t>
            </w:r>
          </w:p>
        </w:tc>
        <w:tc>
          <w:tcPr>
            <w:tcW w:w="778"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-345</w:t>
            </w:r>
          </w:p>
        </w:tc>
        <w:tc>
          <w:tcPr>
            <w:tcW w:w="853" w:type="dxa"/>
            <w:tcBorders>
              <w:top w:val="nil"/>
              <w:bottom w:val="nil"/>
              <w:right w:val="nil"/>
            </w:tcBorders>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-314</w:t>
            </w:r>
          </w:p>
        </w:tc>
        <w:tc>
          <w:tcPr>
            <w:tcW w:w="920" w:type="dxa"/>
            <w:tcBorders>
              <w:top w:val="nil"/>
              <w:left w:val="nil"/>
              <w:bottom w:val="nil"/>
            </w:tcBorders>
            <w:shd w:val="clear" w:color="auto" w:fill="auto"/>
            <w:vAlign w:val="center"/>
          </w:tcPr>
          <w:p w:rsidR="00C521C5" w:rsidRDefault="00C521C5" w:rsidP="00C521C5">
            <w:pPr>
              <w:ind w:right="142"/>
              <w:jc w:val="right"/>
              <w:rPr>
                <w:rFonts w:ascii="Arial Narrow" w:hAnsi="Arial Narrow"/>
                <w:sz w:val="16"/>
                <w:szCs w:val="16"/>
              </w:rPr>
            </w:pPr>
            <w:r>
              <w:rPr>
                <w:rFonts w:ascii="Arial Narrow" w:hAnsi="Arial Narrow"/>
                <w:sz w:val="16"/>
                <w:szCs w:val="16"/>
              </w:rPr>
              <w:t>-314</w:t>
            </w:r>
          </w:p>
        </w:tc>
      </w:tr>
      <w:tr w:rsidR="00C521C5" w:rsidTr="00C521C5">
        <w:trPr>
          <w:trHeight w:val="20"/>
        </w:trPr>
        <w:tc>
          <w:tcPr>
            <w:tcW w:w="316" w:type="dxa"/>
            <w:shd w:val="clear" w:color="auto" w:fill="auto"/>
            <w:hideMark/>
          </w:tcPr>
          <w:p w:rsidR="00C521C5" w:rsidRDefault="00C521C5" w:rsidP="00EB7461">
            <w:pPr>
              <w:jc w:val="center"/>
              <w:rPr>
                <w:rFonts w:ascii="Arial Narrow" w:hAnsi="Arial Narrow"/>
                <w:b/>
                <w:bCs/>
                <w:color w:val="000000"/>
                <w:sz w:val="16"/>
                <w:szCs w:val="16"/>
              </w:rPr>
            </w:pPr>
          </w:p>
        </w:tc>
        <w:tc>
          <w:tcPr>
            <w:tcW w:w="4292" w:type="dxa"/>
            <w:shd w:val="clear" w:color="auto" w:fill="auto"/>
            <w:vAlign w:val="center"/>
            <w:hideMark/>
          </w:tcPr>
          <w:p w:rsidR="00C521C5" w:rsidRDefault="00C521C5" w:rsidP="00EB7461">
            <w:pPr>
              <w:ind w:left="153"/>
              <w:rPr>
                <w:rFonts w:ascii="Arial Narrow" w:hAnsi="Arial Narrow"/>
                <w:sz w:val="16"/>
                <w:szCs w:val="16"/>
              </w:rPr>
            </w:pPr>
            <w:r>
              <w:rPr>
                <w:rFonts w:ascii="Arial Narrow" w:hAnsi="Arial Narrow"/>
                <w:sz w:val="16"/>
                <w:szCs w:val="16"/>
              </w:rPr>
              <w:t>Επιστροφές εσόδων</w:t>
            </w:r>
          </w:p>
        </w:tc>
        <w:tc>
          <w:tcPr>
            <w:tcW w:w="993"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847</w:t>
            </w:r>
          </w:p>
        </w:tc>
        <w:tc>
          <w:tcPr>
            <w:tcW w:w="850"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0</w:t>
            </w:r>
          </w:p>
        </w:tc>
        <w:tc>
          <w:tcPr>
            <w:tcW w:w="778"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0</w:t>
            </w:r>
          </w:p>
        </w:tc>
        <w:tc>
          <w:tcPr>
            <w:tcW w:w="853" w:type="dxa"/>
            <w:tcBorders>
              <w:top w:val="nil"/>
              <w:bottom w:val="nil"/>
              <w:right w:val="nil"/>
            </w:tcBorders>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0</w:t>
            </w:r>
          </w:p>
        </w:tc>
        <w:tc>
          <w:tcPr>
            <w:tcW w:w="920" w:type="dxa"/>
            <w:tcBorders>
              <w:top w:val="nil"/>
              <w:left w:val="nil"/>
              <w:bottom w:val="nil"/>
            </w:tcBorders>
            <w:shd w:val="clear" w:color="auto" w:fill="auto"/>
            <w:vAlign w:val="center"/>
          </w:tcPr>
          <w:p w:rsidR="00C521C5" w:rsidRDefault="00C521C5" w:rsidP="00C521C5">
            <w:pPr>
              <w:ind w:right="142"/>
              <w:jc w:val="right"/>
              <w:rPr>
                <w:rFonts w:ascii="Arial Narrow" w:hAnsi="Arial Narrow"/>
                <w:sz w:val="16"/>
                <w:szCs w:val="16"/>
              </w:rPr>
            </w:pPr>
            <w:r>
              <w:rPr>
                <w:rFonts w:ascii="Arial Narrow" w:hAnsi="Arial Narrow"/>
                <w:sz w:val="16"/>
                <w:szCs w:val="16"/>
              </w:rPr>
              <w:t>0</w:t>
            </w:r>
          </w:p>
        </w:tc>
      </w:tr>
      <w:tr w:rsidR="00C521C5" w:rsidTr="00C521C5">
        <w:trPr>
          <w:trHeight w:val="20"/>
        </w:trPr>
        <w:tc>
          <w:tcPr>
            <w:tcW w:w="316" w:type="dxa"/>
            <w:shd w:val="clear" w:color="auto" w:fill="auto"/>
            <w:hideMark/>
          </w:tcPr>
          <w:p w:rsidR="00C521C5" w:rsidRDefault="00C521C5" w:rsidP="00EB7461">
            <w:pPr>
              <w:jc w:val="center"/>
              <w:rPr>
                <w:rFonts w:ascii="Arial Narrow" w:hAnsi="Arial Narrow"/>
                <w:b/>
                <w:bCs/>
                <w:color w:val="000000"/>
                <w:sz w:val="16"/>
                <w:szCs w:val="16"/>
              </w:rPr>
            </w:pPr>
          </w:p>
        </w:tc>
        <w:tc>
          <w:tcPr>
            <w:tcW w:w="4292" w:type="dxa"/>
            <w:shd w:val="clear" w:color="auto" w:fill="auto"/>
            <w:vAlign w:val="center"/>
            <w:hideMark/>
          </w:tcPr>
          <w:p w:rsidR="00C521C5" w:rsidRDefault="00C521C5" w:rsidP="00EB7461">
            <w:pPr>
              <w:ind w:left="153"/>
              <w:rPr>
                <w:rFonts w:ascii="Arial Narrow" w:hAnsi="Arial Narrow"/>
                <w:sz w:val="16"/>
                <w:szCs w:val="16"/>
              </w:rPr>
            </w:pPr>
            <w:r>
              <w:rPr>
                <w:rFonts w:ascii="Arial Narrow" w:hAnsi="Arial Narrow"/>
                <w:sz w:val="16"/>
                <w:szCs w:val="16"/>
              </w:rPr>
              <w:t>Προσαρμογή για το πρόγραμμα στήριξης των χρηματοπιστωτικών ιδρυμάτων</w:t>
            </w:r>
          </w:p>
        </w:tc>
        <w:tc>
          <w:tcPr>
            <w:tcW w:w="993"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-338</w:t>
            </w:r>
          </w:p>
        </w:tc>
        <w:tc>
          <w:tcPr>
            <w:tcW w:w="850"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0</w:t>
            </w:r>
          </w:p>
        </w:tc>
        <w:tc>
          <w:tcPr>
            <w:tcW w:w="778"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-14</w:t>
            </w:r>
          </w:p>
        </w:tc>
        <w:tc>
          <w:tcPr>
            <w:tcW w:w="853" w:type="dxa"/>
            <w:tcBorders>
              <w:top w:val="nil"/>
              <w:bottom w:val="nil"/>
              <w:right w:val="nil"/>
            </w:tcBorders>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0</w:t>
            </w:r>
          </w:p>
        </w:tc>
        <w:tc>
          <w:tcPr>
            <w:tcW w:w="920" w:type="dxa"/>
            <w:tcBorders>
              <w:top w:val="nil"/>
              <w:left w:val="nil"/>
              <w:bottom w:val="nil"/>
            </w:tcBorders>
            <w:shd w:val="clear" w:color="auto" w:fill="auto"/>
            <w:vAlign w:val="center"/>
          </w:tcPr>
          <w:p w:rsidR="00C521C5" w:rsidRDefault="00C521C5" w:rsidP="00C521C5">
            <w:pPr>
              <w:ind w:right="142"/>
              <w:jc w:val="right"/>
              <w:rPr>
                <w:rFonts w:ascii="Arial Narrow" w:hAnsi="Arial Narrow"/>
                <w:sz w:val="16"/>
                <w:szCs w:val="16"/>
              </w:rPr>
            </w:pPr>
            <w:r>
              <w:rPr>
                <w:rFonts w:ascii="Arial Narrow" w:hAnsi="Arial Narrow"/>
                <w:sz w:val="16"/>
                <w:szCs w:val="16"/>
              </w:rPr>
              <w:t>0</w:t>
            </w:r>
          </w:p>
        </w:tc>
      </w:tr>
      <w:tr w:rsidR="00C521C5" w:rsidTr="00C521C5">
        <w:trPr>
          <w:trHeight w:val="20"/>
        </w:trPr>
        <w:tc>
          <w:tcPr>
            <w:tcW w:w="316" w:type="dxa"/>
            <w:shd w:val="clear" w:color="auto" w:fill="auto"/>
            <w:hideMark/>
          </w:tcPr>
          <w:p w:rsidR="00C521C5" w:rsidRDefault="00C521C5" w:rsidP="00EB7461">
            <w:pPr>
              <w:jc w:val="center"/>
              <w:rPr>
                <w:rFonts w:ascii="Arial Narrow" w:hAnsi="Arial Narrow"/>
                <w:b/>
                <w:bCs/>
                <w:color w:val="000000"/>
                <w:sz w:val="16"/>
                <w:szCs w:val="16"/>
              </w:rPr>
            </w:pPr>
          </w:p>
        </w:tc>
        <w:tc>
          <w:tcPr>
            <w:tcW w:w="4292" w:type="dxa"/>
            <w:shd w:val="clear" w:color="auto" w:fill="auto"/>
            <w:vAlign w:val="center"/>
            <w:hideMark/>
          </w:tcPr>
          <w:p w:rsidR="00C521C5" w:rsidRDefault="00C521C5" w:rsidP="00EB7461">
            <w:pPr>
              <w:ind w:left="153"/>
              <w:rPr>
                <w:rFonts w:ascii="Arial Narrow" w:hAnsi="Arial Narrow"/>
                <w:sz w:val="16"/>
                <w:szCs w:val="16"/>
              </w:rPr>
            </w:pPr>
            <w:r>
              <w:rPr>
                <w:rFonts w:ascii="Arial Narrow" w:hAnsi="Arial Narrow"/>
                <w:sz w:val="16"/>
                <w:szCs w:val="16"/>
              </w:rPr>
              <w:t>Έσοδα αποκρατικοποιήσεων</w:t>
            </w:r>
          </w:p>
        </w:tc>
        <w:tc>
          <w:tcPr>
            <w:tcW w:w="993"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-26</w:t>
            </w:r>
          </w:p>
        </w:tc>
        <w:tc>
          <w:tcPr>
            <w:tcW w:w="850"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-52</w:t>
            </w:r>
          </w:p>
        </w:tc>
        <w:tc>
          <w:tcPr>
            <w:tcW w:w="778"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-39</w:t>
            </w:r>
          </w:p>
        </w:tc>
        <w:tc>
          <w:tcPr>
            <w:tcW w:w="853" w:type="dxa"/>
            <w:tcBorders>
              <w:top w:val="nil"/>
              <w:bottom w:val="nil"/>
              <w:right w:val="nil"/>
            </w:tcBorders>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-507</w:t>
            </w:r>
          </w:p>
        </w:tc>
        <w:tc>
          <w:tcPr>
            <w:tcW w:w="920" w:type="dxa"/>
            <w:tcBorders>
              <w:top w:val="nil"/>
              <w:left w:val="nil"/>
              <w:bottom w:val="nil"/>
            </w:tcBorders>
            <w:shd w:val="clear" w:color="auto" w:fill="auto"/>
            <w:vAlign w:val="center"/>
          </w:tcPr>
          <w:p w:rsidR="00C521C5" w:rsidRDefault="00C521C5" w:rsidP="00C521C5">
            <w:pPr>
              <w:ind w:right="142"/>
              <w:jc w:val="right"/>
              <w:rPr>
                <w:rFonts w:ascii="Arial Narrow" w:hAnsi="Arial Narrow"/>
                <w:sz w:val="16"/>
                <w:szCs w:val="16"/>
              </w:rPr>
            </w:pPr>
            <w:r>
              <w:rPr>
                <w:rFonts w:ascii="Arial Narrow" w:hAnsi="Arial Narrow"/>
                <w:sz w:val="16"/>
                <w:szCs w:val="16"/>
              </w:rPr>
              <w:t>-380</w:t>
            </w:r>
          </w:p>
        </w:tc>
      </w:tr>
      <w:tr w:rsidR="00C521C5" w:rsidTr="00C521C5">
        <w:trPr>
          <w:trHeight w:val="20"/>
        </w:trPr>
        <w:tc>
          <w:tcPr>
            <w:tcW w:w="316" w:type="dxa"/>
            <w:shd w:val="clear" w:color="auto" w:fill="auto"/>
            <w:hideMark/>
          </w:tcPr>
          <w:p w:rsidR="00C521C5" w:rsidRDefault="00C521C5" w:rsidP="00EB7461">
            <w:pPr>
              <w:jc w:val="center"/>
              <w:rPr>
                <w:rFonts w:ascii="Arial Narrow" w:hAnsi="Arial Narrow"/>
                <w:b/>
                <w:bCs/>
                <w:color w:val="000000"/>
                <w:sz w:val="16"/>
                <w:szCs w:val="16"/>
              </w:rPr>
            </w:pPr>
          </w:p>
        </w:tc>
        <w:tc>
          <w:tcPr>
            <w:tcW w:w="4292" w:type="dxa"/>
            <w:shd w:val="clear" w:color="auto" w:fill="auto"/>
            <w:vAlign w:val="center"/>
            <w:hideMark/>
          </w:tcPr>
          <w:p w:rsidR="00C521C5" w:rsidRDefault="00C521C5" w:rsidP="00EB7461">
            <w:pPr>
              <w:ind w:left="153"/>
              <w:rPr>
                <w:rFonts w:ascii="Arial Narrow" w:hAnsi="Arial Narrow"/>
                <w:sz w:val="16"/>
                <w:szCs w:val="16"/>
              </w:rPr>
            </w:pPr>
            <w:r>
              <w:rPr>
                <w:rFonts w:ascii="Arial Narrow" w:hAnsi="Arial Narrow"/>
                <w:sz w:val="16"/>
                <w:szCs w:val="16"/>
              </w:rPr>
              <w:t>Δαπάνες μεταναστευτικών ροών μη αντικριζόμενες</w:t>
            </w:r>
          </w:p>
        </w:tc>
        <w:tc>
          <w:tcPr>
            <w:tcW w:w="993"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10</w:t>
            </w:r>
          </w:p>
        </w:tc>
        <w:tc>
          <w:tcPr>
            <w:tcW w:w="850"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28</w:t>
            </w:r>
          </w:p>
        </w:tc>
        <w:tc>
          <w:tcPr>
            <w:tcW w:w="778"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75</w:t>
            </w:r>
          </w:p>
        </w:tc>
        <w:tc>
          <w:tcPr>
            <w:tcW w:w="853" w:type="dxa"/>
            <w:tcBorders>
              <w:top w:val="nil"/>
              <w:bottom w:val="nil"/>
              <w:right w:val="nil"/>
            </w:tcBorders>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26</w:t>
            </w:r>
          </w:p>
        </w:tc>
        <w:tc>
          <w:tcPr>
            <w:tcW w:w="920" w:type="dxa"/>
            <w:tcBorders>
              <w:top w:val="nil"/>
              <w:left w:val="nil"/>
              <w:bottom w:val="nil"/>
            </w:tcBorders>
            <w:shd w:val="clear" w:color="auto" w:fill="auto"/>
            <w:vAlign w:val="center"/>
          </w:tcPr>
          <w:p w:rsidR="00C521C5" w:rsidRDefault="00C521C5" w:rsidP="00C521C5">
            <w:pPr>
              <w:ind w:right="142"/>
              <w:jc w:val="right"/>
              <w:rPr>
                <w:rFonts w:ascii="Arial Narrow" w:hAnsi="Arial Narrow"/>
                <w:sz w:val="16"/>
                <w:szCs w:val="16"/>
              </w:rPr>
            </w:pPr>
            <w:r>
              <w:rPr>
                <w:rFonts w:ascii="Arial Narrow" w:hAnsi="Arial Narrow"/>
                <w:sz w:val="16"/>
                <w:szCs w:val="16"/>
              </w:rPr>
              <w:t>29</w:t>
            </w:r>
          </w:p>
        </w:tc>
      </w:tr>
      <w:tr w:rsidR="00C521C5" w:rsidTr="00C521C5">
        <w:trPr>
          <w:trHeight w:val="20"/>
        </w:trPr>
        <w:tc>
          <w:tcPr>
            <w:tcW w:w="316" w:type="dxa"/>
            <w:shd w:val="clear" w:color="auto" w:fill="auto"/>
            <w:hideMark/>
          </w:tcPr>
          <w:p w:rsidR="00C521C5" w:rsidRDefault="00C521C5" w:rsidP="00EB7461">
            <w:pPr>
              <w:jc w:val="center"/>
              <w:rPr>
                <w:rFonts w:ascii="Arial Narrow" w:hAnsi="Arial Narrow"/>
                <w:b/>
                <w:bCs/>
                <w:color w:val="000000"/>
                <w:sz w:val="16"/>
                <w:szCs w:val="16"/>
              </w:rPr>
            </w:pPr>
          </w:p>
        </w:tc>
        <w:tc>
          <w:tcPr>
            <w:tcW w:w="4292" w:type="dxa"/>
            <w:shd w:val="clear" w:color="auto" w:fill="auto"/>
            <w:vAlign w:val="center"/>
            <w:hideMark/>
          </w:tcPr>
          <w:p w:rsidR="00C521C5" w:rsidRDefault="00C521C5" w:rsidP="00EB7461">
            <w:pPr>
              <w:ind w:firstLineChars="200" w:firstLine="320"/>
              <w:rPr>
                <w:rFonts w:ascii="Arial Narrow" w:hAnsi="Arial Narrow"/>
                <w:sz w:val="16"/>
                <w:szCs w:val="16"/>
              </w:rPr>
            </w:pPr>
            <w:r>
              <w:rPr>
                <w:rFonts w:ascii="Arial Narrow" w:hAnsi="Arial Narrow"/>
                <w:sz w:val="16"/>
                <w:szCs w:val="16"/>
              </w:rPr>
              <w:t> </w:t>
            </w:r>
          </w:p>
        </w:tc>
        <w:tc>
          <w:tcPr>
            <w:tcW w:w="993"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850"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853" w:type="dxa"/>
            <w:tcBorders>
              <w:top w:val="nil"/>
              <w:bottom w:val="nil"/>
              <w:right w:val="nil"/>
            </w:tcBorders>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920" w:type="dxa"/>
            <w:tcBorders>
              <w:top w:val="nil"/>
              <w:left w:val="nil"/>
              <w:bottom w:val="nil"/>
            </w:tcBorders>
            <w:shd w:val="clear" w:color="auto" w:fill="auto"/>
            <w:vAlign w:val="center"/>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r>
      <w:tr w:rsidR="00C521C5" w:rsidTr="00C521C5">
        <w:trPr>
          <w:trHeight w:val="20"/>
        </w:trPr>
        <w:tc>
          <w:tcPr>
            <w:tcW w:w="316" w:type="dxa"/>
            <w:shd w:val="clear" w:color="auto" w:fill="BFBFBF" w:themeFill="background1" w:themeFillShade="BF"/>
            <w:hideMark/>
          </w:tcPr>
          <w:p w:rsidR="00C521C5" w:rsidRDefault="00C521C5" w:rsidP="00EB7461">
            <w:pPr>
              <w:jc w:val="center"/>
              <w:rPr>
                <w:rFonts w:ascii="Arial Narrow" w:hAnsi="Arial Narrow"/>
                <w:b/>
                <w:bCs/>
                <w:color w:val="000000"/>
                <w:sz w:val="16"/>
                <w:szCs w:val="16"/>
              </w:rPr>
            </w:pPr>
            <w:r>
              <w:rPr>
                <w:rFonts w:ascii="Arial Narrow" w:hAnsi="Arial Narrow"/>
                <w:b/>
                <w:bCs/>
                <w:color w:val="000000"/>
                <w:sz w:val="16"/>
                <w:szCs w:val="16"/>
              </w:rPr>
              <w:t>2.</w:t>
            </w:r>
          </w:p>
        </w:tc>
        <w:tc>
          <w:tcPr>
            <w:tcW w:w="4292" w:type="dxa"/>
            <w:shd w:val="clear" w:color="auto" w:fill="BFBFBF" w:themeFill="background1" w:themeFillShade="BF"/>
            <w:vAlign w:val="center"/>
            <w:hideMark/>
          </w:tcPr>
          <w:p w:rsidR="00C521C5" w:rsidRDefault="00C521C5" w:rsidP="00EB7461">
            <w:pPr>
              <w:rPr>
                <w:rFonts w:ascii="Arial Narrow" w:hAnsi="Arial Narrow"/>
                <w:b/>
                <w:bCs/>
                <w:sz w:val="16"/>
                <w:szCs w:val="16"/>
              </w:rPr>
            </w:pPr>
            <w:r>
              <w:rPr>
                <w:rFonts w:ascii="Arial Narrow" w:hAnsi="Arial Narrow"/>
                <w:b/>
                <w:bCs/>
                <w:sz w:val="16"/>
                <w:szCs w:val="16"/>
              </w:rPr>
              <w:t xml:space="preserve">Πρωτογενές αποτέλεσμα Γενικής </w:t>
            </w:r>
            <w:r w:rsidR="007039C8">
              <w:rPr>
                <w:rFonts w:ascii="Arial Narrow" w:hAnsi="Arial Narrow"/>
                <w:b/>
                <w:bCs/>
                <w:sz w:val="16"/>
                <w:szCs w:val="16"/>
              </w:rPr>
              <w:t xml:space="preserve">Κυβέρνησης </w:t>
            </w:r>
            <w:r>
              <w:rPr>
                <w:rFonts w:ascii="Arial Narrow" w:hAnsi="Arial Narrow"/>
                <w:b/>
                <w:bCs/>
                <w:sz w:val="16"/>
                <w:szCs w:val="16"/>
              </w:rPr>
              <w:t>σύμφωνα  με τη μεθοδολογία της Σύμβασης Χρηματοδοτικής Διευκόλυνσης</w:t>
            </w:r>
          </w:p>
        </w:tc>
        <w:tc>
          <w:tcPr>
            <w:tcW w:w="993"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6.560</w:t>
            </w:r>
          </w:p>
        </w:tc>
        <w:tc>
          <w:tcPr>
            <w:tcW w:w="850"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3.445</w:t>
            </w:r>
          </w:p>
        </w:tc>
        <w:tc>
          <w:tcPr>
            <w:tcW w:w="778"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4.360</w:t>
            </w:r>
          </w:p>
        </w:tc>
        <w:tc>
          <w:tcPr>
            <w:tcW w:w="853" w:type="dxa"/>
            <w:tcBorders>
              <w:top w:val="nil"/>
              <w:bottom w:val="nil"/>
              <w:right w:val="nil"/>
            </w:tcBorders>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6.625</w:t>
            </w:r>
          </w:p>
        </w:tc>
        <w:tc>
          <w:tcPr>
            <w:tcW w:w="920" w:type="dxa"/>
            <w:tcBorders>
              <w:top w:val="nil"/>
              <w:left w:val="nil"/>
              <w:bottom w:val="nil"/>
            </w:tcBorders>
            <w:shd w:val="clear" w:color="auto" w:fill="BFBFBF" w:themeFill="background1" w:themeFillShade="BF"/>
            <w:vAlign w:val="center"/>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7.051</w:t>
            </w:r>
          </w:p>
        </w:tc>
      </w:tr>
      <w:tr w:rsidR="00C521C5" w:rsidTr="00C521C5">
        <w:trPr>
          <w:trHeight w:val="20"/>
        </w:trPr>
        <w:tc>
          <w:tcPr>
            <w:tcW w:w="316" w:type="dxa"/>
            <w:shd w:val="clear" w:color="auto" w:fill="BFBFBF" w:themeFill="background1" w:themeFillShade="BF"/>
            <w:vAlign w:val="center"/>
            <w:hideMark/>
          </w:tcPr>
          <w:p w:rsidR="00C521C5" w:rsidRDefault="00C521C5" w:rsidP="00EB7461">
            <w:pPr>
              <w:jc w:val="center"/>
              <w:rPr>
                <w:rFonts w:ascii="Arial Narrow" w:hAnsi="Arial Narrow"/>
                <w:b/>
                <w:bCs/>
                <w:color w:val="000000"/>
                <w:sz w:val="16"/>
                <w:szCs w:val="16"/>
              </w:rPr>
            </w:pPr>
            <w:r>
              <w:rPr>
                <w:rFonts w:ascii="Arial Narrow" w:hAnsi="Arial Narrow"/>
                <w:b/>
                <w:bCs/>
                <w:color w:val="000000"/>
                <w:sz w:val="16"/>
                <w:szCs w:val="16"/>
              </w:rPr>
              <w:t> </w:t>
            </w:r>
          </w:p>
        </w:tc>
        <w:tc>
          <w:tcPr>
            <w:tcW w:w="4292" w:type="dxa"/>
            <w:shd w:val="clear" w:color="auto" w:fill="BFBFBF" w:themeFill="background1" w:themeFillShade="BF"/>
            <w:vAlign w:val="center"/>
            <w:hideMark/>
          </w:tcPr>
          <w:p w:rsidR="00C521C5" w:rsidRDefault="00C521C5" w:rsidP="00EB7461">
            <w:pPr>
              <w:rPr>
                <w:rFonts w:ascii="Arial Narrow" w:hAnsi="Arial Narrow"/>
                <w:b/>
                <w:bCs/>
                <w:sz w:val="16"/>
                <w:szCs w:val="16"/>
              </w:rPr>
            </w:pPr>
            <w:r>
              <w:rPr>
                <w:rFonts w:ascii="Arial Narrow" w:hAnsi="Arial Narrow"/>
                <w:b/>
                <w:bCs/>
                <w:sz w:val="16"/>
                <w:szCs w:val="16"/>
              </w:rPr>
              <w:t>% ΑΕΠ</w:t>
            </w:r>
          </w:p>
        </w:tc>
        <w:tc>
          <w:tcPr>
            <w:tcW w:w="993"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3,77%</w:t>
            </w:r>
          </w:p>
        </w:tc>
        <w:tc>
          <w:tcPr>
            <w:tcW w:w="850"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1,90%</w:t>
            </w:r>
          </w:p>
        </w:tc>
        <w:tc>
          <w:tcPr>
            <w:tcW w:w="778"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2,44%</w:t>
            </w:r>
          </w:p>
        </w:tc>
        <w:tc>
          <w:tcPr>
            <w:tcW w:w="853" w:type="dxa"/>
            <w:tcBorders>
              <w:top w:val="nil"/>
              <w:bottom w:val="nil"/>
              <w:right w:val="nil"/>
            </w:tcBorders>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3,53%</w:t>
            </w:r>
          </w:p>
        </w:tc>
        <w:tc>
          <w:tcPr>
            <w:tcW w:w="920" w:type="dxa"/>
            <w:tcBorders>
              <w:top w:val="nil"/>
              <w:left w:val="nil"/>
              <w:bottom w:val="nil"/>
            </w:tcBorders>
            <w:shd w:val="clear" w:color="auto" w:fill="BFBFBF" w:themeFill="background1" w:themeFillShade="BF"/>
            <w:vAlign w:val="center"/>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3,82%</w:t>
            </w:r>
          </w:p>
        </w:tc>
      </w:tr>
      <w:tr w:rsidR="00C521C5" w:rsidTr="00C521C5">
        <w:trPr>
          <w:trHeight w:val="20"/>
        </w:trPr>
        <w:tc>
          <w:tcPr>
            <w:tcW w:w="316" w:type="dxa"/>
            <w:shd w:val="clear" w:color="auto" w:fill="auto"/>
            <w:vAlign w:val="center"/>
            <w:hideMark/>
          </w:tcPr>
          <w:p w:rsidR="00C521C5" w:rsidRDefault="00C521C5" w:rsidP="00EB7461">
            <w:pPr>
              <w:jc w:val="center"/>
              <w:rPr>
                <w:rFonts w:ascii="Arial Narrow" w:hAnsi="Arial Narrow"/>
                <w:b/>
                <w:bCs/>
                <w:color w:val="000000"/>
                <w:sz w:val="16"/>
                <w:szCs w:val="16"/>
              </w:rPr>
            </w:pPr>
            <w:r>
              <w:rPr>
                <w:rFonts w:ascii="Arial Narrow" w:hAnsi="Arial Narrow"/>
                <w:b/>
                <w:bCs/>
                <w:color w:val="000000"/>
                <w:sz w:val="16"/>
                <w:szCs w:val="16"/>
              </w:rPr>
              <w:t> </w:t>
            </w:r>
          </w:p>
        </w:tc>
        <w:tc>
          <w:tcPr>
            <w:tcW w:w="4292" w:type="dxa"/>
            <w:shd w:val="clear" w:color="auto" w:fill="auto"/>
            <w:vAlign w:val="center"/>
            <w:hideMark/>
          </w:tcPr>
          <w:p w:rsidR="00C521C5" w:rsidRDefault="00C521C5" w:rsidP="00EB7461">
            <w:pPr>
              <w:rPr>
                <w:rFonts w:ascii="Arial Narrow" w:hAnsi="Arial Narrow"/>
                <w:sz w:val="16"/>
                <w:szCs w:val="16"/>
              </w:rPr>
            </w:pPr>
            <w:r>
              <w:rPr>
                <w:rFonts w:ascii="Arial Narrow" w:hAnsi="Arial Narrow"/>
                <w:sz w:val="16"/>
                <w:szCs w:val="16"/>
              </w:rPr>
              <w:t> </w:t>
            </w:r>
          </w:p>
        </w:tc>
        <w:tc>
          <w:tcPr>
            <w:tcW w:w="993"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850"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853" w:type="dxa"/>
            <w:tcBorders>
              <w:top w:val="nil"/>
              <w:bottom w:val="nil"/>
              <w:right w:val="nil"/>
            </w:tcBorders>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920" w:type="dxa"/>
            <w:tcBorders>
              <w:top w:val="nil"/>
              <w:left w:val="nil"/>
              <w:bottom w:val="nil"/>
            </w:tcBorders>
            <w:shd w:val="clear" w:color="auto" w:fill="auto"/>
            <w:vAlign w:val="center"/>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r>
      <w:tr w:rsidR="00C521C5" w:rsidTr="00C521C5">
        <w:trPr>
          <w:trHeight w:val="20"/>
        </w:trPr>
        <w:tc>
          <w:tcPr>
            <w:tcW w:w="316" w:type="dxa"/>
            <w:shd w:val="clear" w:color="auto" w:fill="BFBFBF" w:themeFill="background1" w:themeFillShade="BF"/>
            <w:vAlign w:val="center"/>
            <w:hideMark/>
          </w:tcPr>
          <w:p w:rsidR="00C521C5" w:rsidRDefault="00C521C5" w:rsidP="00EB7461">
            <w:pPr>
              <w:jc w:val="center"/>
              <w:rPr>
                <w:rFonts w:ascii="Arial Narrow" w:hAnsi="Arial Narrow"/>
                <w:b/>
                <w:bCs/>
                <w:color w:val="000000"/>
                <w:sz w:val="16"/>
                <w:szCs w:val="16"/>
              </w:rPr>
            </w:pPr>
            <w:r>
              <w:rPr>
                <w:rFonts w:ascii="Arial Narrow" w:hAnsi="Arial Narrow"/>
                <w:b/>
                <w:bCs/>
                <w:color w:val="000000"/>
                <w:sz w:val="16"/>
                <w:szCs w:val="16"/>
              </w:rPr>
              <w:t>3.</w:t>
            </w:r>
          </w:p>
        </w:tc>
        <w:tc>
          <w:tcPr>
            <w:tcW w:w="4292" w:type="dxa"/>
            <w:shd w:val="clear" w:color="auto" w:fill="BFBFBF" w:themeFill="background1" w:themeFillShade="BF"/>
            <w:vAlign w:val="center"/>
            <w:hideMark/>
          </w:tcPr>
          <w:p w:rsidR="00C521C5" w:rsidRDefault="00C521C5" w:rsidP="00EB7461">
            <w:pPr>
              <w:rPr>
                <w:rFonts w:ascii="Arial Narrow" w:hAnsi="Arial Narrow"/>
                <w:b/>
                <w:bCs/>
                <w:sz w:val="16"/>
                <w:szCs w:val="16"/>
              </w:rPr>
            </w:pPr>
            <w:r>
              <w:rPr>
                <w:rFonts w:ascii="Arial Narrow" w:hAnsi="Arial Narrow"/>
                <w:b/>
                <w:bCs/>
                <w:sz w:val="16"/>
                <w:szCs w:val="16"/>
              </w:rPr>
              <w:t>Στόχος Σύμβασης Χρηματοδοτικής Διευκόλυνσης</w:t>
            </w:r>
          </w:p>
        </w:tc>
        <w:tc>
          <w:tcPr>
            <w:tcW w:w="993"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871</w:t>
            </w:r>
          </w:p>
        </w:tc>
        <w:tc>
          <w:tcPr>
            <w:tcW w:w="850"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3.171</w:t>
            </w:r>
          </w:p>
        </w:tc>
        <w:tc>
          <w:tcPr>
            <w:tcW w:w="778"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3.125</w:t>
            </w:r>
          </w:p>
        </w:tc>
        <w:tc>
          <w:tcPr>
            <w:tcW w:w="853" w:type="dxa"/>
            <w:tcBorders>
              <w:top w:val="nil"/>
              <w:bottom w:val="nil"/>
              <w:right w:val="nil"/>
            </w:tcBorders>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6.571</w:t>
            </w:r>
          </w:p>
        </w:tc>
        <w:tc>
          <w:tcPr>
            <w:tcW w:w="920" w:type="dxa"/>
            <w:tcBorders>
              <w:top w:val="nil"/>
              <w:left w:val="nil"/>
              <w:bottom w:val="nil"/>
            </w:tcBorders>
            <w:shd w:val="clear" w:color="auto" w:fill="BFBFBF" w:themeFill="background1" w:themeFillShade="BF"/>
            <w:vAlign w:val="center"/>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6.464</w:t>
            </w:r>
          </w:p>
        </w:tc>
      </w:tr>
      <w:tr w:rsidR="00C521C5" w:rsidTr="00C521C5">
        <w:trPr>
          <w:trHeight w:val="20"/>
        </w:trPr>
        <w:tc>
          <w:tcPr>
            <w:tcW w:w="316" w:type="dxa"/>
            <w:shd w:val="clear" w:color="auto" w:fill="BFBFBF" w:themeFill="background1" w:themeFillShade="BF"/>
            <w:vAlign w:val="center"/>
            <w:hideMark/>
          </w:tcPr>
          <w:p w:rsidR="00C521C5" w:rsidRDefault="00C521C5" w:rsidP="00EB7461">
            <w:pPr>
              <w:jc w:val="center"/>
              <w:rPr>
                <w:rFonts w:ascii="Arial Narrow" w:hAnsi="Arial Narrow"/>
                <w:b/>
                <w:bCs/>
                <w:color w:val="000000"/>
                <w:sz w:val="16"/>
                <w:szCs w:val="16"/>
              </w:rPr>
            </w:pPr>
            <w:r>
              <w:rPr>
                <w:rFonts w:ascii="Arial Narrow" w:hAnsi="Arial Narrow"/>
                <w:b/>
                <w:bCs/>
                <w:color w:val="000000"/>
                <w:sz w:val="16"/>
                <w:szCs w:val="16"/>
              </w:rPr>
              <w:t> </w:t>
            </w:r>
          </w:p>
        </w:tc>
        <w:tc>
          <w:tcPr>
            <w:tcW w:w="4292" w:type="dxa"/>
            <w:shd w:val="clear" w:color="auto" w:fill="BFBFBF" w:themeFill="background1" w:themeFillShade="BF"/>
            <w:vAlign w:val="center"/>
            <w:hideMark/>
          </w:tcPr>
          <w:p w:rsidR="00C521C5" w:rsidRDefault="00C521C5" w:rsidP="00EB7461">
            <w:pPr>
              <w:rPr>
                <w:rFonts w:ascii="Arial Narrow" w:hAnsi="Arial Narrow"/>
                <w:b/>
                <w:bCs/>
                <w:sz w:val="16"/>
                <w:szCs w:val="16"/>
              </w:rPr>
            </w:pPr>
            <w:r>
              <w:rPr>
                <w:rFonts w:ascii="Arial Narrow" w:hAnsi="Arial Narrow"/>
                <w:b/>
                <w:bCs/>
                <w:sz w:val="16"/>
                <w:szCs w:val="16"/>
              </w:rPr>
              <w:t>% ΑΕΠ</w:t>
            </w:r>
          </w:p>
        </w:tc>
        <w:tc>
          <w:tcPr>
            <w:tcW w:w="993"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0,50%</w:t>
            </w:r>
          </w:p>
        </w:tc>
        <w:tc>
          <w:tcPr>
            <w:tcW w:w="850"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1,75%</w:t>
            </w:r>
          </w:p>
        </w:tc>
        <w:tc>
          <w:tcPr>
            <w:tcW w:w="778"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1,75%</w:t>
            </w:r>
          </w:p>
        </w:tc>
        <w:tc>
          <w:tcPr>
            <w:tcW w:w="853" w:type="dxa"/>
            <w:tcBorders>
              <w:top w:val="nil"/>
              <w:bottom w:val="nil"/>
              <w:right w:val="nil"/>
            </w:tcBorders>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3,50%</w:t>
            </w:r>
          </w:p>
        </w:tc>
        <w:tc>
          <w:tcPr>
            <w:tcW w:w="920" w:type="dxa"/>
            <w:tcBorders>
              <w:top w:val="nil"/>
              <w:left w:val="nil"/>
              <w:bottom w:val="nil"/>
            </w:tcBorders>
            <w:shd w:val="clear" w:color="auto" w:fill="BFBFBF" w:themeFill="background1" w:themeFillShade="BF"/>
            <w:vAlign w:val="center"/>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3,50%</w:t>
            </w:r>
          </w:p>
        </w:tc>
      </w:tr>
      <w:tr w:rsidR="00C521C5" w:rsidTr="00C521C5">
        <w:trPr>
          <w:trHeight w:val="20"/>
        </w:trPr>
        <w:tc>
          <w:tcPr>
            <w:tcW w:w="316" w:type="dxa"/>
            <w:shd w:val="clear" w:color="auto" w:fill="auto"/>
            <w:vAlign w:val="center"/>
            <w:hideMark/>
          </w:tcPr>
          <w:p w:rsidR="00C521C5" w:rsidRDefault="00C521C5" w:rsidP="00EB7461">
            <w:pPr>
              <w:jc w:val="center"/>
              <w:rPr>
                <w:rFonts w:ascii="Arial Narrow" w:hAnsi="Arial Narrow"/>
                <w:b/>
                <w:bCs/>
                <w:color w:val="000000"/>
                <w:sz w:val="16"/>
                <w:szCs w:val="16"/>
              </w:rPr>
            </w:pPr>
            <w:r>
              <w:rPr>
                <w:rFonts w:ascii="Arial Narrow" w:hAnsi="Arial Narrow"/>
                <w:b/>
                <w:bCs/>
                <w:color w:val="000000"/>
                <w:sz w:val="16"/>
                <w:szCs w:val="16"/>
              </w:rPr>
              <w:t> </w:t>
            </w:r>
          </w:p>
        </w:tc>
        <w:tc>
          <w:tcPr>
            <w:tcW w:w="4292" w:type="dxa"/>
            <w:shd w:val="clear" w:color="auto" w:fill="auto"/>
            <w:vAlign w:val="center"/>
            <w:hideMark/>
          </w:tcPr>
          <w:p w:rsidR="00C521C5" w:rsidRDefault="00C521C5" w:rsidP="00EB7461">
            <w:pPr>
              <w:rPr>
                <w:rFonts w:ascii="Arial Narrow" w:hAnsi="Arial Narrow"/>
                <w:sz w:val="16"/>
                <w:szCs w:val="16"/>
              </w:rPr>
            </w:pPr>
            <w:r>
              <w:rPr>
                <w:rFonts w:ascii="Arial Narrow" w:hAnsi="Arial Narrow"/>
                <w:sz w:val="16"/>
                <w:szCs w:val="16"/>
              </w:rPr>
              <w:t> </w:t>
            </w:r>
          </w:p>
        </w:tc>
        <w:tc>
          <w:tcPr>
            <w:tcW w:w="993"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850"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853" w:type="dxa"/>
            <w:tcBorders>
              <w:top w:val="nil"/>
              <w:bottom w:val="nil"/>
              <w:right w:val="nil"/>
            </w:tcBorders>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920" w:type="dxa"/>
            <w:tcBorders>
              <w:top w:val="nil"/>
              <w:left w:val="nil"/>
              <w:bottom w:val="nil"/>
            </w:tcBorders>
            <w:shd w:val="clear" w:color="auto" w:fill="auto"/>
            <w:vAlign w:val="center"/>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r>
      <w:tr w:rsidR="00C521C5" w:rsidTr="00C521C5">
        <w:trPr>
          <w:trHeight w:val="20"/>
        </w:trPr>
        <w:tc>
          <w:tcPr>
            <w:tcW w:w="316" w:type="dxa"/>
            <w:shd w:val="clear" w:color="auto" w:fill="BFBFBF" w:themeFill="background1" w:themeFillShade="BF"/>
            <w:vAlign w:val="center"/>
            <w:hideMark/>
          </w:tcPr>
          <w:p w:rsidR="00C521C5" w:rsidRDefault="00C521C5" w:rsidP="00EB7461">
            <w:pPr>
              <w:jc w:val="center"/>
              <w:rPr>
                <w:rFonts w:ascii="Arial Narrow" w:hAnsi="Arial Narrow"/>
                <w:b/>
                <w:bCs/>
                <w:color w:val="000000"/>
                <w:sz w:val="16"/>
                <w:szCs w:val="16"/>
              </w:rPr>
            </w:pPr>
            <w:r>
              <w:rPr>
                <w:rFonts w:ascii="Arial Narrow" w:hAnsi="Arial Narrow"/>
                <w:b/>
                <w:bCs/>
                <w:color w:val="000000"/>
                <w:sz w:val="16"/>
                <w:szCs w:val="16"/>
              </w:rPr>
              <w:t>4.</w:t>
            </w:r>
          </w:p>
        </w:tc>
        <w:tc>
          <w:tcPr>
            <w:tcW w:w="4292" w:type="dxa"/>
            <w:shd w:val="clear" w:color="auto" w:fill="BFBFBF" w:themeFill="background1" w:themeFillShade="BF"/>
            <w:vAlign w:val="center"/>
            <w:hideMark/>
          </w:tcPr>
          <w:p w:rsidR="00C521C5" w:rsidRDefault="00C521C5" w:rsidP="00EB7461">
            <w:pPr>
              <w:rPr>
                <w:rFonts w:ascii="Arial Narrow" w:hAnsi="Arial Narrow"/>
                <w:b/>
                <w:bCs/>
                <w:sz w:val="16"/>
                <w:szCs w:val="16"/>
              </w:rPr>
            </w:pPr>
            <w:r>
              <w:rPr>
                <w:rFonts w:ascii="Arial Narrow" w:hAnsi="Arial Narrow"/>
                <w:b/>
                <w:bCs/>
                <w:sz w:val="16"/>
                <w:szCs w:val="16"/>
              </w:rPr>
              <w:t>Δημοσιονομικό Πλεόνασμα (+) ή Κενό (-) Σύμβασης Χρηματοδοτ</w:t>
            </w:r>
            <w:r>
              <w:rPr>
                <w:rFonts w:ascii="Arial Narrow" w:hAnsi="Arial Narrow"/>
                <w:b/>
                <w:bCs/>
                <w:sz w:val="16"/>
                <w:szCs w:val="16"/>
              </w:rPr>
              <w:t>ι</w:t>
            </w:r>
            <w:r>
              <w:rPr>
                <w:rFonts w:ascii="Arial Narrow" w:hAnsi="Arial Narrow"/>
                <w:b/>
                <w:bCs/>
                <w:sz w:val="16"/>
                <w:szCs w:val="16"/>
              </w:rPr>
              <w:t>κής Διευκόλυνσης</w:t>
            </w:r>
          </w:p>
        </w:tc>
        <w:tc>
          <w:tcPr>
            <w:tcW w:w="993"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5.689</w:t>
            </w:r>
          </w:p>
        </w:tc>
        <w:tc>
          <w:tcPr>
            <w:tcW w:w="850"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274</w:t>
            </w:r>
          </w:p>
        </w:tc>
        <w:tc>
          <w:tcPr>
            <w:tcW w:w="778"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1.235</w:t>
            </w:r>
          </w:p>
        </w:tc>
        <w:tc>
          <w:tcPr>
            <w:tcW w:w="853" w:type="dxa"/>
            <w:tcBorders>
              <w:top w:val="nil"/>
              <w:bottom w:val="nil"/>
              <w:right w:val="nil"/>
            </w:tcBorders>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54</w:t>
            </w:r>
          </w:p>
        </w:tc>
        <w:tc>
          <w:tcPr>
            <w:tcW w:w="920" w:type="dxa"/>
            <w:tcBorders>
              <w:top w:val="nil"/>
              <w:left w:val="nil"/>
              <w:bottom w:val="nil"/>
            </w:tcBorders>
            <w:shd w:val="clear" w:color="auto" w:fill="BFBFBF" w:themeFill="background1" w:themeFillShade="BF"/>
            <w:vAlign w:val="center"/>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587</w:t>
            </w:r>
          </w:p>
        </w:tc>
      </w:tr>
      <w:tr w:rsidR="00C521C5" w:rsidTr="00C521C5">
        <w:trPr>
          <w:trHeight w:val="20"/>
        </w:trPr>
        <w:tc>
          <w:tcPr>
            <w:tcW w:w="316" w:type="dxa"/>
            <w:shd w:val="clear" w:color="auto" w:fill="BFBFBF" w:themeFill="background1" w:themeFillShade="BF"/>
            <w:vAlign w:val="center"/>
            <w:hideMark/>
          </w:tcPr>
          <w:p w:rsidR="00C521C5" w:rsidRDefault="00C521C5" w:rsidP="00EB7461">
            <w:pPr>
              <w:jc w:val="center"/>
              <w:rPr>
                <w:rFonts w:ascii="Arial Narrow" w:hAnsi="Arial Narrow"/>
                <w:b/>
                <w:bCs/>
                <w:color w:val="000000"/>
                <w:sz w:val="16"/>
                <w:szCs w:val="16"/>
              </w:rPr>
            </w:pPr>
            <w:r>
              <w:rPr>
                <w:rFonts w:ascii="Arial Narrow" w:hAnsi="Arial Narrow"/>
                <w:b/>
                <w:bCs/>
                <w:color w:val="000000"/>
                <w:sz w:val="16"/>
                <w:szCs w:val="16"/>
              </w:rPr>
              <w:t> </w:t>
            </w:r>
          </w:p>
        </w:tc>
        <w:tc>
          <w:tcPr>
            <w:tcW w:w="4292" w:type="dxa"/>
            <w:shd w:val="clear" w:color="auto" w:fill="BFBFBF" w:themeFill="background1" w:themeFillShade="BF"/>
            <w:vAlign w:val="center"/>
            <w:hideMark/>
          </w:tcPr>
          <w:p w:rsidR="00C521C5" w:rsidRDefault="00C521C5" w:rsidP="00EB7461">
            <w:pPr>
              <w:rPr>
                <w:rFonts w:ascii="Arial Narrow" w:hAnsi="Arial Narrow"/>
                <w:b/>
                <w:bCs/>
                <w:sz w:val="16"/>
                <w:szCs w:val="16"/>
              </w:rPr>
            </w:pPr>
            <w:r>
              <w:rPr>
                <w:rFonts w:ascii="Arial Narrow" w:hAnsi="Arial Narrow"/>
                <w:b/>
                <w:bCs/>
                <w:sz w:val="16"/>
                <w:szCs w:val="16"/>
              </w:rPr>
              <w:t>% ΑΕΠ</w:t>
            </w:r>
          </w:p>
        </w:tc>
        <w:tc>
          <w:tcPr>
            <w:tcW w:w="993"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3,27%</w:t>
            </w:r>
          </w:p>
        </w:tc>
        <w:tc>
          <w:tcPr>
            <w:tcW w:w="850"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0,15%</w:t>
            </w:r>
          </w:p>
        </w:tc>
        <w:tc>
          <w:tcPr>
            <w:tcW w:w="778" w:type="dxa"/>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0,69%</w:t>
            </w:r>
          </w:p>
        </w:tc>
        <w:tc>
          <w:tcPr>
            <w:tcW w:w="853" w:type="dxa"/>
            <w:tcBorders>
              <w:top w:val="nil"/>
              <w:bottom w:val="nil"/>
              <w:right w:val="nil"/>
            </w:tcBorders>
            <w:shd w:val="clear" w:color="auto" w:fill="BFBFBF" w:themeFill="background1" w:themeFillShade="BF"/>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0,03%</w:t>
            </w:r>
          </w:p>
        </w:tc>
        <w:tc>
          <w:tcPr>
            <w:tcW w:w="920" w:type="dxa"/>
            <w:tcBorders>
              <w:top w:val="nil"/>
              <w:left w:val="nil"/>
              <w:bottom w:val="nil"/>
            </w:tcBorders>
            <w:shd w:val="clear" w:color="auto" w:fill="BFBFBF" w:themeFill="background1" w:themeFillShade="BF"/>
            <w:vAlign w:val="center"/>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0,32%</w:t>
            </w:r>
          </w:p>
        </w:tc>
      </w:tr>
      <w:tr w:rsidR="00C521C5" w:rsidTr="00C521C5">
        <w:trPr>
          <w:trHeight w:val="20"/>
        </w:trPr>
        <w:tc>
          <w:tcPr>
            <w:tcW w:w="316" w:type="dxa"/>
            <w:shd w:val="clear" w:color="auto" w:fill="auto"/>
            <w:vAlign w:val="center"/>
            <w:hideMark/>
          </w:tcPr>
          <w:p w:rsidR="00C521C5" w:rsidRDefault="00C521C5" w:rsidP="00EB7461">
            <w:pPr>
              <w:jc w:val="center"/>
              <w:rPr>
                <w:rFonts w:ascii="Arial Narrow" w:hAnsi="Arial Narrow"/>
                <w:b/>
                <w:bCs/>
                <w:color w:val="000000"/>
                <w:sz w:val="16"/>
                <w:szCs w:val="16"/>
              </w:rPr>
            </w:pPr>
            <w:r>
              <w:rPr>
                <w:rFonts w:ascii="Arial Narrow" w:hAnsi="Arial Narrow"/>
                <w:b/>
                <w:bCs/>
                <w:color w:val="000000"/>
                <w:sz w:val="16"/>
                <w:szCs w:val="16"/>
              </w:rPr>
              <w:t> </w:t>
            </w:r>
          </w:p>
        </w:tc>
        <w:tc>
          <w:tcPr>
            <w:tcW w:w="4292" w:type="dxa"/>
            <w:shd w:val="clear" w:color="auto" w:fill="auto"/>
            <w:vAlign w:val="center"/>
            <w:hideMark/>
          </w:tcPr>
          <w:p w:rsidR="00C521C5" w:rsidRDefault="00C521C5" w:rsidP="00EB7461">
            <w:pPr>
              <w:rPr>
                <w:rFonts w:ascii="Arial Narrow" w:hAnsi="Arial Narrow"/>
                <w:sz w:val="16"/>
                <w:szCs w:val="16"/>
              </w:rPr>
            </w:pPr>
            <w:r>
              <w:rPr>
                <w:rFonts w:ascii="Arial Narrow" w:hAnsi="Arial Narrow"/>
                <w:sz w:val="16"/>
                <w:szCs w:val="16"/>
              </w:rPr>
              <w:t> </w:t>
            </w:r>
          </w:p>
        </w:tc>
        <w:tc>
          <w:tcPr>
            <w:tcW w:w="993"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850"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853" w:type="dxa"/>
            <w:tcBorders>
              <w:top w:val="nil"/>
              <w:bottom w:val="nil"/>
              <w:right w:val="nil"/>
            </w:tcBorders>
            <w:shd w:val="clear" w:color="auto" w:fill="auto"/>
            <w:vAlign w:val="center"/>
            <w:hideMark/>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c>
          <w:tcPr>
            <w:tcW w:w="920" w:type="dxa"/>
            <w:tcBorders>
              <w:top w:val="nil"/>
              <w:left w:val="nil"/>
              <w:bottom w:val="nil"/>
            </w:tcBorders>
            <w:shd w:val="clear" w:color="auto" w:fill="auto"/>
            <w:vAlign w:val="center"/>
          </w:tcPr>
          <w:p w:rsidR="00C521C5" w:rsidRDefault="00C521C5" w:rsidP="00C521C5">
            <w:pPr>
              <w:ind w:right="142"/>
              <w:jc w:val="right"/>
              <w:rPr>
                <w:rFonts w:ascii="Arial Narrow" w:hAnsi="Arial Narrow"/>
                <w:sz w:val="16"/>
                <w:szCs w:val="16"/>
              </w:rPr>
            </w:pPr>
            <w:r>
              <w:rPr>
                <w:rFonts w:ascii="Arial Narrow" w:hAnsi="Arial Narrow"/>
                <w:sz w:val="16"/>
                <w:szCs w:val="16"/>
              </w:rPr>
              <w:t> </w:t>
            </w:r>
          </w:p>
        </w:tc>
      </w:tr>
      <w:tr w:rsidR="00C521C5" w:rsidTr="00C521C5">
        <w:trPr>
          <w:trHeight w:val="20"/>
        </w:trPr>
        <w:tc>
          <w:tcPr>
            <w:tcW w:w="316" w:type="dxa"/>
            <w:shd w:val="clear" w:color="auto" w:fill="auto"/>
            <w:vAlign w:val="center"/>
            <w:hideMark/>
          </w:tcPr>
          <w:p w:rsidR="00C521C5" w:rsidRDefault="00C521C5" w:rsidP="00EB7461">
            <w:pPr>
              <w:jc w:val="center"/>
              <w:rPr>
                <w:rFonts w:ascii="Arial Narrow" w:hAnsi="Arial Narrow"/>
                <w:b/>
                <w:bCs/>
                <w:color w:val="000000"/>
                <w:sz w:val="16"/>
                <w:szCs w:val="16"/>
              </w:rPr>
            </w:pPr>
            <w:r>
              <w:rPr>
                <w:rFonts w:ascii="Arial Narrow" w:hAnsi="Arial Narrow"/>
                <w:b/>
                <w:bCs/>
                <w:color w:val="000000"/>
                <w:sz w:val="16"/>
                <w:szCs w:val="16"/>
              </w:rPr>
              <w:t> </w:t>
            </w:r>
          </w:p>
        </w:tc>
        <w:tc>
          <w:tcPr>
            <w:tcW w:w="4292" w:type="dxa"/>
            <w:shd w:val="clear" w:color="auto" w:fill="auto"/>
            <w:vAlign w:val="center"/>
            <w:hideMark/>
          </w:tcPr>
          <w:p w:rsidR="00C521C5" w:rsidRDefault="00C521C5" w:rsidP="00EB7461">
            <w:pPr>
              <w:rPr>
                <w:rFonts w:ascii="Arial Narrow" w:hAnsi="Arial Narrow"/>
                <w:b/>
                <w:bCs/>
                <w:sz w:val="16"/>
                <w:szCs w:val="16"/>
              </w:rPr>
            </w:pPr>
            <w:r>
              <w:rPr>
                <w:rFonts w:ascii="Arial Narrow" w:hAnsi="Arial Narrow"/>
                <w:b/>
                <w:bCs/>
                <w:sz w:val="16"/>
                <w:szCs w:val="16"/>
              </w:rPr>
              <w:t>ΑΕΠ</w:t>
            </w:r>
          </w:p>
        </w:tc>
        <w:tc>
          <w:tcPr>
            <w:tcW w:w="993" w:type="dxa"/>
            <w:shd w:val="clear" w:color="auto" w:fill="auto"/>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174.199</w:t>
            </w:r>
          </w:p>
        </w:tc>
        <w:tc>
          <w:tcPr>
            <w:tcW w:w="850" w:type="dxa"/>
            <w:shd w:val="clear" w:color="auto" w:fill="auto"/>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181.204</w:t>
            </w:r>
          </w:p>
        </w:tc>
        <w:tc>
          <w:tcPr>
            <w:tcW w:w="778" w:type="dxa"/>
            <w:shd w:val="clear" w:color="auto" w:fill="auto"/>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178.579</w:t>
            </w:r>
          </w:p>
        </w:tc>
        <w:tc>
          <w:tcPr>
            <w:tcW w:w="853" w:type="dxa"/>
            <w:tcBorders>
              <w:top w:val="nil"/>
              <w:bottom w:val="nil"/>
              <w:right w:val="nil"/>
            </w:tcBorders>
            <w:shd w:val="clear" w:color="auto" w:fill="auto"/>
            <w:vAlign w:val="center"/>
            <w:hideMark/>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187.745</w:t>
            </w:r>
          </w:p>
        </w:tc>
        <w:tc>
          <w:tcPr>
            <w:tcW w:w="920" w:type="dxa"/>
            <w:tcBorders>
              <w:top w:val="nil"/>
              <w:left w:val="nil"/>
              <w:bottom w:val="nil"/>
            </w:tcBorders>
            <w:shd w:val="clear" w:color="auto" w:fill="auto"/>
            <w:vAlign w:val="center"/>
          </w:tcPr>
          <w:p w:rsidR="00C521C5" w:rsidRDefault="00C521C5" w:rsidP="00C521C5">
            <w:pPr>
              <w:ind w:right="142"/>
              <w:jc w:val="right"/>
              <w:rPr>
                <w:rFonts w:ascii="Arial Narrow" w:hAnsi="Arial Narrow"/>
                <w:b/>
                <w:bCs/>
                <w:sz w:val="16"/>
                <w:szCs w:val="16"/>
              </w:rPr>
            </w:pPr>
            <w:r>
              <w:rPr>
                <w:rFonts w:ascii="Arial Narrow" w:hAnsi="Arial Narrow"/>
                <w:b/>
                <w:bCs/>
                <w:sz w:val="16"/>
                <w:szCs w:val="16"/>
              </w:rPr>
              <w:t>184.691</w:t>
            </w:r>
          </w:p>
        </w:tc>
      </w:tr>
      <w:tr w:rsidR="00CF79E5" w:rsidTr="00CF79E5">
        <w:trPr>
          <w:trHeight w:val="20"/>
        </w:trPr>
        <w:tc>
          <w:tcPr>
            <w:tcW w:w="316" w:type="dxa"/>
            <w:shd w:val="clear" w:color="auto" w:fill="auto"/>
            <w:vAlign w:val="center"/>
            <w:hideMark/>
          </w:tcPr>
          <w:p w:rsidR="00CF79E5" w:rsidRDefault="00CF79E5" w:rsidP="00EB7461">
            <w:pPr>
              <w:jc w:val="center"/>
              <w:rPr>
                <w:rFonts w:ascii="Arial Narrow" w:hAnsi="Arial Narrow"/>
                <w:b/>
                <w:bCs/>
                <w:color w:val="000000"/>
                <w:sz w:val="16"/>
                <w:szCs w:val="16"/>
              </w:rPr>
            </w:pPr>
            <w:r>
              <w:rPr>
                <w:rFonts w:ascii="Arial Narrow" w:hAnsi="Arial Narrow"/>
                <w:b/>
                <w:bCs/>
                <w:color w:val="000000"/>
                <w:sz w:val="16"/>
                <w:szCs w:val="16"/>
              </w:rPr>
              <w:t> </w:t>
            </w:r>
          </w:p>
        </w:tc>
        <w:tc>
          <w:tcPr>
            <w:tcW w:w="4292" w:type="dxa"/>
            <w:shd w:val="clear" w:color="auto" w:fill="auto"/>
            <w:vAlign w:val="center"/>
            <w:hideMark/>
          </w:tcPr>
          <w:p w:rsidR="00CF79E5" w:rsidRDefault="00CF79E5" w:rsidP="00EB7461">
            <w:pPr>
              <w:rPr>
                <w:rFonts w:ascii="Arial Narrow" w:hAnsi="Arial Narrow"/>
                <w:color w:val="000000"/>
                <w:sz w:val="16"/>
                <w:szCs w:val="16"/>
              </w:rPr>
            </w:pPr>
            <w:r>
              <w:rPr>
                <w:rFonts w:ascii="Arial Narrow" w:hAnsi="Arial Narrow"/>
                <w:color w:val="000000"/>
                <w:sz w:val="16"/>
                <w:szCs w:val="16"/>
              </w:rPr>
              <w:t> </w:t>
            </w:r>
          </w:p>
        </w:tc>
        <w:tc>
          <w:tcPr>
            <w:tcW w:w="993" w:type="dxa"/>
            <w:shd w:val="clear" w:color="auto" w:fill="auto"/>
            <w:vAlign w:val="center"/>
            <w:hideMark/>
          </w:tcPr>
          <w:p w:rsidR="00CF79E5" w:rsidRDefault="00CF79E5" w:rsidP="00EB7461">
            <w:pPr>
              <w:rPr>
                <w:rFonts w:ascii="Arial Narrow" w:hAnsi="Arial Narrow"/>
                <w:color w:val="000000"/>
                <w:sz w:val="16"/>
                <w:szCs w:val="16"/>
              </w:rPr>
            </w:pPr>
            <w:r>
              <w:rPr>
                <w:rFonts w:ascii="Arial Narrow" w:hAnsi="Arial Narrow"/>
                <w:color w:val="000000"/>
                <w:sz w:val="16"/>
                <w:szCs w:val="16"/>
              </w:rPr>
              <w:t> </w:t>
            </w:r>
          </w:p>
        </w:tc>
        <w:tc>
          <w:tcPr>
            <w:tcW w:w="850" w:type="dxa"/>
            <w:shd w:val="clear" w:color="auto" w:fill="auto"/>
            <w:vAlign w:val="center"/>
            <w:hideMark/>
          </w:tcPr>
          <w:p w:rsidR="00CF79E5" w:rsidRDefault="00CF79E5" w:rsidP="00EB7461">
            <w:pPr>
              <w:rPr>
                <w:rFonts w:ascii="Arial Narrow" w:hAnsi="Arial Narrow"/>
                <w:sz w:val="16"/>
                <w:szCs w:val="16"/>
              </w:rPr>
            </w:pPr>
            <w:r>
              <w:rPr>
                <w:rFonts w:ascii="Arial Narrow" w:hAnsi="Arial Narrow"/>
                <w:sz w:val="16"/>
                <w:szCs w:val="16"/>
              </w:rPr>
              <w:t> </w:t>
            </w:r>
          </w:p>
        </w:tc>
        <w:tc>
          <w:tcPr>
            <w:tcW w:w="778" w:type="dxa"/>
            <w:shd w:val="clear" w:color="auto" w:fill="auto"/>
            <w:vAlign w:val="center"/>
            <w:hideMark/>
          </w:tcPr>
          <w:p w:rsidR="00CF79E5" w:rsidRDefault="00CF79E5" w:rsidP="00EB7461">
            <w:pPr>
              <w:rPr>
                <w:rFonts w:ascii="Arial Narrow" w:hAnsi="Arial Narrow"/>
                <w:sz w:val="16"/>
                <w:szCs w:val="16"/>
              </w:rPr>
            </w:pPr>
            <w:r>
              <w:rPr>
                <w:rFonts w:ascii="Arial Narrow" w:hAnsi="Arial Narrow"/>
                <w:sz w:val="16"/>
                <w:szCs w:val="16"/>
              </w:rPr>
              <w:t> </w:t>
            </w:r>
          </w:p>
        </w:tc>
        <w:tc>
          <w:tcPr>
            <w:tcW w:w="853" w:type="dxa"/>
            <w:tcBorders>
              <w:top w:val="nil"/>
              <w:bottom w:val="single" w:sz="6" w:space="0" w:color="auto"/>
              <w:right w:val="nil"/>
            </w:tcBorders>
            <w:shd w:val="clear" w:color="auto" w:fill="auto"/>
            <w:vAlign w:val="center"/>
            <w:hideMark/>
          </w:tcPr>
          <w:p w:rsidR="00CF79E5" w:rsidRDefault="00CF79E5" w:rsidP="00EB7461">
            <w:pPr>
              <w:rPr>
                <w:rFonts w:ascii="Arial Narrow" w:hAnsi="Arial Narrow"/>
                <w:sz w:val="16"/>
                <w:szCs w:val="16"/>
              </w:rPr>
            </w:pPr>
            <w:r>
              <w:rPr>
                <w:rFonts w:ascii="Arial Narrow" w:hAnsi="Arial Narrow"/>
                <w:sz w:val="16"/>
                <w:szCs w:val="16"/>
              </w:rPr>
              <w:t> </w:t>
            </w:r>
          </w:p>
        </w:tc>
        <w:tc>
          <w:tcPr>
            <w:tcW w:w="920" w:type="dxa"/>
            <w:tcBorders>
              <w:top w:val="nil"/>
              <w:left w:val="nil"/>
              <w:bottom w:val="single" w:sz="6" w:space="0" w:color="auto"/>
            </w:tcBorders>
            <w:shd w:val="clear" w:color="auto" w:fill="auto"/>
            <w:vAlign w:val="center"/>
          </w:tcPr>
          <w:p w:rsidR="00CF79E5" w:rsidRDefault="00CF79E5" w:rsidP="00CF79E5">
            <w:pPr>
              <w:rPr>
                <w:rFonts w:ascii="Arial Narrow" w:hAnsi="Arial Narrow"/>
                <w:sz w:val="16"/>
                <w:szCs w:val="16"/>
              </w:rPr>
            </w:pPr>
          </w:p>
        </w:tc>
      </w:tr>
    </w:tbl>
    <w:p w:rsidR="002B25D3" w:rsidRDefault="002B25D3" w:rsidP="00A50FB2">
      <w:pPr>
        <w:spacing w:line="228" w:lineRule="auto"/>
        <w:jc w:val="both"/>
        <w:rPr>
          <w:sz w:val="22"/>
          <w:szCs w:val="22"/>
        </w:rPr>
      </w:pPr>
    </w:p>
    <w:p w:rsidR="002B25D3" w:rsidRPr="00AA6AEF" w:rsidRDefault="002B25D3" w:rsidP="00A50FB2">
      <w:pPr>
        <w:spacing w:line="228" w:lineRule="auto"/>
        <w:jc w:val="both"/>
        <w:rPr>
          <w:sz w:val="22"/>
          <w:szCs w:val="22"/>
        </w:rPr>
      </w:pPr>
    </w:p>
    <w:p w:rsidR="00A50FB2" w:rsidRPr="00AA6AEF" w:rsidRDefault="00275351" w:rsidP="00A50FB2">
      <w:pPr>
        <w:pStyle w:val="Web"/>
        <w:spacing w:before="0" w:beforeAutospacing="0" w:after="0" w:line="228" w:lineRule="auto"/>
        <w:jc w:val="both"/>
        <w:rPr>
          <w:sz w:val="22"/>
          <w:szCs w:val="22"/>
        </w:rPr>
      </w:pPr>
      <w:r>
        <w:rPr>
          <w:sz w:val="22"/>
          <w:szCs w:val="22"/>
        </w:rPr>
        <w:t>Σε δημοσιονομική βάση</w:t>
      </w:r>
      <w:r w:rsidR="00A50FB2" w:rsidRPr="00AA6AEF">
        <w:rPr>
          <w:sz w:val="22"/>
          <w:szCs w:val="22"/>
        </w:rPr>
        <w:t xml:space="preserve"> τα έσοδα του Τακτικού Προϋπολογισμού εκτιμάται ότι θα διαμορφωθούν στα </w:t>
      </w:r>
      <w:r w:rsidR="001753CE">
        <w:rPr>
          <w:sz w:val="22"/>
          <w:szCs w:val="22"/>
        </w:rPr>
        <w:t>48.781</w:t>
      </w:r>
      <w:r w:rsidR="00A50FB2" w:rsidRPr="00AA6AEF">
        <w:rPr>
          <w:sz w:val="22"/>
          <w:szCs w:val="22"/>
        </w:rPr>
        <w:t xml:space="preserve"> εκατ. ευρώ, μειωμένα κατά </w:t>
      </w:r>
      <w:r w:rsidR="00A50FB2">
        <w:rPr>
          <w:sz w:val="22"/>
          <w:szCs w:val="22"/>
        </w:rPr>
        <w:t>1.0</w:t>
      </w:r>
      <w:r w:rsidR="001753CE">
        <w:rPr>
          <w:sz w:val="22"/>
          <w:szCs w:val="22"/>
        </w:rPr>
        <w:t>04</w:t>
      </w:r>
      <w:r w:rsidR="00A50FB2" w:rsidRPr="00AA6AEF">
        <w:rPr>
          <w:sz w:val="22"/>
          <w:szCs w:val="22"/>
        </w:rPr>
        <w:t xml:space="preserve"> εκατ. ευρώ έναντι του στόχου. Σημειώνεται ότι στη δι</w:t>
      </w:r>
      <w:r w:rsidR="00A50FB2" w:rsidRPr="00AA6AEF">
        <w:rPr>
          <w:sz w:val="22"/>
          <w:szCs w:val="22"/>
        </w:rPr>
        <w:t>α</w:t>
      </w:r>
      <w:r w:rsidR="00A50FB2" w:rsidRPr="00AA6AEF">
        <w:rPr>
          <w:sz w:val="22"/>
          <w:szCs w:val="22"/>
        </w:rPr>
        <w:t xml:space="preserve">μόρφωση των εσόδων περιλαμβάνεται και το ποσό από την </w:t>
      </w:r>
      <w:r w:rsidR="00A50FB2">
        <w:rPr>
          <w:sz w:val="22"/>
          <w:szCs w:val="22"/>
        </w:rPr>
        <w:t xml:space="preserve">αρνητική </w:t>
      </w:r>
      <w:r w:rsidR="00A50FB2" w:rsidRPr="00AA6AEF">
        <w:rPr>
          <w:sz w:val="22"/>
          <w:szCs w:val="22"/>
        </w:rPr>
        <w:t>μεταβολή του υπολοίπου του Ενιαίου Λογαριασμού Θησαυροφυλακίου, σε σχέση με την 31/12 το</w:t>
      </w:r>
      <w:r w:rsidR="00A50FB2">
        <w:rPr>
          <w:sz w:val="22"/>
          <w:szCs w:val="22"/>
        </w:rPr>
        <w:t xml:space="preserve">υ προηγούμενου έτους, ύψους </w:t>
      </w:r>
      <w:r w:rsidR="00A50FB2" w:rsidRPr="00AA6AEF">
        <w:rPr>
          <w:sz w:val="22"/>
          <w:szCs w:val="22"/>
        </w:rPr>
        <w:t>164 εκατ. ευρώ, το οποίο στο ΜΠΔΣ 2018-2021 είχε περιληφθεί στις προσαρμογές των δαπανών.</w:t>
      </w:r>
    </w:p>
    <w:p w:rsidR="00A50FB2" w:rsidRPr="00124900" w:rsidRDefault="00A50FB2" w:rsidP="00A50FB2">
      <w:pPr>
        <w:pStyle w:val="Web"/>
        <w:spacing w:before="0" w:beforeAutospacing="0" w:after="0" w:line="228" w:lineRule="auto"/>
        <w:jc w:val="both"/>
        <w:rPr>
          <w:sz w:val="22"/>
          <w:szCs w:val="22"/>
        </w:rPr>
      </w:pPr>
    </w:p>
    <w:p w:rsidR="00A50FB2" w:rsidRPr="00EA0964" w:rsidRDefault="00A50FB2" w:rsidP="00A50FB2">
      <w:pPr>
        <w:jc w:val="both"/>
        <w:rPr>
          <w:bCs/>
          <w:sz w:val="22"/>
          <w:szCs w:val="22"/>
        </w:rPr>
      </w:pPr>
      <w:r w:rsidRPr="00EA0964">
        <w:rPr>
          <w:bCs/>
          <w:sz w:val="22"/>
          <w:szCs w:val="22"/>
        </w:rPr>
        <w:t>Πιο συγκεκριμένα:</w:t>
      </w:r>
    </w:p>
    <w:p w:rsidR="00A50FB2" w:rsidRPr="00EA0964" w:rsidRDefault="00A50FB2" w:rsidP="00A50FB2">
      <w:pPr>
        <w:jc w:val="both"/>
        <w:rPr>
          <w:bCs/>
          <w:sz w:val="22"/>
          <w:szCs w:val="22"/>
        </w:rPr>
      </w:pPr>
    </w:p>
    <w:p w:rsidR="00A50FB2" w:rsidRPr="00EA0964" w:rsidRDefault="00A50FB2" w:rsidP="00A50FB2">
      <w:pPr>
        <w:jc w:val="both"/>
        <w:rPr>
          <w:rFonts w:ascii="Arial Narrow" w:hAnsi="Arial Narrow"/>
          <w:b/>
          <w:bCs/>
          <w:i/>
          <w:sz w:val="22"/>
          <w:szCs w:val="22"/>
        </w:rPr>
      </w:pPr>
      <w:r w:rsidRPr="00EA0964">
        <w:rPr>
          <w:rFonts w:ascii="Arial Narrow" w:hAnsi="Arial Narrow"/>
          <w:b/>
          <w:bCs/>
          <w:i/>
          <w:sz w:val="22"/>
          <w:szCs w:val="22"/>
        </w:rPr>
        <w:t>Άμεσοι φόροι</w:t>
      </w:r>
    </w:p>
    <w:p w:rsidR="00A50FB2" w:rsidRPr="00EA0964" w:rsidRDefault="00A50FB2" w:rsidP="00A50FB2">
      <w:pPr>
        <w:jc w:val="both"/>
        <w:rPr>
          <w:bCs/>
          <w:sz w:val="22"/>
          <w:szCs w:val="22"/>
        </w:rPr>
      </w:pPr>
    </w:p>
    <w:p w:rsidR="00A50FB2" w:rsidRPr="002C1654" w:rsidRDefault="00A50FB2" w:rsidP="00A50FB2">
      <w:pPr>
        <w:pStyle w:val="Web"/>
        <w:spacing w:before="0" w:beforeAutospacing="0" w:after="0" w:line="228" w:lineRule="auto"/>
        <w:jc w:val="both"/>
        <w:rPr>
          <w:sz w:val="22"/>
          <w:szCs w:val="22"/>
        </w:rPr>
      </w:pPr>
      <w:r w:rsidRPr="00CA3638">
        <w:rPr>
          <w:sz w:val="22"/>
          <w:szCs w:val="22"/>
        </w:rPr>
        <w:t>Από την άμεση φορολογία, εκτιμάται ότι θα εισπραχθούν 20.288 εκατ. ευρώ, μειωμένα κατά 1.</w:t>
      </w:r>
      <w:r>
        <w:rPr>
          <w:sz w:val="22"/>
          <w:szCs w:val="22"/>
        </w:rPr>
        <w:t xml:space="preserve">237 εκατ. </w:t>
      </w:r>
      <w:r w:rsidR="00275351">
        <w:rPr>
          <w:sz w:val="22"/>
          <w:szCs w:val="22"/>
        </w:rPr>
        <w:t xml:space="preserve">ευρώ </w:t>
      </w:r>
      <w:r w:rsidR="00AE5D64">
        <w:rPr>
          <w:sz w:val="22"/>
          <w:szCs w:val="22"/>
        </w:rPr>
        <w:t>ή 5,7</w:t>
      </w:r>
      <w:r w:rsidRPr="00CA3638">
        <w:rPr>
          <w:sz w:val="22"/>
          <w:szCs w:val="22"/>
        </w:rPr>
        <w:t>% έναντι του στόχου του ΜΠΔΣ 2018-2021. Η απόκλιση αυτή, οφείλεται, κυρίως</w:t>
      </w:r>
      <w:r w:rsidR="00275351">
        <w:rPr>
          <w:sz w:val="22"/>
          <w:szCs w:val="22"/>
        </w:rPr>
        <w:t>,</w:t>
      </w:r>
      <w:r w:rsidRPr="00CA3638">
        <w:rPr>
          <w:sz w:val="22"/>
          <w:szCs w:val="22"/>
        </w:rPr>
        <w:t xml:space="preserve"> στις μειωμένες εκτιμήσεις </w:t>
      </w:r>
      <w:r>
        <w:rPr>
          <w:sz w:val="22"/>
          <w:szCs w:val="22"/>
        </w:rPr>
        <w:t xml:space="preserve">εσόδων </w:t>
      </w:r>
      <w:r w:rsidRPr="00CA3638">
        <w:rPr>
          <w:sz w:val="22"/>
          <w:szCs w:val="22"/>
        </w:rPr>
        <w:t>από το ΦΕΦΠ</w:t>
      </w:r>
      <w:r>
        <w:rPr>
          <w:sz w:val="22"/>
          <w:szCs w:val="22"/>
        </w:rPr>
        <w:t>, λόγω μείωσης της φορολογικής βάσης</w:t>
      </w:r>
      <w:r w:rsidRPr="00CA3638">
        <w:rPr>
          <w:sz w:val="22"/>
          <w:szCs w:val="22"/>
        </w:rPr>
        <w:t xml:space="preserve"> και στη</w:t>
      </w:r>
      <w:r>
        <w:rPr>
          <w:szCs w:val="22"/>
        </w:rPr>
        <w:t xml:space="preserve"> </w:t>
      </w:r>
      <w:r w:rsidRPr="00CA3638">
        <w:rPr>
          <w:sz w:val="22"/>
          <w:szCs w:val="22"/>
        </w:rPr>
        <w:t>μ</w:t>
      </w:r>
      <w:r w:rsidRPr="00CA3638">
        <w:rPr>
          <w:sz w:val="22"/>
          <w:szCs w:val="22"/>
        </w:rPr>
        <w:t>ε</w:t>
      </w:r>
      <w:r w:rsidRPr="00CA3638">
        <w:rPr>
          <w:sz w:val="22"/>
          <w:szCs w:val="22"/>
        </w:rPr>
        <w:t>τακύλιση καταβολής της τελευταίας δόσης του ΕΝΦΙΑ 2017 τον Ιανουάριο του 2018, όπως προαν</w:t>
      </w:r>
      <w:r w:rsidRPr="00CA3638">
        <w:rPr>
          <w:sz w:val="22"/>
          <w:szCs w:val="22"/>
        </w:rPr>
        <w:t>α</w:t>
      </w:r>
      <w:r w:rsidRPr="00CA3638">
        <w:rPr>
          <w:sz w:val="22"/>
          <w:szCs w:val="22"/>
        </w:rPr>
        <w:t>φέρθηκε.</w:t>
      </w:r>
      <w:r>
        <w:rPr>
          <w:sz w:val="22"/>
          <w:szCs w:val="22"/>
        </w:rPr>
        <w:t xml:space="preserve"> </w:t>
      </w:r>
      <w:r w:rsidRPr="00EA0964">
        <w:rPr>
          <w:bCs/>
          <w:sz w:val="22"/>
          <w:szCs w:val="22"/>
        </w:rPr>
        <w:t>Ειδικότερα:</w:t>
      </w:r>
    </w:p>
    <w:p w:rsidR="00A50FB2" w:rsidRPr="00EA0964" w:rsidRDefault="00A50FB2" w:rsidP="00A50FB2">
      <w:pPr>
        <w:jc w:val="both"/>
        <w:rPr>
          <w:bCs/>
          <w:sz w:val="22"/>
          <w:szCs w:val="22"/>
        </w:rPr>
      </w:pPr>
    </w:p>
    <w:p w:rsidR="00A50FB2" w:rsidRDefault="00A50FB2" w:rsidP="00A50FB2">
      <w:pPr>
        <w:jc w:val="both"/>
        <w:rPr>
          <w:bCs/>
          <w:sz w:val="22"/>
          <w:szCs w:val="22"/>
        </w:rPr>
      </w:pPr>
      <w:r w:rsidRPr="00EA0964">
        <w:rPr>
          <w:bCs/>
          <w:sz w:val="22"/>
          <w:szCs w:val="22"/>
        </w:rPr>
        <w:t>Ο φόρος εισοδήματος εκτιμάται ότι θα διαμορφωθεί στα 12.</w:t>
      </w:r>
      <w:r>
        <w:rPr>
          <w:bCs/>
          <w:sz w:val="22"/>
          <w:szCs w:val="22"/>
        </w:rPr>
        <w:t>897</w:t>
      </w:r>
      <w:r w:rsidRPr="00EA0964">
        <w:rPr>
          <w:bCs/>
          <w:sz w:val="22"/>
          <w:szCs w:val="22"/>
        </w:rPr>
        <w:t xml:space="preserve"> εκατ. ευρώ, </w:t>
      </w:r>
      <w:r>
        <w:rPr>
          <w:bCs/>
          <w:sz w:val="22"/>
          <w:szCs w:val="22"/>
        </w:rPr>
        <w:t>μειω</w:t>
      </w:r>
      <w:r w:rsidRPr="00EA0964">
        <w:rPr>
          <w:bCs/>
          <w:sz w:val="22"/>
          <w:szCs w:val="22"/>
        </w:rPr>
        <w:t xml:space="preserve">μένος κατά </w:t>
      </w:r>
      <w:r>
        <w:rPr>
          <w:bCs/>
          <w:sz w:val="22"/>
          <w:szCs w:val="22"/>
        </w:rPr>
        <w:t>1.140</w:t>
      </w:r>
      <w:r w:rsidRPr="00EA0964">
        <w:rPr>
          <w:bCs/>
          <w:sz w:val="22"/>
          <w:szCs w:val="22"/>
        </w:rPr>
        <w:t xml:space="preserve"> εκατ. ευρώ από το στόχο. Η </w:t>
      </w:r>
      <w:r>
        <w:rPr>
          <w:bCs/>
          <w:sz w:val="22"/>
          <w:szCs w:val="22"/>
        </w:rPr>
        <w:t>μείωση</w:t>
      </w:r>
      <w:r w:rsidRPr="00EA0964">
        <w:rPr>
          <w:bCs/>
          <w:sz w:val="22"/>
          <w:szCs w:val="22"/>
        </w:rPr>
        <w:t xml:space="preserve"> αυτή προέρχεται κατά </w:t>
      </w:r>
      <w:r>
        <w:rPr>
          <w:bCs/>
          <w:sz w:val="22"/>
          <w:szCs w:val="22"/>
        </w:rPr>
        <w:t>996</w:t>
      </w:r>
      <w:r w:rsidRPr="00EA0964">
        <w:rPr>
          <w:bCs/>
          <w:sz w:val="22"/>
          <w:szCs w:val="22"/>
        </w:rPr>
        <w:t xml:space="preserve"> εκατ. ευρώ από τ</w:t>
      </w:r>
      <w:r>
        <w:rPr>
          <w:bCs/>
          <w:sz w:val="22"/>
          <w:szCs w:val="22"/>
        </w:rPr>
        <w:t xml:space="preserve">η φορολογία των </w:t>
      </w:r>
      <w:r w:rsidRPr="00EA0964">
        <w:rPr>
          <w:bCs/>
          <w:sz w:val="22"/>
          <w:szCs w:val="22"/>
        </w:rPr>
        <w:t>φ</w:t>
      </w:r>
      <w:r w:rsidRPr="00EA0964">
        <w:rPr>
          <w:bCs/>
          <w:sz w:val="22"/>
          <w:szCs w:val="22"/>
        </w:rPr>
        <w:t>υ</w:t>
      </w:r>
      <w:r w:rsidRPr="00EA0964">
        <w:rPr>
          <w:bCs/>
          <w:sz w:val="22"/>
          <w:szCs w:val="22"/>
        </w:rPr>
        <w:t>σικ</w:t>
      </w:r>
      <w:r>
        <w:rPr>
          <w:bCs/>
          <w:sz w:val="22"/>
          <w:szCs w:val="22"/>
        </w:rPr>
        <w:t>ών</w:t>
      </w:r>
      <w:r w:rsidRPr="00EA0964">
        <w:rPr>
          <w:bCs/>
          <w:sz w:val="22"/>
          <w:szCs w:val="22"/>
        </w:rPr>
        <w:t xml:space="preserve"> πρ</w:t>
      </w:r>
      <w:r>
        <w:rPr>
          <w:bCs/>
          <w:sz w:val="22"/>
          <w:szCs w:val="22"/>
        </w:rPr>
        <w:t>οσώπων, κατά 89 εκατ. ευρώ από τη φορολογία των</w:t>
      </w:r>
      <w:r w:rsidRPr="00EA0964">
        <w:rPr>
          <w:bCs/>
          <w:sz w:val="22"/>
          <w:szCs w:val="22"/>
        </w:rPr>
        <w:t xml:space="preserve"> νομικ</w:t>
      </w:r>
      <w:r>
        <w:rPr>
          <w:bCs/>
          <w:sz w:val="22"/>
          <w:szCs w:val="22"/>
        </w:rPr>
        <w:t>ών</w:t>
      </w:r>
      <w:r w:rsidRPr="00EA0964">
        <w:rPr>
          <w:bCs/>
          <w:sz w:val="22"/>
          <w:szCs w:val="22"/>
        </w:rPr>
        <w:t xml:space="preserve"> πρ</w:t>
      </w:r>
      <w:r>
        <w:rPr>
          <w:bCs/>
          <w:sz w:val="22"/>
          <w:szCs w:val="22"/>
        </w:rPr>
        <w:t>οσώπων και κατά 55 εκατ. ευρώ από</w:t>
      </w:r>
      <w:r w:rsidRPr="00EA0964">
        <w:rPr>
          <w:bCs/>
          <w:sz w:val="22"/>
          <w:szCs w:val="22"/>
        </w:rPr>
        <w:t xml:space="preserve"> </w:t>
      </w:r>
      <w:r>
        <w:rPr>
          <w:bCs/>
          <w:sz w:val="22"/>
          <w:szCs w:val="22"/>
        </w:rPr>
        <w:t>τη φορολογία</w:t>
      </w:r>
      <w:r w:rsidRPr="00EA0964">
        <w:rPr>
          <w:bCs/>
          <w:sz w:val="22"/>
          <w:szCs w:val="22"/>
        </w:rPr>
        <w:t xml:space="preserve"> ειδικών κατηγοριών</w:t>
      </w:r>
      <w:r>
        <w:rPr>
          <w:bCs/>
          <w:sz w:val="22"/>
          <w:szCs w:val="22"/>
        </w:rPr>
        <w:t>.</w:t>
      </w:r>
    </w:p>
    <w:p w:rsidR="004F26BD" w:rsidRDefault="004F26BD">
      <w:pPr>
        <w:rPr>
          <w:bCs/>
          <w:sz w:val="22"/>
          <w:szCs w:val="22"/>
        </w:rPr>
      </w:pPr>
      <w:r>
        <w:rPr>
          <w:bCs/>
          <w:sz w:val="22"/>
          <w:szCs w:val="22"/>
        </w:rPr>
        <w:br w:type="page"/>
      </w:r>
    </w:p>
    <w:p w:rsidR="00A50FB2" w:rsidRDefault="00A50FB2" w:rsidP="00A50FB2">
      <w:pPr>
        <w:jc w:val="both"/>
        <w:rPr>
          <w:bCs/>
          <w:sz w:val="22"/>
          <w:szCs w:val="22"/>
        </w:rPr>
      </w:pPr>
    </w:p>
    <w:tbl>
      <w:tblPr>
        <w:tblW w:w="9305"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005"/>
        <w:gridCol w:w="1260"/>
        <w:gridCol w:w="1260"/>
        <w:gridCol w:w="1080"/>
        <w:gridCol w:w="1260"/>
        <w:gridCol w:w="720"/>
        <w:gridCol w:w="720"/>
      </w:tblGrid>
      <w:tr w:rsidR="006D0FB1" w:rsidRPr="00597012" w:rsidTr="00560E6F">
        <w:trPr>
          <w:cantSplit/>
        </w:trPr>
        <w:tc>
          <w:tcPr>
            <w:tcW w:w="9305" w:type="dxa"/>
            <w:gridSpan w:val="7"/>
            <w:tcBorders>
              <w:top w:val="single" w:sz="4" w:space="0" w:color="auto"/>
              <w:left w:val="single" w:sz="6" w:space="0" w:color="auto"/>
              <w:bottom w:val="nil"/>
              <w:right w:val="single" w:sz="6" w:space="0" w:color="auto"/>
            </w:tcBorders>
            <w:shd w:val="clear" w:color="auto" w:fill="404040"/>
          </w:tcPr>
          <w:p w:rsidR="006D0FB1" w:rsidRPr="00597012" w:rsidRDefault="006D0FB1" w:rsidP="00632CAB">
            <w:pPr>
              <w:keepNext/>
              <w:widowControl w:val="0"/>
              <w:spacing w:before="120"/>
              <w:jc w:val="center"/>
              <w:outlineLvl w:val="4"/>
              <w:rPr>
                <w:rFonts w:ascii="Arial Narrow" w:hAnsi="Arial Narrow"/>
                <w:b/>
                <w:color w:val="FFFFFF" w:themeColor="background1"/>
                <w:szCs w:val="20"/>
              </w:rPr>
            </w:pPr>
            <w:r>
              <w:rPr>
                <w:rFonts w:ascii="Arial Narrow" w:hAnsi="Arial Narrow"/>
                <w:b/>
                <w:color w:val="FFFFFF" w:themeColor="background1"/>
                <w:szCs w:val="20"/>
              </w:rPr>
              <w:t>Πίνακας 3.4</w:t>
            </w:r>
            <w:r w:rsidRPr="00597012">
              <w:rPr>
                <w:rFonts w:ascii="Arial Narrow" w:hAnsi="Arial Narrow"/>
                <w:b/>
                <w:color w:val="FFFFFF" w:themeColor="background1"/>
                <w:szCs w:val="20"/>
              </w:rPr>
              <w:t xml:space="preserve">   Έσοδα Κρατικού Προϋπολογισμού</w:t>
            </w:r>
          </w:p>
          <w:p w:rsidR="006D0FB1" w:rsidRPr="00597012" w:rsidRDefault="006D0FB1" w:rsidP="00632CAB">
            <w:pPr>
              <w:keepNext/>
              <w:widowControl w:val="0"/>
              <w:spacing w:after="120"/>
              <w:jc w:val="center"/>
              <w:outlineLvl w:val="4"/>
              <w:rPr>
                <w:rFonts w:ascii="Arial Narrow" w:hAnsi="Arial Narrow"/>
                <w:b/>
                <w:color w:val="FFFFFF" w:themeColor="background1"/>
                <w:szCs w:val="20"/>
              </w:rPr>
            </w:pPr>
            <w:r w:rsidRPr="00597012">
              <w:rPr>
                <w:rFonts w:ascii="Arial Narrow" w:hAnsi="Arial Narrow"/>
                <w:b/>
                <w:color w:val="FFFFFF" w:themeColor="background1"/>
                <w:szCs w:val="20"/>
              </w:rPr>
              <w:t>(σε εκατ. ευρώ)</w:t>
            </w:r>
          </w:p>
        </w:tc>
      </w:tr>
      <w:tr w:rsidR="006D0FB1" w:rsidRPr="004767FB" w:rsidTr="00560E6F">
        <w:trPr>
          <w:cantSplit/>
        </w:trPr>
        <w:tc>
          <w:tcPr>
            <w:tcW w:w="9305" w:type="dxa"/>
            <w:gridSpan w:val="7"/>
            <w:tcBorders>
              <w:top w:val="nil"/>
              <w:left w:val="single" w:sz="6" w:space="0" w:color="auto"/>
              <w:bottom w:val="nil"/>
              <w:right w:val="single" w:sz="6" w:space="0" w:color="auto"/>
            </w:tcBorders>
            <w:shd w:val="clear" w:color="auto" w:fill="FFFFFF"/>
          </w:tcPr>
          <w:p w:rsidR="006D0FB1" w:rsidRPr="004767FB" w:rsidRDefault="006D0FB1" w:rsidP="00632CAB">
            <w:pPr>
              <w:keepNext/>
              <w:widowControl w:val="0"/>
              <w:jc w:val="center"/>
              <w:outlineLvl w:val="4"/>
              <w:rPr>
                <w:rFonts w:ascii="Arial Narrow" w:hAnsi="Arial Narrow"/>
                <w:b/>
                <w:sz w:val="16"/>
                <w:szCs w:val="20"/>
              </w:rPr>
            </w:pPr>
          </w:p>
        </w:tc>
      </w:tr>
      <w:tr w:rsidR="006D0FB1" w:rsidRPr="00597012" w:rsidTr="00560E6F">
        <w:trPr>
          <w:cantSplit/>
        </w:trPr>
        <w:tc>
          <w:tcPr>
            <w:tcW w:w="3005" w:type="dxa"/>
            <w:vMerge w:val="restart"/>
            <w:tcBorders>
              <w:top w:val="single" w:sz="6" w:space="0" w:color="auto"/>
              <w:left w:val="single" w:sz="6" w:space="0" w:color="auto"/>
              <w:right w:val="nil"/>
            </w:tcBorders>
            <w:shd w:val="clear" w:color="auto" w:fill="auto"/>
          </w:tcPr>
          <w:p w:rsidR="006D0FB1" w:rsidRPr="00597012" w:rsidRDefault="006D0FB1" w:rsidP="00632CAB">
            <w:pPr>
              <w:spacing w:before="100" w:beforeAutospacing="1" w:after="100" w:afterAutospacing="1"/>
              <w:jc w:val="center"/>
              <w:rPr>
                <w:rFonts w:ascii="Arial Narrow" w:hAnsi="Arial Narrow"/>
                <w:sz w:val="16"/>
                <w:szCs w:val="16"/>
              </w:rPr>
            </w:pPr>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rsidR="006D0FB1" w:rsidRPr="00597012" w:rsidRDefault="006D0FB1" w:rsidP="00632CAB">
            <w:pPr>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Pr>
                <w:rFonts w:ascii="Arial Narrow" w:hAnsi="Arial Narrow"/>
                <w:b/>
                <w:sz w:val="16"/>
                <w:szCs w:val="16"/>
              </w:rPr>
              <w:t>6</w:t>
            </w:r>
          </w:p>
        </w:tc>
        <w:tc>
          <w:tcPr>
            <w:tcW w:w="234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6D0FB1" w:rsidRPr="00597012" w:rsidRDefault="006D0FB1" w:rsidP="00632CAB">
            <w:pPr>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Pr>
                <w:rFonts w:ascii="Arial Narrow" w:hAnsi="Arial Narrow"/>
                <w:b/>
                <w:sz w:val="16"/>
                <w:szCs w:val="16"/>
              </w:rPr>
              <w:t>7</w:t>
            </w:r>
          </w:p>
        </w:tc>
        <w:tc>
          <w:tcPr>
            <w:tcW w:w="1260" w:type="dxa"/>
            <w:tcBorders>
              <w:top w:val="single" w:sz="6" w:space="0" w:color="auto"/>
              <w:left w:val="single" w:sz="4" w:space="0" w:color="auto"/>
              <w:bottom w:val="single" w:sz="4" w:space="0" w:color="auto"/>
              <w:right w:val="single" w:sz="6" w:space="0" w:color="auto"/>
            </w:tcBorders>
            <w:shd w:val="clear" w:color="auto" w:fill="auto"/>
            <w:vAlign w:val="center"/>
          </w:tcPr>
          <w:p w:rsidR="006D0FB1" w:rsidRPr="00597012" w:rsidRDefault="006D0FB1" w:rsidP="00632CAB">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201</w:t>
            </w:r>
            <w:r>
              <w:rPr>
                <w:rFonts w:ascii="Arial Narrow" w:hAnsi="Arial Narrow"/>
                <w:b/>
                <w:sz w:val="16"/>
                <w:szCs w:val="16"/>
              </w:rPr>
              <w:t>8</w:t>
            </w:r>
          </w:p>
        </w:tc>
        <w:tc>
          <w:tcPr>
            <w:tcW w:w="1440" w:type="dxa"/>
            <w:gridSpan w:val="2"/>
            <w:tcBorders>
              <w:top w:val="single" w:sz="6" w:space="0" w:color="auto"/>
              <w:left w:val="nil"/>
              <w:bottom w:val="single" w:sz="4" w:space="0" w:color="auto"/>
              <w:right w:val="single" w:sz="6" w:space="0" w:color="auto"/>
            </w:tcBorders>
            <w:shd w:val="clear" w:color="auto" w:fill="auto"/>
          </w:tcPr>
          <w:p w:rsidR="006D0FB1" w:rsidRPr="00597012" w:rsidRDefault="006D0FB1" w:rsidP="00632CAB">
            <w:pPr>
              <w:keepNext/>
              <w:widowControl w:val="0"/>
              <w:spacing w:before="100" w:beforeAutospacing="1" w:after="100" w:afterAutospacing="1"/>
              <w:jc w:val="center"/>
              <w:outlineLvl w:val="4"/>
              <w:rPr>
                <w:rFonts w:ascii="Arial Narrow" w:hAnsi="Arial Narrow"/>
                <w:b/>
                <w:sz w:val="16"/>
                <w:szCs w:val="16"/>
              </w:rPr>
            </w:pPr>
            <w:r w:rsidRPr="00597012">
              <w:rPr>
                <w:rFonts w:ascii="Arial Narrow" w:hAnsi="Arial Narrow"/>
                <w:b/>
                <w:sz w:val="16"/>
                <w:szCs w:val="16"/>
              </w:rPr>
              <w:t>Μεταβολή %</w:t>
            </w:r>
          </w:p>
        </w:tc>
      </w:tr>
      <w:tr w:rsidR="006D0FB1" w:rsidRPr="00597012" w:rsidTr="00560E6F">
        <w:trPr>
          <w:cantSplit/>
          <w:trHeight w:val="375"/>
        </w:trPr>
        <w:tc>
          <w:tcPr>
            <w:tcW w:w="3005" w:type="dxa"/>
            <w:vMerge/>
            <w:tcBorders>
              <w:left w:val="single" w:sz="6" w:space="0" w:color="auto"/>
              <w:bottom w:val="nil"/>
              <w:right w:val="nil"/>
            </w:tcBorders>
            <w:shd w:val="clear" w:color="auto" w:fill="auto"/>
          </w:tcPr>
          <w:p w:rsidR="006D0FB1" w:rsidRPr="00597012" w:rsidRDefault="006D0FB1" w:rsidP="00632CAB">
            <w:pPr>
              <w:spacing w:before="100" w:beforeAutospacing="1" w:after="100" w:afterAutospacing="1"/>
              <w:jc w:val="center"/>
              <w:rPr>
                <w:rFonts w:ascii="Arial Narrow" w:hAnsi="Arial Narrow"/>
                <w:sz w:val="16"/>
                <w:szCs w:val="16"/>
              </w:rPr>
            </w:pPr>
          </w:p>
        </w:tc>
        <w:tc>
          <w:tcPr>
            <w:tcW w:w="1260" w:type="dxa"/>
            <w:tcBorders>
              <w:left w:val="single" w:sz="6" w:space="0" w:color="auto"/>
              <w:right w:val="single" w:sz="6" w:space="0" w:color="auto"/>
            </w:tcBorders>
            <w:shd w:val="clear" w:color="auto" w:fill="auto"/>
            <w:vAlign w:val="center"/>
          </w:tcPr>
          <w:p w:rsidR="006D0FB1" w:rsidRPr="00597012" w:rsidRDefault="006D0FB1" w:rsidP="00632CAB">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Πραγμ/σεις</w:t>
            </w:r>
          </w:p>
        </w:tc>
        <w:tc>
          <w:tcPr>
            <w:tcW w:w="1260" w:type="dxa"/>
            <w:tcBorders>
              <w:top w:val="nil"/>
              <w:left w:val="single" w:sz="6" w:space="0" w:color="auto"/>
              <w:bottom w:val="nil"/>
              <w:right w:val="single" w:sz="6" w:space="0" w:color="auto"/>
            </w:tcBorders>
            <w:shd w:val="clear" w:color="auto" w:fill="auto"/>
            <w:vAlign w:val="center"/>
          </w:tcPr>
          <w:p w:rsidR="006D0FB1" w:rsidRPr="00597012" w:rsidRDefault="006D0FB1" w:rsidP="00632CAB">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ΜΠΔΣ</w:t>
            </w:r>
          </w:p>
        </w:tc>
        <w:tc>
          <w:tcPr>
            <w:tcW w:w="1080" w:type="dxa"/>
            <w:tcBorders>
              <w:top w:val="single" w:sz="4" w:space="0" w:color="auto"/>
              <w:left w:val="single" w:sz="6" w:space="0" w:color="auto"/>
              <w:bottom w:val="nil"/>
              <w:right w:val="nil"/>
            </w:tcBorders>
            <w:shd w:val="clear" w:color="auto" w:fill="auto"/>
          </w:tcPr>
          <w:p w:rsidR="006D0FB1" w:rsidRPr="00597012" w:rsidRDefault="006D0FB1" w:rsidP="00632CAB">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Εκτιμήσεις πραγμ/σεων</w:t>
            </w:r>
          </w:p>
        </w:tc>
        <w:tc>
          <w:tcPr>
            <w:tcW w:w="1260" w:type="dxa"/>
            <w:tcBorders>
              <w:top w:val="nil"/>
              <w:left w:val="single" w:sz="6" w:space="0" w:color="auto"/>
              <w:bottom w:val="single" w:sz="6" w:space="0" w:color="auto"/>
              <w:right w:val="single" w:sz="6" w:space="0" w:color="auto"/>
            </w:tcBorders>
            <w:shd w:val="clear" w:color="auto" w:fill="auto"/>
            <w:vAlign w:val="center"/>
          </w:tcPr>
          <w:p w:rsidR="006D0FB1" w:rsidRPr="00597012" w:rsidRDefault="006D0FB1" w:rsidP="00632CAB">
            <w:pPr>
              <w:widowControl w:val="0"/>
              <w:spacing w:before="100" w:beforeAutospacing="1" w:after="100" w:afterAutospacing="1"/>
              <w:jc w:val="center"/>
              <w:rPr>
                <w:rFonts w:ascii="Arial Narrow" w:hAnsi="Arial Narrow"/>
                <w:b/>
                <w:sz w:val="16"/>
                <w:szCs w:val="16"/>
              </w:rPr>
            </w:pPr>
            <w:r w:rsidRPr="00597012">
              <w:rPr>
                <w:rFonts w:ascii="Arial Narrow" w:hAnsi="Arial Narrow"/>
                <w:b/>
                <w:sz w:val="16"/>
                <w:szCs w:val="16"/>
              </w:rPr>
              <w:t>Προβλέψεις</w:t>
            </w:r>
          </w:p>
        </w:tc>
        <w:tc>
          <w:tcPr>
            <w:tcW w:w="720" w:type="dxa"/>
            <w:tcBorders>
              <w:top w:val="nil"/>
              <w:left w:val="nil"/>
              <w:bottom w:val="single" w:sz="6" w:space="0" w:color="auto"/>
              <w:right w:val="single" w:sz="4" w:space="0" w:color="auto"/>
            </w:tcBorders>
            <w:shd w:val="clear" w:color="auto" w:fill="auto"/>
            <w:vAlign w:val="center"/>
          </w:tcPr>
          <w:p w:rsidR="006D0FB1" w:rsidRPr="00597012" w:rsidRDefault="006D0FB1" w:rsidP="00632CAB">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2017</w:t>
            </w:r>
            <w:r w:rsidRPr="00597012">
              <w:rPr>
                <w:rFonts w:ascii="Arial Narrow" w:hAnsi="Arial Narrow"/>
                <w:b/>
                <w:sz w:val="16"/>
                <w:szCs w:val="16"/>
              </w:rPr>
              <w:t>/201</w:t>
            </w:r>
            <w:r>
              <w:rPr>
                <w:rFonts w:ascii="Arial Narrow" w:hAnsi="Arial Narrow"/>
                <w:b/>
                <w:sz w:val="16"/>
                <w:szCs w:val="16"/>
              </w:rPr>
              <w:t>6</w:t>
            </w:r>
          </w:p>
        </w:tc>
        <w:tc>
          <w:tcPr>
            <w:tcW w:w="720" w:type="dxa"/>
            <w:tcBorders>
              <w:top w:val="nil"/>
              <w:left w:val="single" w:sz="4" w:space="0" w:color="auto"/>
              <w:bottom w:val="single" w:sz="6" w:space="0" w:color="auto"/>
              <w:right w:val="single" w:sz="6" w:space="0" w:color="auto"/>
            </w:tcBorders>
            <w:shd w:val="clear" w:color="auto" w:fill="auto"/>
            <w:vAlign w:val="center"/>
          </w:tcPr>
          <w:p w:rsidR="006D0FB1" w:rsidRPr="00597012" w:rsidRDefault="006D0FB1" w:rsidP="00632CAB">
            <w:pPr>
              <w:widowControl w:val="0"/>
              <w:spacing w:before="100" w:beforeAutospacing="1" w:after="100" w:afterAutospacing="1"/>
              <w:jc w:val="center"/>
              <w:rPr>
                <w:rFonts w:ascii="Arial Narrow" w:hAnsi="Arial Narrow"/>
                <w:b/>
                <w:sz w:val="16"/>
                <w:szCs w:val="16"/>
              </w:rPr>
            </w:pPr>
            <w:r>
              <w:rPr>
                <w:rFonts w:ascii="Arial Narrow" w:hAnsi="Arial Narrow"/>
                <w:b/>
                <w:sz w:val="16"/>
                <w:szCs w:val="16"/>
              </w:rPr>
              <w:t>2018</w:t>
            </w:r>
            <w:r w:rsidRPr="00597012">
              <w:rPr>
                <w:rFonts w:ascii="Arial Narrow" w:hAnsi="Arial Narrow"/>
                <w:b/>
                <w:sz w:val="16"/>
                <w:szCs w:val="16"/>
              </w:rPr>
              <w:t>/201</w:t>
            </w:r>
            <w:r>
              <w:rPr>
                <w:rFonts w:ascii="Arial Narrow" w:hAnsi="Arial Narrow"/>
                <w:b/>
                <w:sz w:val="16"/>
                <w:szCs w:val="16"/>
              </w:rPr>
              <w:t>7</w:t>
            </w:r>
          </w:p>
        </w:tc>
      </w:tr>
      <w:tr w:rsidR="00C94BDC" w:rsidRPr="00597012" w:rsidTr="00C94BDC">
        <w:trPr>
          <w:cantSplit/>
        </w:trPr>
        <w:tc>
          <w:tcPr>
            <w:tcW w:w="3005" w:type="dxa"/>
            <w:tcBorders>
              <w:top w:val="single" w:sz="6" w:space="0" w:color="auto"/>
              <w:left w:val="single" w:sz="6" w:space="0" w:color="auto"/>
              <w:bottom w:val="nil"/>
              <w:right w:val="nil"/>
            </w:tcBorders>
            <w:shd w:val="clear" w:color="auto" w:fill="A6A6A6"/>
            <w:vAlign w:val="center"/>
          </w:tcPr>
          <w:p w:rsidR="00C94BDC" w:rsidRPr="00597012" w:rsidRDefault="00C94BDC" w:rsidP="00632CAB">
            <w:pPr>
              <w:spacing w:before="60" w:after="60"/>
              <w:rPr>
                <w:rFonts w:ascii="Arial Narrow" w:hAnsi="Arial Narrow"/>
                <w:b/>
                <w:sz w:val="16"/>
                <w:szCs w:val="16"/>
              </w:rPr>
            </w:pPr>
            <w:r w:rsidRPr="00597012">
              <w:rPr>
                <w:rFonts w:ascii="Arial Narrow" w:hAnsi="Arial Narrow"/>
                <w:b/>
                <w:sz w:val="16"/>
                <w:szCs w:val="16"/>
              </w:rPr>
              <w:t>Α.   Τακτικά έσοδα  (Ι+ ΙΙ + ΙΙΙ + IV)</w:t>
            </w:r>
          </w:p>
        </w:tc>
        <w:tc>
          <w:tcPr>
            <w:tcW w:w="1260" w:type="dxa"/>
            <w:tcBorders>
              <w:top w:val="single" w:sz="6" w:space="0" w:color="auto"/>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52.334</w:t>
            </w:r>
          </w:p>
        </w:tc>
        <w:tc>
          <w:tcPr>
            <w:tcW w:w="1260" w:type="dxa"/>
            <w:tcBorders>
              <w:top w:val="single" w:sz="6" w:space="0" w:color="auto"/>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52.730</w:t>
            </w:r>
          </w:p>
        </w:tc>
        <w:tc>
          <w:tcPr>
            <w:tcW w:w="1080" w:type="dxa"/>
            <w:tcBorders>
              <w:top w:val="single" w:sz="6" w:space="0" w:color="auto"/>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52.055</w:t>
            </w:r>
          </w:p>
        </w:tc>
        <w:tc>
          <w:tcPr>
            <w:tcW w:w="1260" w:type="dxa"/>
            <w:tcBorders>
              <w:top w:val="single" w:sz="6" w:space="0" w:color="auto"/>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52.429</w:t>
            </w:r>
          </w:p>
        </w:tc>
        <w:tc>
          <w:tcPr>
            <w:tcW w:w="720" w:type="dxa"/>
            <w:tcBorders>
              <w:top w:val="single" w:sz="6" w:space="0" w:color="auto"/>
              <w:left w:val="nil"/>
              <w:bottom w:val="nil"/>
              <w:right w:val="nil"/>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-0,5</w:t>
            </w:r>
          </w:p>
        </w:tc>
        <w:tc>
          <w:tcPr>
            <w:tcW w:w="720" w:type="dxa"/>
            <w:tcBorders>
              <w:top w:val="single" w:sz="6" w:space="0" w:color="auto"/>
              <w:left w:val="nil"/>
              <w:bottom w:val="nil"/>
              <w:right w:val="single" w:sz="6" w:space="0" w:color="auto"/>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0,7</w:t>
            </w:r>
          </w:p>
        </w:tc>
      </w:tr>
      <w:tr w:rsidR="00C94BDC" w:rsidRPr="00597012" w:rsidTr="00C94BDC">
        <w:trPr>
          <w:cantSplit/>
        </w:trPr>
        <w:tc>
          <w:tcPr>
            <w:tcW w:w="3005" w:type="dxa"/>
            <w:tcBorders>
              <w:top w:val="nil"/>
              <w:left w:val="single" w:sz="6" w:space="0" w:color="auto"/>
              <w:bottom w:val="nil"/>
              <w:right w:val="nil"/>
            </w:tcBorders>
            <w:shd w:val="clear" w:color="auto" w:fill="auto"/>
            <w:vAlign w:val="center"/>
          </w:tcPr>
          <w:p w:rsidR="00C94BDC" w:rsidRPr="00597012" w:rsidRDefault="00C94BDC" w:rsidP="00632CAB">
            <w:pPr>
              <w:rPr>
                <w:rFonts w:ascii="Arial Narrow" w:hAnsi="Arial Narrow"/>
                <w:b/>
                <w:sz w:val="16"/>
                <w:szCs w:val="16"/>
              </w:rPr>
            </w:pPr>
            <w:r w:rsidRPr="00597012">
              <w:rPr>
                <w:rFonts w:ascii="Arial Narrow" w:hAnsi="Arial Narrow"/>
                <w:b/>
                <w:sz w:val="16"/>
                <w:szCs w:val="16"/>
              </w:rPr>
              <w:t>Ι.     Άμεσοι φόροι</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21.839</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21.525</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20.288</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20.766</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-7,1</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2,4</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Φόρος εισοδήματος</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13.379</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14.037</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12.897</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13.307</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-3,6</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3,2</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 xml:space="preserve">Φυσικών προσώπων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8.171</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9.265</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8.269</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8.725</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1,2</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5,5</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Νομικών προσώπων</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3.969</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3.522</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3.433</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3.322</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-13,5</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-3,2</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tabs>
                <w:tab w:val="left" w:pos="142"/>
              </w:tabs>
              <w:spacing w:before="100" w:beforeAutospacing="1" w:after="100" w:afterAutospacing="1"/>
              <w:jc w:val="both"/>
              <w:rPr>
                <w:rFonts w:ascii="Arial Narrow" w:hAnsi="Arial Narrow"/>
                <w:sz w:val="16"/>
                <w:szCs w:val="16"/>
              </w:rPr>
            </w:pPr>
            <w:r w:rsidRPr="00597012">
              <w:rPr>
                <w:rFonts w:ascii="Arial Narrow" w:hAnsi="Arial Narrow"/>
                <w:sz w:val="16"/>
                <w:szCs w:val="16"/>
              </w:rPr>
              <w:tab/>
              <w:t>Ειδικών κατηγοριών</w:t>
            </w:r>
            <w:r w:rsidRPr="00597012">
              <w:rPr>
                <w:rFonts w:ascii="Arial Narrow" w:hAnsi="Arial Narrow"/>
                <w:sz w:val="16"/>
                <w:szCs w:val="16"/>
              </w:rPr>
              <w:tab/>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1.238</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1.250</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1.195</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1.260</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-3,5</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5,4</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στην περιουσία</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3.604</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3.317</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3.200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3.379</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-11,2</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5,6</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Άμεσοι φόροι ΠΟΕ</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1.765</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1.643</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1.821</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1.718</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3,2</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-5,7</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Λοιποί άμεσοι φόροι</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3.091</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2.528</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2.370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2.362</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-23,3</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-0,3</w:t>
            </w:r>
          </w:p>
        </w:tc>
      </w:tr>
      <w:tr w:rsidR="00C94BDC" w:rsidRPr="00A40C39" w:rsidTr="00C94BDC">
        <w:trPr>
          <w:cantSplit/>
        </w:trPr>
        <w:tc>
          <w:tcPr>
            <w:tcW w:w="3005" w:type="dxa"/>
            <w:tcBorders>
              <w:top w:val="nil"/>
              <w:left w:val="single" w:sz="6" w:space="0" w:color="auto"/>
              <w:bottom w:val="nil"/>
              <w:right w:val="nil"/>
            </w:tcBorders>
            <w:shd w:val="clear" w:color="auto" w:fill="auto"/>
          </w:tcPr>
          <w:p w:rsidR="00C94BDC" w:rsidRPr="00A40C39" w:rsidRDefault="00C94BDC" w:rsidP="00632CAB">
            <w:pPr>
              <w:spacing w:before="100" w:beforeAutospacing="1" w:after="100" w:afterAutospacing="1"/>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 </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ΙΙ.    Έμμεσοι φόροι</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25.680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26.718</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26.917</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27.390</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4,8</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1,8</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συναλλαγών</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15.540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16.093</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16.354</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16.441</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5,2</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0,5</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ΦΠΑ</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15.010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15.545</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15.767</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15.845</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5,0</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0,5</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πετρελαιοειδών</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1.649</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1.836</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1.836</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1.865</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11,3</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1,6</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καπνού</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711</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676</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602</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669</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-15,3</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11,1</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λοιπών</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12.650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13.033</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13.329</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13.311</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5,4</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-0,1</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Λοιποί φόροι συναλλαγών</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530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548</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587</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596</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10,7</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1,5</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(μεταβίβαση κεφαλαίων)</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232</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240</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261</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265</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12,6</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1,5</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sz w:val="16"/>
                <w:szCs w:val="16"/>
              </w:rPr>
            </w:pPr>
            <w:r w:rsidRPr="00597012">
              <w:rPr>
                <w:rFonts w:ascii="Arial Narrow" w:hAnsi="Arial Narrow"/>
                <w:sz w:val="16"/>
                <w:szCs w:val="16"/>
              </w:rPr>
              <w:t xml:space="preserve">            (χαρτόσημο)</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294</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304</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322</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327</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9,5</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1,6</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keepNext/>
              <w:spacing w:before="100" w:beforeAutospacing="1" w:after="100" w:afterAutospacing="1"/>
              <w:jc w:val="both"/>
              <w:outlineLvl w:val="5"/>
              <w:rPr>
                <w:rFonts w:ascii="Arial Narrow" w:hAnsi="Arial Narrow"/>
                <w:b/>
                <w:sz w:val="16"/>
                <w:szCs w:val="16"/>
              </w:rPr>
            </w:pPr>
            <w:r w:rsidRPr="00597012">
              <w:rPr>
                <w:rFonts w:ascii="Arial Narrow" w:hAnsi="Arial Narrow"/>
                <w:b/>
                <w:sz w:val="16"/>
                <w:szCs w:val="16"/>
              </w:rPr>
              <w:t>Φόροι κατανάλωσης</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9.033</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9.536</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9.267</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9.706</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2,6</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4,7</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ind w:left="142" w:hanging="142"/>
              <w:jc w:val="both"/>
              <w:rPr>
                <w:rFonts w:ascii="Arial Narrow" w:hAnsi="Arial Narrow"/>
                <w:sz w:val="16"/>
                <w:szCs w:val="16"/>
              </w:rPr>
            </w:pPr>
            <w:r w:rsidRPr="00597012">
              <w:rPr>
                <w:rFonts w:ascii="Arial Narrow" w:hAnsi="Arial Narrow"/>
                <w:sz w:val="16"/>
                <w:szCs w:val="16"/>
              </w:rPr>
              <w:t xml:space="preserve">  Φόρος ασφαλίστρων</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408</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408</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408</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415</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0,1</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1,7</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Τέλος ταξινόμησης  οχημάτων</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180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182</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243</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247</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35,1</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1,6</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ΕΦΚ ενεργειακών προϊόντων</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4.093</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4.402</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4.402</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4.455</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7,6</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1,2</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Λοιποί ΕΦΚ (καπνού κ.λπ.)</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2.964</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3.046</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2.726</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3.003</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-8,0</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10,2</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Τέλη κυκλοφορίας οχημάτων</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1.114</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1.152</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1.168</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1.187</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4,9</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1,6</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tabs>
                <w:tab w:val="num" w:pos="360"/>
              </w:tabs>
              <w:spacing w:before="100" w:beforeAutospacing="1" w:after="100" w:afterAutospacing="1"/>
              <w:ind w:left="284" w:hanging="284"/>
              <w:jc w:val="both"/>
              <w:rPr>
                <w:rFonts w:ascii="Arial Narrow" w:hAnsi="Arial Narrow"/>
                <w:sz w:val="16"/>
                <w:szCs w:val="16"/>
              </w:rPr>
            </w:pPr>
            <w:r w:rsidRPr="00597012">
              <w:rPr>
                <w:rFonts w:ascii="Arial Narrow" w:hAnsi="Arial Narrow"/>
                <w:sz w:val="16"/>
                <w:szCs w:val="16"/>
              </w:rPr>
              <w:t xml:space="preserve">  Λοιποί φόροι κατανάλωσης</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275</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346</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320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399</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16,3</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24,7</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tabs>
                <w:tab w:val="num" w:pos="360"/>
              </w:tabs>
              <w:spacing w:before="100" w:beforeAutospacing="1" w:after="100" w:afterAutospacing="1"/>
              <w:ind w:left="284" w:hanging="284"/>
              <w:jc w:val="both"/>
              <w:rPr>
                <w:rFonts w:ascii="Arial Narrow" w:hAnsi="Arial Narrow"/>
                <w:b/>
                <w:sz w:val="16"/>
                <w:szCs w:val="16"/>
              </w:rPr>
            </w:pPr>
            <w:r w:rsidRPr="00597012">
              <w:rPr>
                <w:rFonts w:ascii="Arial Narrow" w:hAnsi="Arial Narrow"/>
                <w:b/>
                <w:sz w:val="16"/>
                <w:szCs w:val="16"/>
              </w:rPr>
              <w:t>Έμμεσοι φόροι ΠΟΕ</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753</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718</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922</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851</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22,5</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-7,7</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Λοιποί έμμεσοι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354</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371</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374</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392</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5,6</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4,8</w:t>
            </w:r>
          </w:p>
        </w:tc>
      </w:tr>
      <w:tr w:rsidR="00C94BDC" w:rsidRPr="00A40C39" w:rsidTr="00C94BDC">
        <w:trPr>
          <w:cantSplit/>
        </w:trPr>
        <w:tc>
          <w:tcPr>
            <w:tcW w:w="3005" w:type="dxa"/>
            <w:tcBorders>
              <w:top w:val="nil"/>
              <w:left w:val="single" w:sz="6" w:space="0" w:color="auto"/>
              <w:bottom w:val="nil"/>
              <w:right w:val="nil"/>
            </w:tcBorders>
            <w:shd w:val="clear" w:color="auto" w:fill="auto"/>
          </w:tcPr>
          <w:p w:rsidR="00C94BDC" w:rsidRPr="00A40C39" w:rsidRDefault="00C94BDC" w:rsidP="00632CAB">
            <w:pPr>
              <w:spacing w:before="100" w:beforeAutospacing="1" w:after="100" w:afterAutospacing="1"/>
              <w:jc w:val="both"/>
              <w:rPr>
                <w:rFonts w:ascii="Arial Narrow" w:hAnsi="Arial Narrow"/>
                <w:sz w:val="10"/>
                <w:szCs w:val="10"/>
              </w:rPr>
            </w:pP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 </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 </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      Σύνολο φορολογικών εσόδων (Ι+ΙΙ)</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47.519</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48.243</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47.205</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48.156</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-0,7</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2,0</w:t>
            </w:r>
          </w:p>
        </w:tc>
      </w:tr>
      <w:tr w:rsidR="00C94BDC" w:rsidRPr="00A40C39" w:rsidTr="00C94BDC">
        <w:trPr>
          <w:cantSplit/>
        </w:trPr>
        <w:tc>
          <w:tcPr>
            <w:tcW w:w="3005" w:type="dxa"/>
            <w:tcBorders>
              <w:top w:val="nil"/>
              <w:left w:val="single" w:sz="6" w:space="0" w:color="auto"/>
              <w:bottom w:val="nil"/>
              <w:right w:val="nil"/>
            </w:tcBorders>
            <w:shd w:val="clear" w:color="auto" w:fill="auto"/>
          </w:tcPr>
          <w:p w:rsidR="00C94BDC" w:rsidRPr="00A40C39" w:rsidRDefault="00C94BDC" w:rsidP="00632CAB">
            <w:pPr>
              <w:spacing w:before="100" w:beforeAutospacing="1" w:after="100" w:afterAutospacing="1"/>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 </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ΙΙΙ.  Απολήψεις από ΕΕ</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415</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508</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510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331</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23,1</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-35,1</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ΙV.  Λοιπά μη φορολογικά έσοδα</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4.400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3.979</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4.340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3.942</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-1,4</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-9,2</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spacing w:before="100" w:beforeAutospacing="1" w:after="100" w:afterAutospacing="1"/>
              <w:jc w:val="both"/>
              <w:rPr>
                <w:rFonts w:ascii="Arial Narrow" w:hAnsi="Arial Narrow"/>
                <w:b/>
                <w:sz w:val="16"/>
                <w:szCs w:val="16"/>
              </w:rPr>
            </w:pPr>
            <w:r w:rsidRPr="00597012">
              <w:rPr>
                <w:rFonts w:ascii="Arial Narrow" w:hAnsi="Arial Narrow"/>
                <w:b/>
                <w:sz w:val="16"/>
                <w:szCs w:val="16"/>
              </w:rPr>
              <w:t xml:space="preserve">      Σύνολο μη φορολογικών εσόδων (III+IV)</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4.814</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4.487</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4.850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4.273</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0,7</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-11,9</w:t>
            </w:r>
          </w:p>
        </w:tc>
      </w:tr>
      <w:tr w:rsidR="00C94BDC" w:rsidRPr="00597012" w:rsidTr="00C94BDC">
        <w:trPr>
          <w:cantSplit/>
        </w:trPr>
        <w:tc>
          <w:tcPr>
            <w:tcW w:w="3005" w:type="dxa"/>
            <w:tcBorders>
              <w:top w:val="nil"/>
              <w:left w:val="single" w:sz="6" w:space="0" w:color="auto"/>
              <w:bottom w:val="nil"/>
              <w:right w:val="nil"/>
            </w:tcBorders>
            <w:shd w:val="clear" w:color="auto" w:fill="A6A6A6"/>
          </w:tcPr>
          <w:p w:rsidR="00C94BDC" w:rsidRPr="00597012" w:rsidRDefault="00C94BDC" w:rsidP="00632CAB">
            <w:pPr>
              <w:keepNext/>
              <w:tabs>
                <w:tab w:val="left" w:pos="270"/>
              </w:tabs>
              <w:spacing w:before="60" w:after="60"/>
              <w:jc w:val="both"/>
              <w:outlineLvl w:val="7"/>
              <w:rPr>
                <w:rFonts w:ascii="Arial Narrow" w:hAnsi="Arial Narrow"/>
                <w:b/>
                <w:sz w:val="16"/>
                <w:szCs w:val="16"/>
              </w:rPr>
            </w:pPr>
            <w:r w:rsidRPr="00597012">
              <w:rPr>
                <w:rFonts w:ascii="Arial Narrow" w:hAnsi="Arial Narrow"/>
                <w:b/>
                <w:sz w:val="16"/>
                <w:szCs w:val="16"/>
              </w:rPr>
              <w:t>B.</w:t>
            </w:r>
            <w:r w:rsidRPr="00597012">
              <w:rPr>
                <w:rFonts w:ascii="Arial Narrow" w:hAnsi="Arial Narrow"/>
                <w:b/>
                <w:sz w:val="16"/>
                <w:szCs w:val="16"/>
              </w:rPr>
              <w:tab/>
              <w:t>Μη τακτικά έσοδα</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804</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651</w:t>
            </w:r>
          </w:p>
        </w:tc>
        <w:tc>
          <w:tcPr>
            <w:tcW w:w="108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694</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618</w:t>
            </w:r>
          </w:p>
        </w:tc>
        <w:tc>
          <w:tcPr>
            <w:tcW w:w="720" w:type="dxa"/>
            <w:tcBorders>
              <w:top w:val="nil"/>
              <w:left w:val="nil"/>
              <w:bottom w:val="nil"/>
              <w:right w:val="nil"/>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-13,6</w:t>
            </w:r>
          </w:p>
        </w:tc>
        <w:tc>
          <w:tcPr>
            <w:tcW w:w="720" w:type="dxa"/>
            <w:tcBorders>
              <w:top w:val="nil"/>
              <w:left w:val="nil"/>
              <w:bottom w:val="nil"/>
              <w:right w:val="single" w:sz="6" w:space="0" w:color="auto"/>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-11,0</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keepNext/>
              <w:tabs>
                <w:tab w:val="left" w:pos="180"/>
              </w:tabs>
              <w:ind w:left="180" w:hanging="180"/>
              <w:jc w:val="both"/>
              <w:outlineLvl w:val="7"/>
              <w:rPr>
                <w:rFonts w:ascii="Arial Narrow" w:hAnsi="Arial Narrow"/>
                <w:sz w:val="16"/>
                <w:szCs w:val="16"/>
              </w:rPr>
            </w:pPr>
            <w:r w:rsidRPr="00597012">
              <w:rPr>
                <w:rFonts w:ascii="Arial Narrow" w:hAnsi="Arial Narrow"/>
                <w:sz w:val="16"/>
                <w:szCs w:val="16"/>
              </w:rPr>
              <w:t>Έσοδα καταργηθέντων ειδικών λογαριασμών</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304</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273</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297</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304</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-2,4</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2,4</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keepNext/>
              <w:tabs>
                <w:tab w:val="left" w:pos="180"/>
              </w:tabs>
              <w:jc w:val="both"/>
              <w:outlineLvl w:val="7"/>
              <w:rPr>
                <w:rFonts w:ascii="Arial Narrow" w:hAnsi="Arial Narrow"/>
                <w:sz w:val="16"/>
                <w:szCs w:val="16"/>
              </w:rPr>
            </w:pPr>
            <w:r w:rsidRPr="00597012">
              <w:rPr>
                <w:rFonts w:ascii="Arial Narrow" w:hAnsi="Arial Narrow"/>
                <w:sz w:val="16"/>
                <w:szCs w:val="16"/>
              </w:rPr>
              <w:t>Έσοδα προγράμματος ενίσχυσης της ρευστότ</w:t>
            </w:r>
            <w:r w:rsidRPr="00597012">
              <w:rPr>
                <w:rFonts w:ascii="Arial Narrow" w:hAnsi="Arial Narrow"/>
                <w:sz w:val="16"/>
                <w:szCs w:val="16"/>
              </w:rPr>
              <w:t>η</w:t>
            </w:r>
            <w:r w:rsidRPr="00597012">
              <w:rPr>
                <w:rFonts w:ascii="Arial Narrow" w:hAnsi="Arial Narrow"/>
                <w:sz w:val="16"/>
                <w:szCs w:val="16"/>
              </w:rPr>
              <w:t>τας λόγω της χρηματοπιστωτικής κρίσης</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96</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0</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12</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0</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-87,4</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-100,0</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keepNext/>
              <w:tabs>
                <w:tab w:val="left" w:pos="180"/>
              </w:tabs>
              <w:jc w:val="both"/>
              <w:outlineLvl w:val="7"/>
              <w:rPr>
                <w:rFonts w:ascii="Arial Narrow" w:hAnsi="Arial Narrow"/>
                <w:sz w:val="16"/>
                <w:szCs w:val="16"/>
              </w:rPr>
            </w:pPr>
            <w:r w:rsidRPr="00597012">
              <w:rPr>
                <w:rFonts w:ascii="Arial Narrow" w:hAnsi="Arial Narrow"/>
                <w:sz w:val="16"/>
                <w:szCs w:val="16"/>
              </w:rPr>
              <w:t>Μεταφορά αποδόσεων από τη διακράτηση ομ</w:t>
            </w:r>
            <w:r w:rsidRPr="00597012">
              <w:rPr>
                <w:rFonts w:ascii="Arial Narrow" w:hAnsi="Arial Narrow"/>
                <w:sz w:val="16"/>
                <w:szCs w:val="16"/>
              </w:rPr>
              <w:t>ο</w:t>
            </w:r>
            <w:r w:rsidRPr="00597012">
              <w:rPr>
                <w:rFonts w:ascii="Arial Narrow" w:hAnsi="Arial Narrow"/>
                <w:sz w:val="16"/>
                <w:szCs w:val="16"/>
              </w:rPr>
              <w:t>λόγων του ΕΔ στα χαρτοφυλάκια των Κεντρικών Τραπεζών του Ευρωσυστήματος</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375</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345</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345</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314</w:t>
            </w:r>
          </w:p>
        </w:tc>
        <w:tc>
          <w:tcPr>
            <w:tcW w:w="720" w:type="dxa"/>
            <w:tcBorders>
              <w:top w:val="nil"/>
              <w:left w:val="nil"/>
              <w:bottom w:val="nil"/>
              <w:right w:val="nil"/>
            </w:tcBorders>
            <w:shd w:val="clear" w:color="auto" w:fill="auto"/>
            <w:vAlign w:val="center"/>
          </w:tcPr>
          <w:p w:rsidR="00C94BDC" w:rsidRDefault="00103A33" w:rsidP="00C94BDC">
            <w:pPr>
              <w:ind w:right="142"/>
              <w:jc w:val="right"/>
              <w:rPr>
                <w:rFonts w:ascii="Arial Narrow" w:hAnsi="Arial Narrow" w:cs="Arial Greek"/>
                <w:sz w:val="16"/>
                <w:szCs w:val="16"/>
              </w:rPr>
            </w:pPr>
            <w:r>
              <w:rPr>
                <w:rFonts w:ascii="Arial Narrow" w:hAnsi="Arial Narrow" w:cs="Arial Greek"/>
                <w:sz w:val="16"/>
                <w:szCs w:val="16"/>
              </w:rPr>
              <w:t>-8</w:t>
            </w:r>
            <w:r w:rsidR="00C94BDC">
              <w:rPr>
                <w:rFonts w:ascii="Arial Narrow" w:hAnsi="Arial Narrow" w:cs="Arial Greek"/>
                <w:sz w:val="16"/>
                <w:szCs w:val="16"/>
              </w:rPr>
              <w:t>,0</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-8,8</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keepNext/>
              <w:tabs>
                <w:tab w:val="left" w:pos="180"/>
              </w:tabs>
              <w:jc w:val="both"/>
              <w:outlineLvl w:val="7"/>
              <w:rPr>
                <w:rFonts w:ascii="Arial Narrow" w:hAnsi="Arial Narrow"/>
                <w:sz w:val="16"/>
                <w:szCs w:val="16"/>
              </w:rPr>
            </w:pPr>
            <w:r w:rsidRPr="00597012">
              <w:rPr>
                <w:rFonts w:ascii="Arial Narrow" w:hAnsi="Arial Narrow"/>
                <w:sz w:val="16"/>
                <w:szCs w:val="16"/>
              </w:rPr>
              <w:t>Έσοδα από ΝΑΤΟ</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29</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33</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41</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0</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38,4</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-100,0</w:t>
            </w:r>
          </w:p>
        </w:tc>
      </w:tr>
      <w:tr w:rsidR="00C94BDC" w:rsidRPr="00597012" w:rsidTr="00C94BDC">
        <w:trPr>
          <w:cantSplit/>
        </w:trPr>
        <w:tc>
          <w:tcPr>
            <w:tcW w:w="3005" w:type="dxa"/>
            <w:tcBorders>
              <w:top w:val="nil"/>
              <w:left w:val="single" w:sz="6" w:space="0" w:color="auto"/>
              <w:bottom w:val="nil"/>
              <w:right w:val="nil"/>
            </w:tcBorders>
            <w:shd w:val="clear" w:color="auto" w:fill="A6A6A6"/>
          </w:tcPr>
          <w:p w:rsidR="00C94BDC" w:rsidRPr="00597012" w:rsidRDefault="00C94BDC" w:rsidP="00632CAB">
            <w:pPr>
              <w:tabs>
                <w:tab w:val="left" w:pos="257"/>
              </w:tabs>
              <w:spacing w:before="60" w:after="60"/>
              <w:ind w:left="257" w:hanging="257"/>
              <w:jc w:val="both"/>
              <w:rPr>
                <w:rFonts w:ascii="Arial Narrow" w:hAnsi="Arial Narrow"/>
                <w:b/>
                <w:sz w:val="16"/>
                <w:szCs w:val="16"/>
              </w:rPr>
            </w:pPr>
            <w:r w:rsidRPr="00597012">
              <w:rPr>
                <w:rFonts w:ascii="Arial Narrow" w:hAnsi="Arial Narrow"/>
                <w:b/>
                <w:sz w:val="16"/>
                <w:szCs w:val="16"/>
              </w:rPr>
              <w:t>Γ.</w:t>
            </w:r>
            <w:r w:rsidRPr="00597012">
              <w:rPr>
                <w:rFonts w:ascii="Arial Narrow" w:hAnsi="Arial Narrow"/>
                <w:b/>
                <w:sz w:val="16"/>
                <w:szCs w:val="16"/>
              </w:rPr>
              <w:tab/>
              <w:t>Έσοδα αποκρατικοποιήσεων</w:t>
            </w:r>
            <w:r w:rsidR="00511DE8">
              <w:rPr>
                <w:rFonts w:ascii="Arial Narrow" w:hAnsi="Arial Narrow"/>
                <w:b/>
                <w:sz w:val="16"/>
                <w:szCs w:val="16"/>
              </w:rPr>
              <w:t>*</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106</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1.607</w:t>
            </w:r>
          </w:p>
        </w:tc>
        <w:tc>
          <w:tcPr>
            <w:tcW w:w="108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1.542</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1.110</w:t>
            </w:r>
          </w:p>
        </w:tc>
        <w:tc>
          <w:tcPr>
            <w:tcW w:w="720" w:type="dxa"/>
            <w:tcBorders>
              <w:top w:val="nil"/>
              <w:left w:val="nil"/>
              <w:bottom w:val="nil"/>
              <w:right w:val="nil"/>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1358,7</w:t>
            </w:r>
          </w:p>
        </w:tc>
        <w:tc>
          <w:tcPr>
            <w:tcW w:w="720" w:type="dxa"/>
            <w:tcBorders>
              <w:top w:val="nil"/>
              <w:left w:val="nil"/>
              <w:bottom w:val="nil"/>
              <w:right w:val="single" w:sz="6" w:space="0" w:color="auto"/>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-28,0</w:t>
            </w:r>
          </w:p>
        </w:tc>
      </w:tr>
      <w:tr w:rsidR="00C94BDC" w:rsidRPr="00597012" w:rsidTr="00C94BDC">
        <w:trPr>
          <w:cantSplit/>
        </w:trPr>
        <w:tc>
          <w:tcPr>
            <w:tcW w:w="3005" w:type="dxa"/>
            <w:tcBorders>
              <w:top w:val="nil"/>
              <w:left w:val="single" w:sz="6" w:space="0" w:color="auto"/>
              <w:bottom w:val="nil"/>
              <w:right w:val="nil"/>
            </w:tcBorders>
            <w:shd w:val="clear" w:color="auto" w:fill="A6A6A6"/>
          </w:tcPr>
          <w:p w:rsidR="00C94BDC" w:rsidRPr="00597012" w:rsidRDefault="00C94BDC" w:rsidP="00632CAB">
            <w:pPr>
              <w:tabs>
                <w:tab w:val="left" w:pos="257"/>
              </w:tabs>
              <w:spacing w:before="60" w:after="60"/>
              <w:jc w:val="both"/>
              <w:rPr>
                <w:rFonts w:ascii="Arial Narrow" w:hAnsi="Arial Narrow"/>
                <w:b/>
                <w:sz w:val="16"/>
                <w:szCs w:val="16"/>
              </w:rPr>
            </w:pPr>
            <w:r w:rsidRPr="00597012">
              <w:rPr>
                <w:rFonts w:ascii="Arial Narrow" w:hAnsi="Arial Narrow"/>
                <w:b/>
                <w:sz w:val="16"/>
                <w:szCs w:val="16"/>
              </w:rPr>
              <w:t xml:space="preserve">Δ. </w:t>
            </w:r>
            <w:r w:rsidRPr="00597012">
              <w:rPr>
                <w:rFonts w:ascii="Arial Narrow" w:hAnsi="Arial Narrow"/>
                <w:b/>
                <w:sz w:val="16"/>
                <w:szCs w:val="16"/>
              </w:rPr>
              <w:tab/>
              <w:t>Γενικό σύνολο εσόδων (Α + Β + Γ)</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53.243</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54.988</w:t>
            </w:r>
          </w:p>
        </w:tc>
        <w:tc>
          <w:tcPr>
            <w:tcW w:w="108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54.292</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54.157</w:t>
            </w:r>
          </w:p>
        </w:tc>
        <w:tc>
          <w:tcPr>
            <w:tcW w:w="720" w:type="dxa"/>
            <w:tcBorders>
              <w:top w:val="nil"/>
              <w:left w:val="nil"/>
              <w:bottom w:val="nil"/>
              <w:right w:val="nil"/>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2,0</w:t>
            </w:r>
          </w:p>
        </w:tc>
        <w:tc>
          <w:tcPr>
            <w:tcW w:w="720" w:type="dxa"/>
            <w:tcBorders>
              <w:top w:val="nil"/>
              <w:left w:val="nil"/>
              <w:bottom w:val="nil"/>
              <w:right w:val="single" w:sz="6" w:space="0" w:color="auto"/>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-0,2</w:t>
            </w:r>
          </w:p>
        </w:tc>
      </w:tr>
      <w:tr w:rsidR="00C94BDC" w:rsidRPr="00597012" w:rsidTr="00C94BDC">
        <w:trPr>
          <w:cantSplit/>
        </w:trPr>
        <w:tc>
          <w:tcPr>
            <w:tcW w:w="3005" w:type="dxa"/>
            <w:tcBorders>
              <w:top w:val="nil"/>
              <w:left w:val="single" w:sz="6" w:space="0" w:color="auto"/>
              <w:bottom w:val="nil"/>
              <w:right w:val="nil"/>
            </w:tcBorders>
            <w:shd w:val="clear" w:color="auto" w:fill="A6A6A6" w:themeFill="background1" w:themeFillShade="A6"/>
          </w:tcPr>
          <w:p w:rsidR="00C94BDC" w:rsidRPr="00597012" w:rsidRDefault="00C94BDC" w:rsidP="00632CAB">
            <w:pPr>
              <w:tabs>
                <w:tab w:val="left" w:pos="257"/>
              </w:tabs>
              <w:spacing w:before="60" w:after="60"/>
              <w:jc w:val="both"/>
              <w:rPr>
                <w:rFonts w:ascii="Arial Narrow" w:hAnsi="Arial Narrow"/>
                <w:b/>
                <w:sz w:val="16"/>
                <w:szCs w:val="16"/>
              </w:rPr>
            </w:pPr>
            <w:r w:rsidRPr="00597012">
              <w:rPr>
                <w:rFonts w:ascii="Arial Narrow" w:hAnsi="Arial Narrow"/>
                <w:b/>
                <w:sz w:val="16"/>
                <w:szCs w:val="16"/>
              </w:rPr>
              <w:t>Ε.</w:t>
            </w:r>
            <w:r w:rsidRPr="00597012">
              <w:rPr>
                <w:rFonts w:ascii="Arial Narrow" w:hAnsi="Arial Narrow"/>
                <w:b/>
                <w:sz w:val="16"/>
                <w:szCs w:val="16"/>
              </w:rPr>
              <w:tab/>
              <w:t>Επιστροφές εσόδων</w:t>
            </w:r>
          </w:p>
        </w:tc>
        <w:tc>
          <w:tcPr>
            <w:tcW w:w="1260" w:type="dxa"/>
            <w:tcBorders>
              <w:top w:val="nil"/>
              <w:left w:val="nil"/>
              <w:bottom w:val="nil"/>
              <w:right w:val="nil"/>
            </w:tcBorders>
            <w:shd w:val="clear" w:color="auto" w:fill="A6A6A6" w:themeFill="background1" w:themeFillShade="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3.263</w:t>
            </w:r>
          </w:p>
        </w:tc>
        <w:tc>
          <w:tcPr>
            <w:tcW w:w="1260" w:type="dxa"/>
            <w:tcBorders>
              <w:top w:val="nil"/>
              <w:left w:val="nil"/>
              <w:bottom w:val="nil"/>
              <w:right w:val="nil"/>
            </w:tcBorders>
            <w:shd w:val="clear" w:color="auto" w:fill="A6A6A6" w:themeFill="background1" w:themeFillShade="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3.324</w:t>
            </w:r>
          </w:p>
        </w:tc>
        <w:tc>
          <w:tcPr>
            <w:tcW w:w="1080" w:type="dxa"/>
            <w:tcBorders>
              <w:top w:val="nil"/>
              <w:left w:val="nil"/>
              <w:bottom w:val="nil"/>
              <w:right w:val="nil"/>
            </w:tcBorders>
            <w:shd w:val="clear" w:color="auto" w:fill="A6A6A6" w:themeFill="background1" w:themeFillShade="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5.577</w:t>
            </w:r>
          </w:p>
        </w:tc>
        <w:tc>
          <w:tcPr>
            <w:tcW w:w="1260" w:type="dxa"/>
            <w:tcBorders>
              <w:top w:val="nil"/>
              <w:left w:val="nil"/>
              <w:bottom w:val="nil"/>
              <w:right w:val="nil"/>
            </w:tcBorders>
            <w:shd w:val="clear" w:color="auto" w:fill="A6A6A6" w:themeFill="background1" w:themeFillShade="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3.648</w:t>
            </w:r>
          </w:p>
        </w:tc>
        <w:tc>
          <w:tcPr>
            <w:tcW w:w="720" w:type="dxa"/>
            <w:tcBorders>
              <w:top w:val="nil"/>
              <w:left w:val="nil"/>
              <w:bottom w:val="nil"/>
              <w:right w:val="nil"/>
            </w:tcBorders>
            <w:shd w:val="clear" w:color="auto" w:fill="A6A6A6" w:themeFill="background1" w:themeFillShade="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70,9</w:t>
            </w:r>
          </w:p>
        </w:tc>
        <w:tc>
          <w:tcPr>
            <w:tcW w:w="720" w:type="dxa"/>
            <w:tcBorders>
              <w:top w:val="nil"/>
              <w:left w:val="nil"/>
              <w:bottom w:val="nil"/>
              <w:right w:val="single" w:sz="6" w:space="0" w:color="auto"/>
            </w:tcBorders>
            <w:shd w:val="clear" w:color="auto" w:fill="A6A6A6" w:themeFill="background1" w:themeFillShade="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-34,6</w:t>
            </w:r>
          </w:p>
        </w:tc>
      </w:tr>
      <w:tr w:rsidR="00C94BDC" w:rsidRPr="00597012" w:rsidTr="00C94BDC">
        <w:trPr>
          <w:cantSplit/>
        </w:trPr>
        <w:tc>
          <w:tcPr>
            <w:tcW w:w="3005" w:type="dxa"/>
            <w:tcBorders>
              <w:top w:val="nil"/>
              <w:left w:val="single" w:sz="6" w:space="0" w:color="auto"/>
              <w:bottom w:val="nil"/>
              <w:right w:val="nil"/>
            </w:tcBorders>
            <w:shd w:val="clear" w:color="auto" w:fill="A6A6A6" w:themeFill="background1" w:themeFillShade="A6"/>
          </w:tcPr>
          <w:p w:rsidR="00C94BDC" w:rsidRPr="00597012" w:rsidRDefault="00C94BDC" w:rsidP="00632CAB">
            <w:pPr>
              <w:tabs>
                <w:tab w:val="left" w:pos="257"/>
              </w:tabs>
              <w:spacing w:before="60" w:after="60"/>
              <w:jc w:val="both"/>
              <w:rPr>
                <w:rFonts w:ascii="Arial Narrow" w:hAnsi="Arial Narrow"/>
                <w:b/>
                <w:sz w:val="16"/>
                <w:szCs w:val="16"/>
              </w:rPr>
            </w:pPr>
            <w:r>
              <w:rPr>
                <w:rFonts w:ascii="Arial Narrow" w:hAnsi="Arial Narrow"/>
                <w:b/>
                <w:sz w:val="16"/>
                <w:szCs w:val="16"/>
              </w:rPr>
              <w:t>ΣΤ.</w:t>
            </w:r>
            <w:r>
              <w:rPr>
                <w:rFonts w:ascii="Arial Narrow" w:hAnsi="Arial Narrow"/>
                <w:b/>
                <w:sz w:val="16"/>
                <w:szCs w:val="16"/>
              </w:rPr>
              <w:tab/>
              <w:t>Επιστροφές εσόδων από ειδική πίστωση</w:t>
            </w:r>
          </w:p>
        </w:tc>
        <w:tc>
          <w:tcPr>
            <w:tcW w:w="1260" w:type="dxa"/>
            <w:tcBorders>
              <w:top w:val="nil"/>
              <w:left w:val="nil"/>
              <w:bottom w:val="nil"/>
              <w:right w:val="nil"/>
            </w:tcBorders>
            <w:shd w:val="clear" w:color="auto" w:fill="A6A6A6" w:themeFill="background1" w:themeFillShade="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1.026</w:t>
            </w:r>
          </w:p>
        </w:tc>
        <w:tc>
          <w:tcPr>
            <w:tcW w:w="1260" w:type="dxa"/>
            <w:tcBorders>
              <w:top w:val="nil"/>
              <w:left w:val="nil"/>
              <w:bottom w:val="nil"/>
              <w:right w:val="nil"/>
            </w:tcBorders>
            <w:shd w:val="clear" w:color="auto" w:fill="A6A6A6" w:themeFill="background1" w:themeFillShade="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 </w:t>
            </w:r>
          </w:p>
        </w:tc>
        <w:tc>
          <w:tcPr>
            <w:tcW w:w="1080" w:type="dxa"/>
            <w:tcBorders>
              <w:top w:val="nil"/>
              <w:left w:val="nil"/>
              <w:bottom w:val="nil"/>
              <w:right w:val="nil"/>
            </w:tcBorders>
            <w:shd w:val="clear" w:color="auto" w:fill="A6A6A6" w:themeFill="background1" w:themeFillShade="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 </w:t>
            </w:r>
          </w:p>
        </w:tc>
        <w:tc>
          <w:tcPr>
            <w:tcW w:w="1260" w:type="dxa"/>
            <w:tcBorders>
              <w:top w:val="nil"/>
              <w:left w:val="nil"/>
              <w:bottom w:val="nil"/>
              <w:right w:val="nil"/>
            </w:tcBorders>
            <w:shd w:val="clear" w:color="auto" w:fill="A6A6A6" w:themeFill="background1" w:themeFillShade="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 </w:t>
            </w:r>
          </w:p>
        </w:tc>
        <w:tc>
          <w:tcPr>
            <w:tcW w:w="720" w:type="dxa"/>
            <w:tcBorders>
              <w:top w:val="nil"/>
              <w:left w:val="nil"/>
              <w:bottom w:val="nil"/>
              <w:right w:val="nil"/>
            </w:tcBorders>
            <w:shd w:val="clear" w:color="auto" w:fill="A6A6A6" w:themeFill="background1" w:themeFillShade="A6"/>
            <w:vAlign w:val="center"/>
          </w:tcPr>
          <w:p w:rsidR="00C94BDC" w:rsidRDefault="00C94BDC" w:rsidP="00C94BDC">
            <w:pPr>
              <w:ind w:right="142"/>
              <w:jc w:val="right"/>
              <w:rPr>
                <w:rFonts w:ascii="Arial Narrow" w:hAnsi="Arial Narrow" w:cs="Arial Greek"/>
                <w:b/>
                <w:bCs/>
                <w:sz w:val="16"/>
                <w:szCs w:val="16"/>
              </w:rPr>
            </w:pPr>
          </w:p>
        </w:tc>
        <w:tc>
          <w:tcPr>
            <w:tcW w:w="720" w:type="dxa"/>
            <w:tcBorders>
              <w:top w:val="nil"/>
              <w:left w:val="nil"/>
              <w:bottom w:val="nil"/>
              <w:right w:val="single" w:sz="6" w:space="0" w:color="auto"/>
            </w:tcBorders>
            <w:shd w:val="clear" w:color="auto" w:fill="A6A6A6" w:themeFill="background1" w:themeFillShade="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 </w:t>
            </w:r>
          </w:p>
        </w:tc>
      </w:tr>
      <w:tr w:rsidR="00C94BDC" w:rsidRPr="00597012" w:rsidTr="00C94BDC">
        <w:trPr>
          <w:cantSplit/>
        </w:trPr>
        <w:tc>
          <w:tcPr>
            <w:tcW w:w="3005" w:type="dxa"/>
            <w:tcBorders>
              <w:top w:val="nil"/>
              <w:left w:val="single" w:sz="6" w:space="0" w:color="auto"/>
              <w:bottom w:val="nil"/>
              <w:right w:val="nil"/>
            </w:tcBorders>
            <w:shd w:val="clear" w:color="auto" w:fill="A6A6A6"/>
          </w:tcPr>
          <w:p w:rsidR="00C94BDC" w:rsidRPr="00597012" w:rsidRDefault="00C94BDC" w:rsidP="00632CAB">
            <w:pPr>
              <w:tabs>
                <w:tab w:val="left" w:pos="257"/>
              </w:tabs>
              <w:spacing w:before="60" w:after="60"/>
              <w:jc w:val="both"/>
              <w:rPr>
                <w:rFonts w:ascii="Arial Narrow" w:hAnsi="Arial Narrow"/>
                <w:b/>
                <w:sz w:val="16"/>
                <w:szCs w:val="16"/>
              </w:rPr>
            </w:pPr>
            <w:r>
              <w:rPr>
                <w:rFonts w:ascii="Arial Narrow" w:hAnsi="Arial Narrow"/>
                <w:b/>
                <w:sz w:val="16"/>
                <w:szCs w:val="16"/>
              </w:rPr>
              <w:t>Ζ</w:t>
            </w:r>
            <w:r w:rsidRPr="00597012">
              <w:rPr>
                <w:rFonts w:ascii="Arial Narrow" w:hAnsi="Arial Narrow"/>
                <w:b/>
                <w:sz w:val="16"/>
                <w:szCs w:val="16"/>
              </w:rPr>
              <w:t>.</w:t>
            </w:r>
            <w:r w:rsidRPr="00597012">
              <w:rPr>
                <w:rFonts w:ascii="Arial Narrow" w:hAnsi="Arial Narrow"/>
                <w:b/>
                <w:sz w:val="16"/>
                <w:szCs w:val="16"/>
              </w:rPr>
              <w:tab/>
              <w:t>Καθαρά έσοδα (Δ-Ε</w:t>
            </w:r>
            <w:r>
              <w:rPr>
                <w:rFonts w:ascii="Arial Narrow" w:hAnsi="Arial Narrow"/>
                <w:b/>
                <w:sz w:val="16"/>
                <w:szCs w:val="16"/>
              </w:rPr>
              <w:t>-ΣΤ</w:t>
            </w:r>
            <w:r w:rsidRPr="00597012">
              <w:rPr>
                <w:rFonts w:ascii="Arial Narrow" w:hAnsi="Arial Narrow"/>
                <w:b/>
                <w:sz w:val="16"/>
                <w:szCs w:val="16"/>
              </w:rPr>
              <w:t>)</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48.954</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51.664</w:t>
            </w:r>
          </w:p>
        </w:tc>
        <w:tc>
          <w:tcPr>
            <w:tcW w:w="108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48.715</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50.509</w:t>
            </w:r>
          </w:p>
        </w:tc>
        <w:tc>
          <w:tcPr>
            <w:tcW w:w="720" w:type="dxa"/>
            <w:tcBorders>
              <w:top w:val="nil"/>
              <w:left w:val="nil"/>
              <w:bottom w:val="nil"/>
              <w:right w:val="nil"/>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-0,5</w:t>
            </w:r>
          </w:p>
        </w:tc>
        <w:tc>
          <w:tcPr>
            <w:tcW w:w="720" w:type="dxa"/>
            <w:tcBorders>
              <w:top w:val="nil"/>
              <w:left w:val="nil"/>
              <w:bottom w:val="nil"/>
              <w:right w:val="single" w:sz="6" w:space="0" w:color="auto"/>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3,7</w:t>
            </w:r>
          </w:p>
        </w:tc>
      </w:tr>
      <w:tr w:rsidR="00C94BDC" w:rsidRPr="00A40C39" w:rsidTr="00C94BDC">
        <w:trPr>
          <w:cantSplit/>
        </w:trPr>
        <w:tc>
          <w:tcPr>
            <w:tcW w:w="3005" w:type="dxa"/>
            <w:tcBorders>
              <w:top w:val="nil"/>
              <w:left w:val="single" w:sz="6" w:space="0" w:color="auto"/>
              <w:bottom w:val="nil"/>
              <w:right w:val="nil"/>
            </w:tcBorders>
            <w:shd w:val="clear" w:color="auto" w:fill="auto"/>
          </w:tcPr>
          <w:p w:rsidR="00C94BDC" w:rsidRPr="00A40C39" w:rsidRDefault="00C94BDC" w:rsidP="00632CAB">
            <w:pPr>
              <w:tabs>
                <w:tab w:val="left" w:pos="257"/>
              </w:tabs>
              <w:jc w:val="both"/>
              <w:rPr>
                <w:rFonts w:ascii="Arial Narrow" w:hAnsi="Arial Narrow"/>
                <w:b/>
                <w:sz w:val="10"/>
                <w:szCs w:val="10"/>
              </w:rPr>
            </w:pP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 </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 </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 </w:t>
            </w:r>
          </w:p>
        </w:tc>
      </w:tr>
      <w:tr w:rsidR="00C94BDC" w:rsidRPr="00597012" w:rsidTr="00C94BDC">
        <w:trPr>
          <w:cantSplit/>
        </w:trPr>
        <w:tc>
          <w:tcPr>
            <w:tcW w:w="3005" w:type="dxa"/>
            <w:tcBorders>
              <w:top w:val="nil"/>
              <w:left w:val="single" w:sz="6" w:space="0" w:color="auto"/>
              <w:bottom w:val="nil"/>
              <w:right w:val="nil"/>
            </w:tcBorders>
            <w:shd w:val="clear" w:color="auto" w:fill="A6A6A6"/>
          </w:tcPr>
          <w:p w:rsidR="00C94BDC" w:rsidRDefault="00C94BDC" w:rsidP="00632CAB">
            <w:pPr>
              <w:tabs>
                <w:tab w:val="left" w:pos="257"/>
              </w:tabs>
              <w:ind w:left="255" w:hanging="255"/>
              <w:jc w:val="both"/>
              <w:rPr>
                <w:rFonts w:ascii="Arial Narrow" w:hAnsi="Arial Narrow"/>
                <w:b/>
                <w:sz w:val="16"/>
                <w:szCs w:val="16"/>
              </w:rPr>
            </w:pPr>
            <w:r>
              <w:rPr>
                <w:rFonts w:ascii="Arial Narrow" w:hAnsi="Arial Narrow"/>
                <w:b/>
                <w:sz w:val="16"/>
                <w:szCs w:val="16"/>
              </w:rPr>
              <w:t>Η</w:t>
            </w:r>
            <w:r w:rsidRPr="00597012">
              <w:rPr>
                <w:rFonts w:ascii="Arial Narrow" w:hAnsi="Arial Narrow"/>
                <w:b/>
                <w:sz w:val="16"/>
                <w:szCs w:val="16"/>
              </w:rPr>
              <w:t>.</w:t>
            </w:r>
            <w:r w:rsidRPr="00597012">
              <w:rPr>
                <w:rFonts w:ascii="Arial Narrow" w:hAnsi="Arial Narrow"/>
                <w:b/>
                <w:sz w:val="16"/>
                <w:szCs w:val="16"/>
              </w:rPr>
              <w:tab/>
              <w:t>Έσοδα Προϋπολογισμού Δημόσιων</w:t>
            </w:r>
          </w:p>
          <w:p w:rsidR="00C94BDC" w:rsidRPr="00597012" w:rsidRDefault="00C94BDC" w:rsidP="00632CAB">
            <w:pPr>
              <w:tabs>
                <w:tab w:val="left" w:pos="257"/>
              </w:tabs>
              <w:ind w:left="255" w:hanging="255"/>
              <w:jc w:val="both"/>
              <w:rPr>
                <w:rFonts w:ascii="Arial Narrow" w:hAnsi="Arial Narrow"/>
                <w:b/>
                <w:sz w:val="16"/>
                <w:szCs w:val="16"/>
              </w:rPr>
            </w:pPr>
            <w:r>
              <w:rPr>
                <w:rFonts w:ascii="Arial Narrow" w:hAnsi="Arial Narrow"/>
                <w:b/>
                <w:sz w:val="16"/>
                <w:szCs w:val="16"/>
              </w:rPr>
              <w:tab/>
            </w:r>
            <w:r w:rsidRPr="00597012">
              <w:rPr>
                <w:rFonts w:ascii="Arial Narrow" w:hAnsi="Arial Narrow"/>
                <w:b/>
                <w:sz w:val="16"/>
                <w:szCs w:val="16"/>
              </w:rPr>
              <w:t>Επενδύσεων (1+2)</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4.172</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3.617</w:t>
            </w:r>
          </w:p>
        </w:tc>
        <w:tc>
          <w:tcPr>
            <w:tcW w:w="108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3.427</w:t>
            </w:r>
          </w:p>
        </w:tc>
        <w:tc>
          <w:tcPr>
            <w:tcW w:w="1260" w:type="dxa"/>
            <w:tcBorders>
              <w:top w:val="nil"/>
              <w:left w:val="nil"/>
              <w:bottom w:val="nil"/>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3.735</w:t>
            </w:r>
          </w:p>
        </w:tc>
        <w:tc>
          <w:tcPr>
            <w:tcW w:w="720" w:type="dxa"/>
            <w:tcBorders>
              <w:top w:val="nil"/>
              <w:left w:val="nil"/>
              <w:bottom w:val="nil"/>
              <w:right w:val="nil"/>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-17,9</w:t>
            </w:r>
          </w:p>
        </w:tc>
        <w:tc>
          <w:tcPr>
            <w:tcW w:w="720" w:type="dxa"/>
            <w:tcBorders>
              <w:top w:val="nil"/>
              <w:left w:val="nil"/>
              <w:bottom w:val="nil"/>
              <w:right w:val="single" w:sz="6" w:space="0" w:color="auto"/>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9,0</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tabs>
                <w:tab w:val="left" w:pos="257"/>
              </w:tabs>
              <w:spacing w:before="100" w:beforeAutospacing="1" w:after="100" w:afterAutospacing="1"/>
              <w:jc w:val="both"/>
              <w:rPr>
                <w:rFonts w:ascii="Arial Narrow" w:hAnsi="Arial Narrow"/>
                <w:sz w:val="16"/>
                <w:szCs w:val="16"/>
              </w:rPr>
            </w:pPr>
            <w:r w:rsidRPr="00597012">
              <w:rPr>
                <w:rFonts w:ascii="Arial Narrow" w:hAnsi="Arial Narrow"/>
                <w:sz w:val="16"/>
                <w:szCs w:val="16"/>
              </w:rPr>
              <w:t>1.</w:t>
            </w:r>
            <w:r w:rsidRPr="00597012">
              <w:rPr>
                <w:rFonts w:ascii="Arial Narrow" w:hAnsi="Arial Narrow"/>
                <w:sz w:val="16"/>
                <w:szCs w:val="16"/>
              </w:rPr>
              <w:tab/>
              <w:t>Εισροές από την ΕΕ</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3.861</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3.437</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3.177</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3.555</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-17,7</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11,9</w:t>
            </w:r>
          </w:p>
        </w:tc>
      </w:tr>
      <w:tr w:rsidR="00C94BDC" w:rsidRPr="00597012" w:rsidTr="00C94BDC">
        <w:trPr>
          <w:cantSplit/>
        </w:trPr>
        <w:tc>
          <w:tcPr>
            <w:tcW w:w="3005" w:type="dxa"/>
            <w:tcBorders>
              <w:top w:val="nil"/>
              <w:left w:val="single" w:sz="6" w:space="0" w:color="auto"/>
              <w:bottom w:val="nil"/>
              <w:right w:val="nil"/>
            </w:tcBorders>
            <w:shd w:val="clear" w:color="auto" w:fill="auto"/>
          </w:tcPr>
          <w:p w:rsidR="00C94BDC" w:rsidRPr="00597012" w:rsidRDefault="00C94BDC" w:rsidP="00632CAB">
            <w:pPr>
              <w:tabs>
                <w:tab w:val="left" w:pos="257"/>
              </w:tabs>
              <w:spacing w:before="100" w:beforeAutospacing="1" w:after="100" w:afterAutospacing="1"/>
              <w:jc w:val="both"/>
              <w:rPr>
                <w:rFonts w:ascii="Arial Narrow" w:hAnsi="Arial Narrow"/>
                <w:sz w:val="16"/>
                <w:szCs w:val="16"/>
              </w:rPr>
            </w:pPr>
            <w:r w:rsidRPr="00597012">
              <w:rPr>
                <w:rFonts w:ascii="Arial Narrow" w:hAnsi="Arial Narrow"/>
                <w:sz w:val="16"/>
                <w:szCs w:val="16"/>
              </w:rPr>
              <w:t>2.</w:t>
            </w:r>
            <w:r w:rsidRPr="00597012">
              <w:rPr>
                <w:rFonts w:ascii="Arial Narrow" w:hAnsi="Arial Narrow"/>
                <w:sz w:val="16"/>
                <w:szCs w:val="16"/>
              </w:rPr>
              <w:tab/>
              <w:t>Ίδια έσοδα</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311</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180</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250</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sz w:val="16"/>
                <w:szCs w:val="16"/>
              </w:rPr>
            </w:pPr>
            <w:r>
              <w:rPr>
                <w:rFonts w:ascii="Arial Narrow" w:hAnsi="Arial Narrow" w:cs="Arial Greek"/>
                <w:sz w:val="16"/>
                <w:szCs w:val="16"/>
              </w:rPr>
              <w:t>180</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-19,5</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sz w:val="16"/>
                <w:szCs w:val="16"/>
              </w:rPr>
            </w:pPr>
            <w:r>
              <w:rPr>
                <w:rFonts w:ascii="Arial Narrow" w:hAnsi="Arial Narrow" w:cs="Arial Greek"/>
                <w:sz w:val="16"/>
                <w:szCs w:val="16"/>
              </w:rPr>
              <w:t>-28,0</w:t>
            </w:r>
          </w:p>
        </w:tc>
      </w:tr>
      <w:tr w:rsidR="00C94BDC" w:rsidRPr="00A40C39" w:rsidTr="00C94BDC">
        <w:trPr>
          <w:cantSplit/>
        </w:trPr>
        <w:tc>
          <w:tcPr>
            <w:tcW w:w="3005" w:type="dxa"/>
            <w:tcBorders>
              <w:top w:val="nil"/>
              <w:left w:val="single" w:sz="6" w:space="0" w:color="auto"/>
              <w:bottom w:val="nil"/>
              <w:right w:val="nil"/>
            </w:tcBorders>
            <w:shd w:val="clear" w:color="auto" w:fill="auto"/>
          </w:tcPr>
          <w:p w:rsidR="00C94BDC" w:rsidRPr="00A40C39" w:rsidRDefault="00C94BDC" w:rsidP="00632CAB">
            <w:pPr>
              <w:tabs>
                <w:tab w:val="left" w:pos="257"/>
              </w:tabs>
              <w:spacing w:before="100" w:beforeAutospacing="1" w:after="100" w:afterAutospacing="1"/>
              <w:jc w:val="both"/>
              <w:rPr>
                <w:rFonts w:ascii="Arial Narrow" w:hAnsi="Arial Narrow"/>
                <w:sz w:val="10"/>
                <w:szCs w:val="10"/>
              </w:rPr>
            </w:pP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 </w:t>
            </w:r>
          </w:p>
        </w:tc>
        <w:tc>
          <w:tcPr>
            <w:tcW w:w="108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 </w:t>
            </w:r>
          </w:p>
        </w:tc>
        <w:tc>
          <w:tcPr>
            <w:tcW w:w="1260" w:type="dxa"/>
            <w:tcBorders>
              <w:top w:val="nil"/>
              <w:left w:val="nil"/>
              <w:bottom w:val="nil"/>
              <w:right w:val="nil"/>
            </w:tcBorders>
            <w:shd w:val="clear" w:color="auto" w:fill="auto"/>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 </w:t>
            </w:r>
          </w:p>
        </w:tc>
        <w:tc>
          <w:tcPr>
            <w:tcW w:w="720" w:type="dxa"/>
            <w:tcBorders>
              <w:top w:val="nil"/>
              <w:left w:val="nil"/>
              <w:bottom w:val="nil"/>
              <w:right w:val="nil"/>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 </w:t>
            </w:r>
          </w:p>
        </w:tc>
        <w:tc>
          <w:tcPr>
            <w:tcW w:w="720" w:type="dxa"/>
            <w:tcBorders>
              <w:top w:val="nil"/>
              <w:left w:val="nil"/>
              <w:bottom w:val="nil"/>
              <w:right w:val="single" w:sz="6" w:space="0" w:color="auto"/>
            </w:tcBorders>
            <w:shd w:val="clear" w:color="auto" w:fill="auto"/>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 </w:t>
            </w:r>
          </w:p>
        </w:tc>
      </w:tr>
      <w:tr w:rsidR="00C94BDC" w:rsidRPr="00597012" w:rsidTr="00C94BDC">
        <w:trPr>
          <w:cantSplit/>
        </w:trPr>
        <w:tc>
          <w:tcPr>
            <w:tcW w:w="3005" w:type="dxa"/>
            <w:tcBorders>
              <w:top w:val="nil"/>
              <w:left w:val="single" w:sz="6" w:space="0" w:color="auto"/>
              <w:bottom w:val="single" w:sz="6" w:space="0" w:color="auto"/>
              <w:right w:val="nil"/>
            </w:tcBorders>
            <w:shd w:val="clear" w:color="auto" w:fill="A6A6A6"/>
          </w:tcPr>
          <w:p w:rsidR="00C94BDC" w:rsidRPr="00597012" w:rsidRDefault="00C94BDC" w:rsidP="00632CAB">
            <w:pPr>
              <w:tabs>
                <w:tab w:val="left" w:pos="257"/>
              </w:tabs>
              <w:spacing w:before="60" w:after="60"/>
              <w:jc w:val="both"/>
              <w:rPr>
                <w:rFonts w:ascii="Arial Narrow" w:hAnsi="Arial Narrow"/>
                <w:b/>
                <w:sz w:val="16"/>
                <w:szCs w:val="16"/>
              </w:rPr>
            </w:pPr>
            <w:r w:rsidRPr="00597012">
              <w:rPr>
                <w:rFonts w:ascii="Arial Narrow" w:hAnsi="Arial Narrow"/>
                <w:b/>
                <w:sz w:val="16"/>
                <w:szCs w:val="16"/>
              </w:rPr>
              <w:t xml:space="preserve">Σύνολο εσόδων Κρατικού Προϋπολογισμού </w:t>
            </w:r>
            <w:r>
              <w:rPr>
                <w:rFonts w:ascii="Arial Narrow" w:hAnsi="Arial Narrow"/>
                <w:b/>
                <w:sz w:val="16"/>
                <w:szCs w:val="16"/>
              </w:rPr>
              <w:t xml:space="preserve">  </w:t>
            </w:r>
            <w:r w:rsidRPr="00597012">
              <w:rPr>
                <w:rFonts w:ascii="Arial Narrow" w:hAnsi="Arial Narrow"/>
                <w:b/>
                <w:sz w:val="16"/>
                <w:szCs w:val="16"/>
              </w:rPr>
              <w:t>(Ζ</w:t>
            </w:r>
            <w:r>
              <w:rPr>
                <w:rFonts w:ascii="Arial Narrow" w:hAnsi="Arial Narrow"/>
                <w:b/>
                <w:sz w:val="16"/>
                <w:szCs w:val="16"/>
              </w:rPr>
              <w:t xml:space="preserve"> + Η)</w:t>
            </w:r>
          </w:p>
        </w:tc>
        <w:tc>
          <w:tcPr>
            <w:tcW w:w="1260" w:type="dxa"/>
            <w:tcBorders>
              <w:top w:val="nil"/>
              <w:left w:val="nil"/>
              <w:bottom w:val="single" w:sz="6" w:space="0" w:color="auto"/>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53.125</w:t>
            </w:r>
          </w:p>
        </w:tc>
        <w:tc>
          <w:tcPr>
            <w:tcW w:w="1260" w:type="dxa"/>
            <w:tcBorders>
              <w:top w:val="nil"/>
              <w:left w:val="nil"/>
              <w:bottom w:val="single" w:sz="6" w:space="0" w:color="auto"/>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55.281</w:t>
            </w:r>
          </w:p>
        </w:tc>
        <w:tc>
          <w:tcPr>
            <w:tcW w:w="1080" w:type="dxa"/>
            <w:tcBorders>
              <w:top w:val="nil"/>
              <w:left w:val="nil"/>
              <w:bottom w:val="single" w:sz="6" w:space="0" w:color="auto"/>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52.142</w:t>
            </w:r>
          </w:p>
        </w:tc>
        <w:tc>
          <w:tcPr>
            <w:tcW w:w="1260" w:type="dxa"/>
            <w:tcBorders>
              <w:top w:val="nil"/>
              <w:left w:val="nil"/>
              <w:bottom w:val="single" w:sz="6" w:space="0" w:color="auto"/>
              <w:right w:val="nil"/>
            </w:tcBorders>
            <w:shd w:val="clear" w:color="auto" w:fill="A6A6A6"/>
            <w:vAlign w:val="center"/>
          </w:tcPr>
          <w:p w:rsidR="00C94BDC" w:rsidRDefault="00C94BDC" w:rsidP="00C94BDC">
            <w:pPr>
              <w:ind w:right="340"/>
              <w:jc w:val="right"/>
              <w:rPr>
                <w:rFonts w:ascii="Arial Narrow" w:hAnsi="Arial Narrow" w:cs="Arial Greek"/>
                <w:b/>
                <w:bCs/>
                <w:sz w:val="16"/>
                <w:szCs w:val="16"/>
              </w:rPr>
            </w:pPr>
            <w:r>
              <w:rPr>
                <w:rFonts w:ascii="Arial Narrow" w:hAnsi="Arial Narrow" w:cs="Arial Greek"/>
                <w:b/>
                <w:bCs/>
                <w:sz w:val="16"/>
                <w:szCs w:val="16"/>
              </w:rPr>
              <w:t>54.244</w:t>
            </w:r>
          </w:p>
        </w:tc>
        <w:tc>
          <w:tcPr>
            <w:tcW w:w="720" w:type="dxa"/>
            <w:tcBorders>
              <w:top w:val="nil"/>
              <w:left w:val="nil"/>
              <w:bottom w:val="single" w:sz="6" w:space="0" w:color="auto"/>
              <w:right w:val="nil"/>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-1,9</w:t>
            </w:r>
          </w:p>
        </w:tc>
        <w:tc>
          <w:tcPr>
            <w:tcW w:w="720" w:type="dxa"/>
            <w:tcBorders>
              <w:top w:val="nil"/>
              <w:left w:val="nil"/>
              <w:bottom w:val="single" w:sz="6" w:space="0" w:color="auto"/>
              <w:right w:val="single" w:sz="6" w:space="0" w:color="auto"/>
            </w:tcBorders>
            <w:shd w:val="clear" w:color="auto" w:fill="A6A6A6"/>
            <w:vAlign w:val="center"/>
          </w:tcPr>
          <w:p w:rsidR="00C94BDC" w:rsidRDefault="00C94BDC" w:rsidP="00C94BDC">
            <w:pPr>
              <w:ind w:right="142"/>
              <w:jc w:val="right"/>
              <w:rPr>
                <w:rFonts w:ascii="Arial Narrow" w:hAnsi="Arial Narrow" w:cs="Arial Greek"/>
                <w:b/>
                <w:bCs/>
                <w:sz w:val="16"/>
                <w:szCs w:val="16"/>
              </w:rPr>
            </w:pPr>
            <w:r>
              <w:rPr>
                <w:rFonts w:ascii="Arial Narrow" w:hAnsi="Arial Narrow" w:cs="Arial Greek"/>
                <w:b/>
                <w:bCs/>
                <w:sz w:val="16"/>
                <w:szCs w:val="16"/>
              </w:rPr>
              <w:t>4,0</w:t>
            </w:r>
          </w:p>
        </w:tc>
      </w:tr>
    </w:tbl>
    <w:p w:rsidR="006D0FB1" w:rsidRPr="00511DE8" w:rsidRDefault="00511DE8" w:rsidP="00511DE8">
      <w:pPr>
        <w:tabs>
          <w:tab w:val="left" w:pos="284"/>
        </w:tabs>
        <w:rPr>
          <w:rFonts w:ascii="Arial Narrow" w:hAnsi="Arial Narrow"/>
          <w:bCs/>
          <w:sz w:val="16"/>
          <w:szCs w:val="16"/>
        </w:rPr>
      </w:pPr>
      <w:r w:rsidRPr="00511DE8">
        <w:rPr>
          <w:rFonts w:ascii="Arial Narrow" w:hAnsi="Arial Narrow"/>
          <w:bCs/>
          <w:sz w:val="16"/>
          <w:szCs w:val="16"/>
        </w:rPr>
        <w:t>*</w:t>
      </w:r>
      <w:r w:rsidRPr="00511DE8">
        <w:rPr>
          <w:rFonts w:ascii="Arial Narrow" w:hAnsi="Arial Narrow"/>
          <w:bCs/>
          <w:sz w:val="16"/>
          <w:szCs w:val="16"/>
        </w:rPr>
        <w:tab/>
        <w:t>Περιλαμβάνονται τα έσοδα που δεν αποτελούν χρηματοοικονομικές συναλλαγές.</w:t>
      </w:r>
    </w:p>
    <w:p w:rsidR="006D0FB1" w:rsidRDefault="006D0FB1">
      <w:pPr>
        <w:rPr>
          <w:bCs/>
          <w:sz w:val="22"/>
          <w:szCs w:val="22"/>
        </w:rPr>
      </w:pPr>
      <w:r>
        <w:rPr>
          <w:bCs/>
          <w:sz w:val="22"/>
          <w:szCs w:val="22"/>
        </w:rPr>
        <w:br w:type="page"/>
      </w:r>
    </w:p>
    <w:tbl>
      <w:tblPr>
        <w:tblW w:w="9171"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3"/>
        <w:gridCol w:w="1136"/>
        <w:gridCol w:w="1136"/>
        <w:gridCol w:w="1333"/>
        <w:gridCol w:w="1143"/>
        <w:gridCol w:w="1143"/>
        <w:gridCol w:w="1143"/>
        <w:gridCol w:w="1104"/>
      </w:tblGrid>
      <w:tr w:rsidR="006D0FB1" w:rsidRPr="00AF199A" w:rsidTr="00632CAB">
        <w:trPr>
          <w:jc w:val="center"/>
        </w:trPr>
        <w:tc>
          <w:tcPr>
            <w:tcW w:w="9171" w:type="dxa"/>
            <w:gridSpan w:val="8"/>
            <w:tcBorders>
              <w:top w:val="single" w:sz="6" w:space="0" w:color="auto"/>
              <w:left w:val="single" w:sz="6" w:space="0" w:color="auto"/>
              <w:bottom w:val="nil"/>
              <w:right w:val="single" w:sz="6" w:space="0" w:color="auto"/>
            </w:tcBorders>
            <w:shd w:val="clear" w:color="auto" w:fill="404040"/>
            <w:tcMar>
              <w:left w:w="28" w:type="dxa"/>
              <w:right w:w="28" w:type="dxa"/>
            </w:tcMar>
            <w:vAlign w:val="center"/>
          </w:tcPr>
          <w:p w:rsidR="006D0FB1" w:rsidRPr="00301426" w:rsidRDefault="006D0FB1" w:rsidP="00632CAB">
            <w:pPr>
              <w:spacing w:before="120"/>
              <w:jc w:val="center"/>
              <w:outlineLvl w:val="0"/>
              <w:rPr>
                <w:rFonts w:ascii="Arial Narrow" w:hAnsi="Arial Narrow"/>
                <w:b/>
                <w:color w:val="FFFFFF" w:themeColor="background1"/>
              </w:rPr>
            </w:pPr>
            <w:r>
              <w:rPr>
                <w:rFonts w:ascii="Arial Narrow" w:hAnsi="Arial Narrow"/>
                <w:b/>
                <w:color w:val="FFFFFF" w:themeColor="background1"/>
              </w:rPr>
              <w:lastRenderedPageBreak/>
              <w:t>Πίνακας 3.5</w:t>
            </w:r>
            <w:r w:rsidRPr="00AF199A">
              <w:rPr>
                <w:rFonts w:ascii="Arial Narrow" w:hAnsi="Arial Narrow"/>
                <w:b/>
                <w:color w:val="FFFFFF" w:themeColor="background1"/>
              </w:rPr>
              <w:t xml:space="preserve">   Εξέλιξη κα</w:t>
            </w:r>
            <w:r>
              <w:rPr>
                <w:rFonts w:ascii="Arial Narrow" w:hAnsi="Arial Narrow"/>
                <w:b/>
                <w:color w:val="FFFFFF" w:themeColor="background1"/>
              </w:rPr>
              <w:t>ι σύνθεση των εσόδων του ΤΠ 200</w:t>
            </w:r>
            <w:r w:rsidR="00632CAB">
              <w:rPr>
                <w:rFonts w:ascii="Arial Narrow" w:hAnsi="Arial Narrow"/>
                <w:b/>
                <w:color w:val="FFFFFF" w:themeColor="background1"/>
              </w:rPr>
              <w:t>8</w:t>
            </w:r>
            <w:r>
              <w:rPr>
                <w:rFonts w:ascii="Arial Narrow" w:hAnsi="Arial Narrow"/>
                <w:b/>
                <w:color w:val="FFFFFF" w:themeColor="background1"/>
              </w:rPr>
              <w:t>-201</w:t>
            </w:r>
            <w:r w:rsidR="00632CAB">
              <w:rPr>
                <w:rFonts w:ascii="Arial Narrow" w:hAnsi="Arial Narrow"/>
                <w:b/>
                <w:color w:val="FFFFFF" w:themeColor="background1"/>
              </w:rPr>
              <w:t>8</w:t>
            </w:r>
          </w:p>
          <w:p w:rsidR="006D0FB1" w:rsidRPr="00AF199A" w:rsidRDefault="006D0FB1" w:rsidP="00632CAB">
            <w:pPr>
              <w:spacing w:after="120"/>
              <w:jc w:val="center"/>
              <w:rPr>
                <w:b/>
                <w:color w:val="FFFFFF" w:themeColor="background1"/>
                <w:sz w:val="22"/>
                <w:szCs w:val="20"/>
              </w:rPr>
            </w:pPr>
            <w:r w:rsidRPr="00AF199A">
              <w:rPr>
                <w:rFonts w:ascii="Arial Narrow" w:hAnsi="Arial Narrow"/>
                <w:b/>
                <w:color w:val="FFFFFF" w:themeColor="background1"/>
              </w:rPr>
              <w:t>(σε εκατ. ευρώ)</w:t>
            </w:r>
          </w:p>
        </w:tc>
      </w:tr>
      <w:tr w:rsidR="006D0FB1" w:rsidRPr="009A6179" w:rsidTr="00632CAB">
        <w:trPr>
          <w:trHeight w:val="192"/>
          <w:jc w:val="center"/>
        </w:trPr>
        <w:tc>
          <w:tcPr>
            <w:tcW w:w="1033" w:type="dxa"/>
            <w:tcBorders>
              <w:top w:val="nil"/>
              <w:left w:val="single" w:sz="6" w:space="0" w:color="auto"/>
              <w:bottom w:val="single" w:sz="6" w:space="0" w:color="auto"/>
              <w:right w:val="nil"/>
            </w:tcBorders>
            <w:shd w:val="clear" w:color="auto" w:fill="auto"/>
            <w:tcMar>
              <w:left w:w="28" w:type="dxa"/>
              <w:right w:w="28" w:type="dxa"/>
            </w:tcMar>
            <w:vAlign w:val="center"/>
          </w:tcPr>
          <w:p w:rsidR="006D0FB1" w:rsidRPr="009A6179" w:rsidRDefault="006D0FB1" w:rsidP="00632CAB">
            <w:pPr>
              <w:keepNext/>
              <w:jc w:val="center"/>
              <w:outlineLvl w:val="6"/>
              <w:rPr>
                <w:rFonts w:ascii="Arial Narrow" w:hAnsi="Arial Narrow"/>
                <w:b/>
                <w:sz w:val="20"/>
                <w:szCs w:val="16"/>
              </w:rPr>
            </w:pPr>
          </w:p>
        </w:tc>
        <w:tc>
          <w:tcPr>
            <w:tcW w:w="1136" w:type="dxa"/>
            <w:tcBorders>
              <w:top w:val="nil"/>
              <w:left w:val="nil"/>
              <w:bottom w:val="single" w:sz="6" w:space="0" w:color="auto"/>
              <w:right w:val="nil"/>
            </w:tcBorders>
            <w:tcMar>
              <w:left w:w="28" w:type="dxa"/>
              <w:right w:w="28" w:type="dxa"/>
            </w:tcMar>
          </w:tcPr>
          <w:p w:rsidR="006D0FB1" w:rsidRPr="009A6179" w:rsidRDefault="006D0FB1" w:rsidP="00632CAB">
            <w:pPr>
              <w:jc w:val="center"/>
              <w:rPr>
                <w:rFonts w:ascii="Arial Narrow" w:hAnsi="Arial Narrow"/>
                <w:b/>
                <w:sz w:val="20"/>
                <w:szCs w:val="16"/>
              </w:rPr>
            </w:pPr>
          </w:p>
        </w:tc>
        <w:tc>
          <w:tcPr>
            <w:tcW w:w="1136" w:type="dxa"/>
            <w:tcBorders>
              <w:top w:val="nil"/>
              <w:left w:val="nil"/>
              <w:bottom w:val="single" w:sz="6" w:space="0" w:color="auto"/>
              <w:right w:val="nil"/>
            </w:tcBorders>
            <w:shd w:val="clear" w:color="auto" w:fill="auto"/>
            <w:tcMar>
              <w:left w:w="28" w:type="dxa"/>
              <w:right w:w="28" w:type="dxa"/>
            </w:tcMar>
            <w:vAlign w:val="center"/>
          </w:tcPr>
          <w:p w:rsidR="006D0FB1" w:rsidRPr="009A6179" w:rsidRDefault="006D0FB1" w:rsidP="00632CAB">
            <w:pPr>
              <w:jc w:val="center"/>
              <w:rPr>
                <w:rFonts w:ascii="Arial Narrow" w:hAnsi="Arial Narrow"/>
                <w:b/>
                <w:sz w:val="20"/>
                <w:szCs w:val="16"/>
              </w:rPr>
            </w:pPr>
          </w:p>
        </w:tc>
        <w:tc>
          <w:tcPr>
            <w:tcW w:w="1333" w:type="dxa"/>
            <w:tcBorders>
              <w:top w:val="nil"/>
              <w:left w:val="nil"/>
              <w:bottom w:val="single" w:sz="6" w:space="0" w:color="auto"/>
              <w:right w:val="nil"/>
            </w:tcBorders>
            <w:shd w:val="clear" w:color="auto" w:fill="auto"/>
            <w:tcMar>
              <w:left w:w="28" w:type="dxa"/>
              <w:right w:w="28" w:type="dxa"/>
            </w:tcMar>
            <w:vAlign w:val="center"/>
          </w:tcPr>
          <w:p w:rsidR="006D0FB1" w:rsidRPr="009A6179" w:rsidRDefault="006D0FB1" w:rsidP="00632CAB">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6D0FB1" w:rsidRPr="009A6179" w:rsidRDefault="006D0FB1" w:rsidP="00632CAB">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6D0FB1" w:rsidRPr="009A6179" w:rsidRDefault="006D0FB1" w:rsidP="00632CAB">
            <w:pPr>
              <w:jc w:val="center"/>
              <w:rPr>
                <w:rFonts w:ascii="Arial Narrow" w:hAnsi="Arial Narrow"/>
                <w:b/>
                <w:sz w:val="20"/>
                <w:szCs w:val="16"/>
              </w:rPr>
            </w:pPr>
          </w:p>
        </w:tc>
        <w:tc>
          <w:tcPr>
            <w:tcW w:w="1143" w:type="dxa"/>
            <w:tcBorders>
              <w:top w:val="nil"/>
              <w:left w:val="nil"/>
              <w:bottom w:val="single" w:sz="6" w:space="0" w:color="auto"/>
              <w:right w:val="nil"/>
            </w:tcBorders>
            <w:shd w:val="clear" w:color="auto" w:fill="auto"/>
            <w:tcMar>
              <w:left w:w="28" w:type="dxa"/>
              <w:right w:w="28" w:type="dxa"/>
            </w:tcMar>
            <w:vAlign w:val="center"/>
          </w:tcPr>
          <w:p w:rsidR="006D0FB1" w:rsidRPr="009A6179" w:rsidRDefault="006D0FB1" w:rsidP="00632CAB">
            <w:pPr>
              <w:jc w:val="center"/>
              <w:rPr>
                <w:rFonts w:ascii="Arial Narrow" w:hAnsi="Arial Narrow"/>
                <w:b/>
                <w:sz w:val="20"/>
                <w:szCs w:val="16"/>
              </w:rPr>
            </w:pPr>
          </w:p>
        </w:tc>
        <w:tc>
          <w:tcPr>
            <w:tcW w:w="1104" w:type="dxa"/>
            <w:tcBorders>
              <w:top w:val="nil"/>
              <w:left w:val="nil"/>
              <w:bottom w:val="single" w:sz="6" w:space="0" w:color="auto"/>
              <w:right w:val="single" w:sz="6" w:space="0" w:color="auto"/>
            </w:tcBorders>
            <w:shd w:val="clear" w:color="auto" w:fill="auto"/>
            <w:tcMar>
              <w:left w:w="28" w:type="dxa"/>
              <w:right w:w="28" w:type="dxa"/>
            </w:tcMar>
            <w:vAlign w:val="center"/>
          </w:tcPr>
          <w:p w:rsidR="006D0FB1" w:rsidRPr="009A6179" w:rsidRDefault="006D0FB1" w:rsidP="00632CAB">
            <w:pPr>
              <w:jc w:val="center"/>
              <w:rPr>
                <w:rFonts w:ascii="Arial Narrow" w:hAnsi="Arial Narrow"/>
                <w:b/>
                <w:sz w:val="20"/>
                <w:szCs w:val="16"/>
              </w:rPr>
            </w:pPr>
          </w:p>
        </w:tc>
      </w:tr>
      <w:tr w:rsidR="006D0FB1" w:rsidRPr="009A6179" w:rsidTr="00632CAB">
        <w:trPr>
          <w:trHeight w:val="589"/>
          <w:jc w:val="center"/>
        </w:trPr>
        <w:tc>
          <w:tcPr>
            <w:tcW w:w="103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D0FB1" w:rsidRPr="009A6179" w:rsidRDefault="006D0FB1" w:rsidP="00632CAB">
            <w:pPr>
              <w:keepNext/>
              <w:spacing w:line="223" w:lineRule="auto"/>
              <w:jc w:val="center"/>
              <w:outlineLvl w:val="6"/>
              <w:rPr>
                <w:rFonts w:ascii="Arial Narrow" w:hAnsi="Arial Narrow"/>
                <w:b/>
                <w:sz w:val="16"/>
                <w:szCs w:val="16"/>
              </w:rPr>
            </w:pPr>
            <w:r w:rsidRPr="009A6179">
              <w:rPr>
                <w:rFonts w:ascii="Arial Narrow" w:hAnsi="Arial Narrow"/>
                <w:b/>
                <w:sz w:val="16"/>
                <w:szCs w:val="16"/>
              </w:rPr>
              <w:t>Έτος</w:t>
            </w:r>
          </w:p>
        </w:tc>
        <w:tc>
          <w:tcPr>
            <w:tcW w:w="1136"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6D0FB1" w:rsidRPr="009A6179" w:rsidRDefault="006D0FB1" w:rsidP="00632CAB">
            <w:pPr>
              <w:spacing w:before="120" w:after="120"/>
              <w:jc w:val="center"/>
              <w:rPr>
                <w:rFonts w:ascii="Arial Narrow" w:hAnsi="Arial Narrow"/>
                <w:b/>
                <w:sz w:val="16"/>
                <w:szCs w:val="16"/>
              </w:rPr>
            </w:pPr>
            <w:r w:rsidRPr="009A6179">
              <w:rPr>
                <w:rFonts w:ascii="Arial Narrow" w:hAnsi="Arial Narrow"/>
                <w:b/>
                <w:sz w:val="16"/>
                <w:szCs w:val="16"/>
              </w:rPr>
              <w:t>Άμεσοι φόροι</w:t>
            </w:r>
          </w:p>
        </w:tc>
        <w:tc>
          <w:tcPr>
            <w:tcW w:w="1136"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D0FB1" w:rsidRPr="009A6179" w:rsidRDefault="006D0FB1" w:rsidP="00632CAB">
            <w:pPr>
              <w:spacing w:before="120" w:after="120"/>
              <w:jc w:val="center"/>
              <w:rPr>
                <w:rFonts w:ascii="Arial Narrow" w:hAnsi="Arial Narrow"/>
                <w:b/>
                <w:sz w:val="16"/>
                <w:szCs w:val="16"/>
              </w:rPr>
            </w:pPr>
            <w:r w:rsidRPr="009A6179">
              <w:rPr>
                <w:rFonts w:ascii="Arial Narrow" w:hAnsi="Arial Narrow"/>
                <w:b/>
                <w:sz w:val="16"/>
                <w:szCs w:val="16"/>
              </w:rPr>
              <w:t>Έμμεσοι φόροι</w:t>
            </w:r>
          </w:p>
        </w:tc>
        <w:tc>
          <w:tcPr>
            <w:tcW w:w="133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D0FB1" w:rsidRPr="009A6179" w:rsidRDefault="006D0FB1" w:rsidP="00632CAB">
            <w:pPr>
              <w:keepNext/>
              <w:jc w:val="center"/>
              <w:outlineLvl w:val="4"/>
              <w:rPr>
                <w:rFonts w:ascii="Arial Narrow" w:hAnsi="Arial Narrow"/>
                <w:b/>
                <w:sz w:val="16"/>
                <w:szCs w:val="16"/>
              </w:rPr>
            </w:pPr>
            <w:r w:rsidRPr="009A6179">
              <w:rPr>
                <w:rFonts w:ascii="Arial Narrow" w:hAnsi="Arial Narrow"/>
                <w:b/>
                <w:sz w:val="16"/>
                <w:szCs w:val="16"/>
              </w:rPr>
              <w:t>Σύνολο</w:t>
            </w:r>
          </w:p>
          <w:p w:rsidR="006D0FB1" w:rsidRPr="009A6179" w:rsidRDefault="006D0FB1" w:rsidP="00632CAB">
            <w:pPr>
              <w:jc w:val="center"/>
              <w:rPr>
                <w:rFonts w:ascii="Arial Narrow" w:hAnsi="Arial Narrow"/>
                <w:b/>
                <w:sz w:val="16"/>
                <w:szCs w:val="16"/>
              </w:rPr>
            </w:pPr>
            <w:r w:rsidRPr="009A6179">
              <w:rPr>
                <w:rFonts w:ascii="Arial Narrow" w:hAnsi="Arial Narrow"/>
                <w:b/>
                <w:sz w:val="16"/>
                <w:szCs w:val="16"/>
              </w:rPr>
              <w:t xml:space="preserve">φορολογικών </w:t>
            </w:r>
          </w:p>
          <w:p w:rsidR="006D0FB1" w:rsidRPr="009A6179" w:rsidRDefault="006D0FB1" w:rsidP="00632CAB">
            <w:pPr>
              <w:jc w:val="center"/>
              <w:rPr>
                <w:rFonts w:ascii="Arial Narrow" w:hAnsi="Arial Narrow"/>
                <w:b/>
                <w:sz w:val="16"/>
                <w:szCs w:val="16"/>
              </w:rPr>
            </w:pPr>
            <w:r w:rsidRPr="009A6179">
              <w:rPr>
                <w:rFonts w:ascii="Arial Narrow" w:hAnsi="Arial Narrow"/>
                <w:b/>
                <w:sz w:val="16"/>
                <w:szCs w:val="16"/>
              </w:rPr>
              <w:t>εσόδων</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D0FB1" w:rsidRPr="009A6179" w:rsidRDefault="006D0FB1" w:rsidP="00632CAB">
            <w:pPr>
              <w:keepNext/>
              <w:jc w:val="center"/>
              <w:outlineLvl w:val="4"/>
              <w:rPr>
                <w:rFonts w:ascii="Arial Narrow" w:hAnsi="Arial Narrow"/>
                <w:b/>
                <w:sz w:val="16"/>
                <w:szCs w:val="16"/>
              </w:rPr>
            </w:pPr>
            <w:r w:rsidRPr="009A6179">
              <w:rPr>
                <w:rFonts w:ascii="Arial Narrow" w:hAnsi="Arial Narrow"/>
                <w:b/>
                <w:sz w:val="16"/>
                <w:szCs w:val="16"/>
              </w:rPr>
              <w:t>Έσοδα</w:t>
            </w:r>
          </w:p>
          <w:p w:rsidR="006D0FB1" w:rsidRPr="009A6179" w:rsidRDefault="006D0FB1" w:rsidP="00632CAB">
            <w:pPr>
              <w:jc w:val="center"/>
              <w:rPr>
                <w:rFonts w:ascii="Arial Narrow" w:hAnsi="Arial Narrow"/>
                <w:b/>
                <w:sz w:val="16"/>
                <w:szCs w:val="16"/>
              </w:rPr>
            </w:pPr>
            <w:r w:rsidRPr="009A6179">
              <w:rPr>
                <w:rFonts w:ascii="Arial Narrow" w:hAnsi="Arial Narrow"/>
                <w:b/>
                <w:sz w:val="16"/>
                <w:szCs w:val="16"/>
              </w:rPr>
              <w:t>από ΕΕ</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D0FB1" w:rsidRPr="009A6179" w:rsidRDefault="006D0FB1" w:rsidP="00632CAB">
            <w:pPr>
              <w:jc w:val="center"/>
              <w:rPr>
                <w:rFonts w:ascii="Arial Narrow" w:hAnsi="Arial Narrow"/>
                <w:b/>
                <w:sz w:val="16"/>
                <w:szCs w:val="16"/>
              </w:rPr>
            </w:pPr>
            <w:r w:rsidRPr="009A6179">
              <w:rPr>
                <w:rFonts w:ascii="Arial Narrow" w:hAnsi="Arial Narrow"/>
                <w:b/>
                <w:sz w:val="16"/>
                <w:szCs w:val="16"/>
              </w:rPr>
              <w:t>Λοιπά</w:t>
            </w:r>
          </w:p>
          <w:p w:rsidR="006D0FB1" w:rsidRPr="009A6179" w:rsidRDefault="006D0FB1" w:rsidP="00632CAB">
            <w:pPr>
              <w:jc w:val="center"/>
              <w:rPr>
                <w:rFonts w:ascii="Arial Narrow" w:hAnsi="Arial Narrow"/>
                <w:b/>
                <w:sz w:val="16"/>
                <w:szCs w:val="16"/>
              </w:rPr>
            </w:pPr>
            <w:r w:rsidRPr="009A6179">
              <w:rPr>
                <w:rFonts w:ascii="Arial Narrow" w:hAnsi="Arial Narrow"/>
                <w:b/>
                <w:sz w:val="16"/>
                <w:szCs w:val="16"/>
              </w:rPr>
              <w:t>μη φορολογικά έσοδα</w:t>
            </w:r>
          </w:p>
        </w:tc>
        <w:tc>
          <w:tcPr>
            <w:tcW w:w="1143"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D0FB1" w:rsidRPr="009A6179" w:rsidRDefault="006D0FB1" w:rsidP="00632CAB">
            <w:pPr>
              <w:jc w:val="center"/>
              <w:rPr>
                <w:rFonts w:ascii="Arial Narrow" w:hAnsi="Arial Narrow"/>
                <w:b/>
                <w:sz w:val="16"/>
                <w:szCs w:val="16"/>
              </w:rPr>
            </w:pPr>
            <w:r w:rsidRPr="009A6179">
              <w:rPr>
                <w:rFonts w:ascii="Arial Narrow" w:hAnsi="Arial Narrow"/>
                <w:b/>
                <w:sz w:val="16"/>
                <w:szCs w:val="16"/>
              </w:rPr>
              <w:t xml:space="preserve">Σύνολο μη </w:t>
            </w:r>
          </w:p>
          <w:p w:rsidR="006D0FB1" w:rsidRPr="009A6179" w:rsidRDefault="006D0FB1" w:rsidP="00632CAB">
            <w:pPr>
              <w:jc w:val="center"/>
              <w:rPr>
                <w:rFonts w:ascii="Arial Narrow" w:hAnsi="Arial Narrow"/>
                <w:b/>
                <w:sz w:val="16"/>
                <w:szCs w:val="16"/>
              </w:rPr>
            </w:pPr>
            <w:r w:rsidRPr="009A6179">
              <w:rPr>
                <w:rFonts w:ascii="Arial Narrow" w:hAnsi="Arial Narrow"/>
                <w:b/>
                <w:sz w:val="16"/>
                <w:szCs w:val="16"/>
              </w:rPr>
              <w:t xml:space="preserve">φορολογικών </w:t>
            </w:r>
          </w:p>
          <w:p w:rsidR="006D0FB1" w:rsidRPr="009A6179" w:rsidRDefault="006D0FB1" w:rsidP="00632CAB">
            <w:pPr>
              <w:jc w:val="center"/>
              <w:rPr>
                <w:rFonts w:ascii="Arial Narrow" w:hAnsi="Arial Narrow"/>
                <w:b/>
                <w:sz w:val="16"/>
                <w:szCs w:val="16"/>
              </w:rPr>
            </w:pPr>
            <w:r w:rsidRPr="009A6179">
              <w:rPr>
                <w:rFonts w:ascii="Arial Narrow" w:hAnsi="Arial Narrow"/>
                <w:b/>
                <w:sz w:val="16"/>
                <w:szCs w:val="16"/>
              </w:rPr>
              <w:t>εσόδων</w:t>
            </w:r>
          </w:p>
        </w:tc>
        <w:tc>
          <w:tcPr>
            <w:tcW w:w="1104"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D0FB1" w:rsidRPr="009A6179" w:rsidRDefault="006D0FB1" w:rsidP="00632CAB">
            <w:pPr>
              <w:jc w:val="center"/>
              <w:rPr>
                <w:rFonts w:ascii="Arial Narrow" w:hAnsi="Arial Narrow"/>
                <w:b/>
                <w:sz w:val="16"/>
                <w:szCs w:val="16"/>
              </w:rPr>
            </w:pPr>
            <w:r w:rsidRPr="009A6179">
              <w:rPr>
                <w:rFonts w:ascii="Arial Narrow" w:hAnsi="Arial Narrow"/>
                <w:b/>
                <w:sz w:val="16"/>
                <w:szCs w:val="16"/>
              </w:rPr>
              <w:t>Σύνολο</w:t>
            </w:r>
          </w:p>
          <w:p w:rsidR="006D0FB1" w:rsidRPr="009A6179" w:rsidRDefault="006D0FB1" w:rsidP="00632CAB">
            <w:pPr>
              <w:jc w:val="center"/>
              <w:rPr>
                <w:rFonts w:ascii="Arial Narrow" w:hAnsi="Arial Narrow"/>
                <w:b/>
                <w:sz w:val="16"/>
                <w:szCs w:val="16"/>
              </w:rPr>
            </w:pPr>
            <w:r w:rsidRPr="009A6179">
              <w:rPr>
                <w:rFonts w:ascii="Arial Narrow" w:hAnsi="Arial Narrow"/>
                <w:b/>
                <w:sz w:val="16"/>
                <w:szCs w:val="16"/>
              </w:rPr>
              <w:t>εσόδων</w:t>
            </w:r>
          </w:p>
          <w:p w:rsidR="006D0FB1" w:rsidRPr="009A6179" w:rsidRDefault="006D0FB1" w:rsidP="00632CAB">
            <w:pPr>
              <w:jc w:val="center"/>
              <w:rPr>
                <w:rFonts w:ascii="Arial Narrow" w:hAnsi="Arial Narrow"/>
                <w:b/>
                <w:sz w:val="16"/>
                <w:szCs w:val="16"/>
              </w:rPr>
            </w:pPr>
            <w:r w:rsidRPr="009A6179">
              <w:rPr>
                <w:rFonts w:ascii="Arial Narrow" w:hAnsi="Arial Narrow"/>
                <w:b/>
                <w:sz w:val="16"/>
                <w:szCs w:val="16"/>
              </w:rPr>
              <w:t>ΤΠ</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2008</w:t>
            </w:r>
          </w:p>
        </w:tc>
        <w:tc>
          <w:tcPr>
            <w:tcW w:w="1136" w:type="dxa"/>
            <w:tcBorders>
              <w:top w:val="nil"/>
              <w:left w:val="nil"/>
              <w:bottom w:val="nil"/>
              <w:right w:val="nil"/>
            </w:tcBorders>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20.863</w:t>
            </w:r>
          </w:p>
        </w:tc>
        <w:tc>
          <w:tcPr>
            <w:tcW w:w="1136"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30.222</w:t>
            </w:r>
          </w:p>
        </w:tc>
        <w:tc>
          <w:tcPr>
            <w:tcW w:w="133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51.085</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579</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3.670</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4.249</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55.334</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2009</w:t>
            </w:r>
          </w:p>
        </w:tc>
        <w:tc>
          <w:tcPr>
            <w:tcW w:w="1136" w:type="dxa"/>
            <w:tcBorders>
              <w:top w:val="nil"/>
              <w:left w:val="nil"/>
              <w:bottom w:val="nil"/>
              <w:right w:val="nil"/>
            </w:tcBorders>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21.432</w:t>
            </w:r>
          </w:p>
        </w:tc>
        <w:tc>
          <w:tcPr>
            <w:tcW w:w="1136"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28.293</w:t>
            </w:r>
          </w:p>
        </w:tc>
        <w:tc>
          <w:tcPr>
            <w:tcW w:w="133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49.725</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264</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3.454</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3.718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53.443</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2010</w:t>
            </w:r>
          </w:p>
        </w:tc>
        <w:tc>
          <w:tcPr>
            <w:tcW w:w="1136" w:type="dxa"/>
            <w:tcBorders>
              <w:top w:val="nil"/>
              <w:left w:val="nil"/>
              <w:bottom w:val="nil"/>
              <w:right w:val="nil"/>
            </w:tcBorders>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20.224</w:t>
            </w:r>
          </w:p>
        </w:tc>
        <w:tc>
          <w:tcPr>
            <w:tcW w:w="1136"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31.042</w:t>
            </w:r>
          </w:p>
        </w:tc>
        <w:tc>
          <w:tcPr>
            <w:tcW w:w="133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51.266</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320</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4.592</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4.912</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56.178</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2011</w:t>
            </w:r>
          </w:p>
        </w:tc>
        <w:tc>
          <w:tcPr>
            <w:tcW w:w="1136" w:type="dxa"/>
            <w:tcBorders>
              <w:top w:val="nil"/>
              <w:left w:val="nil"/>
              <w:bottom w:val="nil"/>
              <w:right w:val="nil"/>
            </w:tcBorders>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20.318</w:t>
            </w:r>
          </w:p>
        </w:tc>
        <w:tc>
          <w:tcPr>
            <w:tcW w:w="1136"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28.632</w:t>
            </w:r>
          </w:p>
        </w:tc>
        <w:tc>
          <w:tcPr>
            <w:tcW w:w="133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48.951</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274</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6.217</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6.491</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55.441</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2012</w:t>
            </w:r>
          </w:p>
        </w:tc>
        <w:tc>
          <w:tcPr>
            <w:tcW w:w="1136" w:type="dxa"/>
            <w:tcBorders>
              <w:top w:val="nil"/>
              <w:left w:val="nil"/>
              <w:bottom w:val="nil"/>
              <w:right w:val="nil"/>
            </w:tcBorders>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21.096</w:t>
            </w:r>
          </w:p>
        </w:tc>
        <w:tc>
          <w:tcPr>
            <w:tcW w:w="1136"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26.083</w:t>
            </w:r>
          </w:p>
        </w:tc>
        <w:tc>
          <w:tcPr>
            <w:tcW w:w="133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47.179</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246</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4.072</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4.318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51.497</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2013</w:t>
            </w:r>
          </w:p>
        </w:tc>
        <w:tc>
          <w:tcPr>
            <w:tcW w:w="1136" w:type="dxa"/>
            <w:tcBorders>
              <w:top w:val="nil"/>
              <w:left w:val="nil"/>
              <w:bottom w:val="nil"/>
              <w:right w:val="nil"/>
            </w:tcBorders>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20.058</w:t>
            </w:r>
          </w:p>
        </w:tc>
        <w:tc>
          <w:tcPr>
            <w:tcW w:w="1136"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24.556</w:t>
            </w:r>
          </w:p>
        </w:tc>
        <w:tc>
          <w:tcPr>
            <w:tcW w:w="133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44.614</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183</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2.367</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2.550</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47.164</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2014</w:t>
            </w:r>
          </w:p>
        </w:tc>
        <w:tc>
          <w:tcPr>
            <w:tcW w:w="1136" w:type="dxa"/>
            <w:tcBorders>
              <w:top w:val="nil"/>
              <w:left w:val="nil"/>
              <w:bottom w:val="nil"/>
              <w:right w:val="nil"/>
            </w:tcBorders>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20.664</w:t>
            </w:r>
          </w:p>
        </w:tc>
        <w:tc>
          <w:tcPr>
            <w:tcW w:w="1136"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23.784</w:t>
            </w:r>
          </w:p>
        </w:tc>
        <w:tc>
          <w:tcPr>
            <w:tcW w:w="133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44.448</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196</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3.373</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3.569</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48.017</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6D0F13" w:rsidRDefault="006D0FB1" w:rsidP="00632CAB">
            <w:pPr>
              <w:ind w:firstLine="284"/>
              <w:rPr>
                <w:rFonts w:ascii="Arial Narrow" w:hAnsi="Arial Narrow"/>
                <w:sz w:val="16"/>
                <w:szCs w:val="16"/>
                <w:lang w:val="en-US"/>
              </w:rPr>
            </w:pPr>
            <w:r w:rsidRPr="009A6179">
              <w:rPr>
                <w:rFonts w:ascii="Arial Narrow" w:hAnsi="Arial Narrow"/>
                <w:sz w:val="16"/>
                <w:szCs w:val="16"/>
              </w:rPr>
              <w:t>2015</w:t>
            </w:r>
          </w:p>
        </w:tc>
        <w:tc>
          <w:tcPr>
            <w:tcW w:w="1136" w:type="dxa"/>
            <w:tcBorders>
              <w:top w:val="nil"/>
              <w:left w:val="nil"/>
              <w:bottom w:val="nil"/>
              <w:right w:val="nil"/>
            </w:tcBorders>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19.936</w:t>
            </w:r>
          </w:p>
        </w:tc>
        <w:tc>
          <w:tcPr>
            <w:tcW w:w="1136"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23.781</w:t>
            </w:r>
          </w:p>
        </w:tc>
        <w:tc>
          <w:tcPr>
            <w:tcW w:w="133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43.718</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428</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3.646</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4.074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47.792</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6D0F13" w:rsidRDefault="006D0FB1" w:rsidP="00632CAB">
            <w:pPr>
              <w:ind w:firstLine="284"/>
              <w:rPr>
                <w:rFonts w:ascii="Arial Narrow" w:hAnsi="Arial Narrow"/>
                <w:sz w:val="16"/>
                <w:szCs w:val="16"/>
                <w:lang w:val="en-US"/>
              </w:rPr>
            </w:pPr>
            <w:r>
              <w:rPr>
                <w:rFonts w:ascii="Arial Narrow" w:hAnsi="Arial Narrow"/>
                <w:sz w:val="16"/>
                <w:szCs w:val="16"/>
              </w:rPr>
              <w:t>2016</w:t>
            </w:r>
          </w:p>
        </w:tc>
        <w:tc>
          <w:tcPr>
            <w:tcW w:w="1136" w:type="dxa"/>
            <w:tcBorders>
              <w:top w:val="nil"/>
              <w:left w:val="nil"/>
              <w:bottom w:val="nil"/>
              <w:right w:val="nil"/>
            </w:tcBorders>
            <w:tcMar>
              <w:left w:w="28" w:type="dxa"/>
              <w:right w:w="28" w:type="dxa"/>
            </w:tcMar>
            <w:vAlign w:val="center"/>
          </w:tcPr>
          <w:p w:rsidR="006D0FB1" w:rsidRDefault="00632CAB" w:rsidP="00632CAB">
            <w:pPr>
              <w:ind w:right="227"/>
              <w:jc w:val="right"/>
              <w:rPr>
                <w:rFonts w:ascii="Arial Narrow" w:hAnsi="Arial Narrow" w:cs="Arial Greek"/>
                <w:sz w:val="16"/>
                <w:szCs w:val="16"/>
              </w:rPr>
            </w:pPr>
            <w:r>
              <w:rPr>
                <w:rFonts w:ascii="Arial Narrow" w:hAnsi="Arial Narrow" w:cs="Arial Greek"/>
                <w:sz w:val="16"/>
                <w:szCs w:val="16"/>
              </w:rPr>
              <w:t>21.839</w:t>
            </w:r>
          </w:p>
        </w:tc>
        <w:tc>
          <w:tcPr>
            <w:tcW w:w="1136"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25.</w:t>
            </w:r>
            <w:r w:rsidR="00632CAB">
              <w:rPr>
                <w:rFonts w:ascii="Arial Narrow" w:hAnsi="Arial Narrow" w:cs="Arial Greek"/>
                <w:sz w:val="16"/>
                <w:szCs w:val="16"/>
              </w:rPr>
              <w:t>680</w:t>
            </w:r>
          </w:p>
        </w:tc>
        <w:tc>
          <w:tcPr>
            <w:tcW w:w="133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w:t>
            </w:r>
            <w:r w:rsidR="00632CAB">
              <w:rPr>
                <w:rFonts w:ascii="Arial Narrow" w:hAnsi="Arial Narrow" w:cs="Arial Greek"/>
                <w:b/>
                <w:bCs/>
                <w:sz w:val="16"/>
                <w:szCs w:val="16"/>
              </w:rPr>
              <w:t>7.519</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4</w:t>
            </w:r>
            <w:r w:rsidR="00632CAB">
              <w:rPr>
                <w:rFonts w:ascii="Arial Narrow" w:hAnsi="Arial Narrow" w:cs="Arial Greek"/>
                <w:sz w:val="16"/>
                <w:szCs w:val="16"/>
              </w:rPr>
              <w:t>15</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4.</w:t>
            </w:r>
            <w:r w:rsidR="00632CAB">
              <w:rPr>
                <w:rFonts w:ascii="Arial Narrow" w:hAnsi="Arial Narrow" w:cs="Arial Greek"/>
                <w:sz w:val="16"/>
                <w:szCs w:val="16"/>
              </w:rPr>
              <w:t>400</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4.</w:t>
            </w:r>
            <w:r w:rsidR="00632CAB">
              <w:rPr>
                <w:rFonts w:ascii="Arial Narrow" w:hAnsi="Arial Narrow" w:cs="Arial Greek"/>
                <w:b/>
                <w:bCs/>
                <w:sz w:val="16"/>
                <w:szCs w:val="16"/>
              </w:rPr>
              <w:t>814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5</w:t>
            </w:r>
            <w:r w:rsidR="00632CAB">
              <w:rPr>
                <w:rFonts w:ascii="Arial Narrow" w:hAnsi="Arial Narrow" w:cs="Arial Greek"/>
                <w:b/>
                <w:bCs/>
                <w:sz w:val="16"/>
                <w:szCs w:val="16"/>
              </w:rPr>
              <w:t>2.334</w:t>
            </w:r>
          </w:p>
        </w:tc>
      </w:tr>
      <w:tr w:rsidR="00632CAB"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32CAB" w:rsidRPr="009A6179" w:rsidRDefault="00632CAB" w:rsidP="00632CAB">
            <w:pPr>
              <w:ind w:firstLine="284"/>
              <w:rPr>
                <w:rFonts w:ascii="Arial Narrow" w:hAnsi="Arial Narrow"/>
                <w:sz w:val="16"/>
                <w:szCs w:val="16"/>
              </w:rPr>
            </w:pPr>
            <w:r>
              <w:rPr>
                <w:rFonts w:ascii="Arial Narrow" w:hAnsi="Arial Narrow"/>
                <w:sz w:val="16"/>
                <w:szCs w:val="16"/>
              </w:rPr>
              <w:t>2017*</w:t>
            </w:r>
          </w:p>
        </w:tc>
        <w:tc>
          <w:tcPr>
            <w:tcW w:w="1136" w:type="dxa"/>
            <w:tcBorders>
              <w:top w:val="nil"/>
              <w:left w:val="nil"/>
              <w:bottom w:val="nil"/>
              <w:right w:val="nil"/>
            </w:tcBorders>
            <w:tcMar>
              <w:left w:w="28" w:type="dxa"/>
              <w:right w:w="28" w:type="dxa"/>
            </w:tcMar>
            <w:vAlign w:val="center"/>
          </w:tcPr>
          <w:p w:rsidR="00632CAB" w:rsidRDefault="00632CAB" w:rsidP="00632CAB">
            <w:pPr>
              <w:ind w:right="227"/>
              <w:jc w:val="right"/>
              <w:rPr>
                <w:rFonts w:ascii="Arial Narrow" w:hAnsi="Arial Narrow" w:cs="Arial Greek"/>
                <w:sz w:val="16"/>
                <w:szCs w:val="16"/>
              </w:rPr>
            </w:pPr>
            <w:r>
              <w:rPr>
                <w:rFonts w:ascii="Arial Narrow" w:hAnsi="Arial Narrow" w:cs="Arial Greek"/>
                <w:sz w:val="16"/>
                <w:szCs w:val="16"/>
              </w:rPr>
              <w:t>20.288</w:t>
            </w:r>
          </w:p>
        </w:tc>
        <w:tc>
          <w:tcPr>
            <w:tcW w:w="1136" w:type="dxa"/>
            <w:tcBorders>
              <w:top w:val="nil"/>
              <w:left w:val="nil"/>
              <w:bottom w:val="nil"/>
              <w:right w:val="nil"/>
            </w:tcBorders>
            <w:shd w:val="clear" w:color="auto" w:fill="auto"/>
            <w:tcMar>
              <w:left w:w="28" w:type="dxa"/>
              <w:right w:w="28" w:type="dxa"/>
            </w:tcMar>
            <w:vAlign w:val="center"/>
          </w:tcPr>
          <w:p w:rsidR="00632CAB" w:rsidRDefault="00632CAB" w:rsidP="00632CAB">
            <w:pPr>
              <w:ind w:right="227"/>
              <w:jc w:val="right"/>
              <w:rPr>
                <w:rFonts w:ascii="Arial Narrow" w:hAnsi="Arial Narrow" w:cs="Arial Greek"/>
                <w:sz w:val="16"/>
                <w:szCs w:val="16"/>
              </w:rPr>
            </w:pPr>
            <w:r>
              <w:rPr>
                <w:rFonts w:ascii="Arial Narrow" w:hAnsi="Arial Narrow" w:cs="Arial Greek"/>
                <w:sz w:val="16"/>
                <w:szCs w:val="16"/>
              </w:rPr>
              <w:t>26.917</w:t>
            </w:r>
          </w:p>
        </w:tc>
        <w:tc>
          <w:tcPr>
            <w:tcW w:w="1333" w:type="dxa"/>
            <w:tcBorders>
              <w:top w:val="nil"/>
              <w:left w:val="nil"/>
              <w:bottom w:val="nil"/>
              <w:right w:val="nil"/>
            </w:tcBorders>
            <w:shd w:val="clear" w:color="auto" w:fill="auto"/>
            <w:tcMar>
              <w:left w:w="28" w:type="dxa"/>
              <w:right w:w="28" w:type="dxa"/>
            </w:tcMar>
            <w:vAlign w:val="center"/>
          </w:tcPr>
          <w:p w:rsidR="00632CAB" w:rsidRDefault="00632CAB" w:rsidP="00632CAB">
            <w:pPr>
              <w:ind w:right="227"/>
              <w:jc w:val="right"/>
              <w:rPr>
                <w:rFonts w:ascii="Arial Narrow" w:hAnsi="Arial Narrow" w:cs="Arial Greek"/>
                <w:b/>
                <w:bCs/>
                <w:sz w:val="16"/>
                <w:szCs w:val="16"/>
              </w:rPr>
            </w:pPr>
            <w:r>
              <w:rPr>
                <w:rFonts w:ascii="Arial Narrow" w:hAnsi="Arial Narrow" w:cs="Arial Greek"/>
                <w:b/>
                <w:bCs/>
                <w:sz w:val="16"/>
                <w:szCs w:val="16"/>
              </w:rPr>
              <w:t>47.205</w:t>
            </w:r>
          </w:p>
        </w:tc>
        <w:tc>
          <w:tcPr>
            <w:tcW w:w="1143" w:type="dxa"/>
            <w:tcBorders>
              <w:top w:val="nil"/>
              <w:left w:val="nil"/>
              <w:bottom w:val="nil"/>
              <w:right w:val="nil"/>
            </w:tcBorders>
            <w:shd w:val="clear" w:color="auto" w:fill="auto"/>
            <w:tcMar>
              <w:left w:w="28" w:type="dxa"/>
              <w:right w:w="28" w:type="dxa"/>
            </w:tcMar>
            <w:vAlign w:val="center"/>
          </w:tcPr>
          <w:p w:rsidR="00632CAB" w:rsidRDefault="00632CAB" w:rsidP="00632CAB">
            <w:pPr>
              <w:ind w:right="227"/>
              <w:jc w:val="right"/>
              <w:rPr>
                <w:rFonts w:ascii="Arial Narrow" w:hAnsi="Arial Narrow" w:cs="Arial Greek"/>
                <w:sz w:val="16"/>
                <w:szCs w:val="16"/>
              </w:rPr>
            </w:pPr>
            <w:r>
              <w:rPr>
                <w:rFonts w:ascii="Arial Narrow" w:hAnsi="Arial Narrow" w:cs="Arial Greek"/>
                <w:sz w:val="16"/>
                <w:szCs w:val="16"/>
              </w:rPr>
              <w:t>510</w:t>
            </w:r>
          </w:p>
        </w:tc>
        <w:tc>
          <w:tcPr>
            <w:tcW w:w="1143" w:type="dxa"/>
            <w:tcBorders>
              <w:top w:val="nil"/>
              <w:left w:val="nil"/>
              <w:bottom w:val="nil"/>
              <w:right w:val="nil"/>
            </w:tcBorders>
            <w:shd w:val="clear" w:color="auto" w:fill="auto"/>
            <w:tcMar>
              <w:left w:w="28" w:type="dxa"/>
              <w:right w:w="28" w:type="dxa"/>
            </w:tcMar>
            <w:vAlign w:val="center"/>
          </w:tcPr>
          <w:p w:rsidR="00632CAB" w:rsidRDefault="00632CAB" w:rsidP="00632CAB">
            <w:pPr>
              <w:ind w:right="227"/>
              <w:jc w:val="right"/>
              <w:rPr>
                <w:rFonts w:ascii="Arial Narrow" w:hAnsi="Arial Narrow" w:cs="Arial Greek"/>
                <w:sz w:val="16"/>
                <w:szCs w:val="16"/>
              </w:rPr>
            </w:pPr>
            <w:r>
              <w:rPr>
                <w:rFonts w:ascii="Arial Narrow" w:hAnsi="Arial Narrow" w:cs="Arial Greek"/>
                <w:sz w:val="16"/>
                <w:szCs w:val="16"/>
              </w:rPr>
              <w:t>4.3</w:t>
            </w:r>
            <w:r w:rsidR="0067659C">
              <w:rPr>
                <w:rFonts w:ascii="Arial Narrow" w:hAnsi="Arial Narrow" w:cs="Arial Greek"/>
                <w:sz w:val="16"/>
                <w:szCs w:val="16"/>
              </w:rPr>
              <w:t>40</w:t>
            </w:r>
          </w:p>
        </w:tc>
        <w:tc>
          <w:tcPr>
            <w:tcW w:w="1143" w:type="dxa"/>
            <w:tcBorders>
              <w:top w:val="nil"/>
              <w:left w:val="nil"/>
              <w:bottom w:val="nil"/>
              <w:right w:val="nil"/>
            </w:tcBorders>
            <w:shd w:val="clear" w:color="auto" w:fill="auto"/>
            <w:tcMar>
              <w:left w:w="28" w:type="dxa"/>
              <w:right w:w="28" w:type="dxa"/>
            </w:tcMar>
            <w:vAlign w:val="center"/>
          </w:tcPr>
          <w:p w:rsidR="00632CAB" w:rsidRDefault="00632CAB" w:rsidP="0067659C">
            <w:pPr>
              <w:ind w:right="227"/>
              <w:jc w:val="right"/>
              <w:rPr>
                <w:rFonts w:ascii="Arial Narrow" w:hAnsi="Arial Narrow" w:cs="Arial Greek"/>
                <w:b/>
                <w:bCs/>
                <w:sz w:val="16"/>
                <w:szCs w:val="16"/>
              </w:rPr>
            </w:pPr>
            <w:r>
              <w:rPr>
                <w:rFonts w:ascii="Arial Narrow" w:hAnsi="Arial Narrow" w:cs="Arial Greek"/>
                <w:b/>
                <w:bCs/>
                <w:sz w:val="16"/>
                <w:szCs w:val="16"/>
              </w:rPr>
              <w:t>4.8</w:t>
            </w:r>
            <w:r w:rsidR="0067659C">
              <w:rPr>
                <w:rFonts w:ascii="Arial Narrow" w:hAnsi="Arial Narrow" w:cs="Arial Greek"/>
                <w:b/>
                <w:bCs/>
                <w:sz w:val="16"/>
                <w:szCs w:val="16"/>
              </w:rPr>
              <w:t>50</w:t>
            </w:r>
          </w:p>
        </w:tc>
        <w:tc>
          <w:tcPr>
            <w:tcW w:w="1104" w:type="dxa"/>
            <w:tcBorders>
              <w:top w:val="nil"/>
              <w:left w:val="nil"/>
              <w:bottom w:val="nil"/>
              <w:right w:val="single" w:sz="6" w:space="0" w:color="auto"/>
            </w:tcBorders>
            <w:shd w:val="clear" w:color="auto" w:fill="auto"/>
            <w:tcMar>
              <w:left w:w="28" w:type="dxa"/>
              <w:right w:w="28" w:type="dxa"/>
            </w:tcMar>
            <w:vAlign w:val="center"/>
          </w:tcPr>
          <w:p w:rsidR="00632CAB" w:rsidRDefault="00632CAB" w:rsidP="0067659C">
            <w:pPr>
              <w:ind w:right="227"/>
              <w:jc w:val="right"/>
              <w:rPr>
                <w:rFonts w:ascii="Arial Narrow" w:hAnsi="Arial Narrow" w:cs="Arial Greek"/>
                <w:b/>
                <w:bCs/>
                <w:sz w:val="16"/>
                <w:szCs w:val="16"/>
              </w:rPr>
            </w:pPr>
            <w:r>
              <w:rPr>
                <w:rFonts w:ascii="Arial Narrow" w:hAnsi="Arial Narrow" w:cs="Arial Greek"/>
                <w:b/>
                <w:bCs/>
                <w:sz w:val="16"/>
                <w:szCs w:val="16"/>
              </w:rPr>
              <w:t>52.0</w:t>
            </w:r>
            <w:r w:rsidR="0067659C">
              <w:rPr>
                <w:rFonts w:ascii="Arial Narrow" w:hAnsi="Arial Narrow" w:cs="Arial Greek"/>
                <w:b/>
                <w:bCs/>
                <w:sz w:val="16"/>
                <w:szCs w:val="16"/>
              </w:rPr>
              <w:t>55</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6D0F13" w:rsidRDefault="00632CAB" w:rsidP="00632CAB">
            <w:pPr>
              <w:ind w:firstLine="284"/>
              <w:rPr>
                <w:rFonts w:ascii="Arial Narrow" w:hAnsi="Arial Narrow"/>
                <w:sz w:val="16"/>
                <w:szCs w:val="16"/>
                <w:lang w:val="en-US"/>
              </w:rPr>
            </w:pPr>
            <w:r>
              <w:rPr>
                <w:rFonts w:ascii="Arial Narrow" w:hAnsi="Arial Narrow"/>
                <w:sz w:val="16"/>
                <w:szCs w:val="16"/>
                <w:lang w:val="en-US"/>
              </w:rPr>
              <w:t>201</w:t>
            </w:r>
            <w:r>
              <w:rPr>
                <w:rFonts w:ascii="Arial Narrow" w:hAnsi="Arial Narrow"/>
                <w:sz w:val="16"/>
                <w:szCs w:val="16"/>
              </w:rPr>
              <w:t>8</w:t>
            </w:r>
            <w:r w:rsidR="006D0FB1">
              <w:rPr>
                <w:rFonts w:ascii="Arial Narrow" w:hAnsi="Arial Narrow"/>
                <w:sz w:val="16"/>
                <w:szCs w:val="16"/>
                <w:lang w:val="en-US"/>
              </w:rPr>
              <w:t>**</w:t>
            </w:r>
          </w:p>
        </w:tc>
        <w:tc>
          <w:tcPr>
            <w:tcW w:w="1136" w:type="dxa"/>
            <w:tcBorders>
              <w:top w:val="nil"/>
              <w:left w:val="nil"/>
              <w:bottom w:val="nil"/>
              <w:right w:val="nil"/>
            </w:tcBorders>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20.</w:t>
            </w:r>
            <w:r w:rsidR="00632CAB">
              <w:rPr>
                <w:rFonts w:ascii="Arial Narrow" w:hAnsi="Arial Narrow" w:cs="Arial Greek"/>
                <w:sz w:val="16"/>
                <w:szCs w:val="16"/>
              </w:rPr>
              <w:t>7</w:t>
            </w:r>
            <w:r w:rsidR="0067659C">
              <w:rPr>
                <w:rFonts w:ascii="Arial Narrow" w:hAnsi="Arial Narrow" w:cs="Arial Greek"/>
                <w:sz w:val="16"/>
                <w:szCs w:val="16"/>
              </w:rPr>
              <w:t>66</w:t>
            </w:r>
          </w:p>
        </w:tc>
        <w:tc>
          <w:tcPr>
            <w:tcW w:w="1136" w:type="dxa"/>
            <w:tcBorders>
              <w:top w:val="nil"/>
              <w:left w:val="nil"/>
              <w:bottom w:val="nil"/>
              <w:right w:val="nil"/>
            </w:tcBorders>
            <w:shd w:val="clear" w:color="auto" w:fill="auto"/>
            <w:tcMar>
              <w:left w:w="28" w:type="dxa"/>
              <w:right w:w="28" w:type="dxa"/>
            </w:tcMar>
            <w:vAlign w:val="center"/>
          </w:tcPr>
          <w:p w:rsidR="006D0FB1" w:rsidRDefault="00632CAB" w:rsidP="00632CAB">
            <w:pPr>
              <w:ind w:right="227"/>
              <w:jc w:val="right"/>
              <w:rPr>
                <w:rFonts w:ascii="Arial Narrow" w:hAnsi="Arial Narrow" w:cs="Arial Greek"/>
                <w:sz w:val="16"/>
                <w:szCs w:val="16"/>
              </w:rPr>
            </w:pPr>
            <w:r>
              <w:rPr>
                <w:rFonts w:ascii="Arial Narrow" w:hAnsi="Arial Narrow" w:cs="Arial Greek"/>
                <w:sz w:val="16"/>
                <w:szCs w:val="16"/>
              </w:rPr>
              <w:t>27.3</w:t>
            </w:r>
            <w:r w:rsidR="0067659C">
              <w:rPr>
                <w:rFonts w:ascii="Arial Narrow" w:hAnsi="Arial Narrow" w:cs="Arial Greek"/>
                <w:sz w:val="16"/>
                <w:szCs w:val="16"/>
              </w:rPr>
              <w:t>90</w:t>
            </w:r>
          </w:p>
        </w:tc>
        <w:tc>
          <w:tcPr>
            <w:tcW w:w="1333" w:type="dxa"/>
            <w:tcBorders>
              <w:top w:val="nil"/>
              <w:left w:val="nil"/>
              <w:bottom w:val="nil"/>
              <w:right w:val="nil"/>
            </w:tcBorders>
            <w:shd w:val="clear" w:color="auto" w:fill="auto"/>
            <w:tcMar>
              <w:left w:w="28" w:type="dxa"/>
              <w:right w:w="28" w:type="dxa"/>
            </w:tcMar>
            <w:vAlign w:val="center"/>
          </w:tcPr>
          <w:p w:rsidR="006D0FB1" w:rsidRDefault="00632CAB" w:rsidP="00632CAB">
            <w:pPr>
              <w:ind w:right="227"/>
              <w:jc w:val="right"/>
              <w:rPr>
                <w:rFonts w:ascii="Arial Narrow" w:hAnsi="Arial Narrow" w:cs="Arial Greek"/>
                <w:b/>
                <w:bCs/>
                <w:sz w:val="16"/>
                <w:szCs w:val="16"/>
              </w:rPr>
            </w:pPr>
            <w:r>
              <w:rPr>
                <w:rFonts w:ascii="Arial Narrow" w:hAnsi="Arial Narrow" w:cs="Arial Greek"/>
                <w:b/>
                <w:bCs/>
                <w:sz w:val="16"/>
                <w:szCs w:val="16"/>
              </w:rPr>
              <w:t>48.1</w:t>
            </w:r>
            <w:r w:rsidR="0067659C">
              <w:rPr>
                <w:rFonts w:ascii="Arial Narrow" w:hAnsi="Arial Narrow" w:cs="Arial Greek"/>
                <w:b/>
                <w:bCs/>
                <w:sz w:val="16"/>
                <w:szCs w:val="16"/>
              </w:rPr>
              <w:t>56</w:t>
            </w:r>
          </w:p>
        </w:tc>
        <w:tc>
          <w:tcPr>
            <w:tcW w:w="1143" w:type="dxa"/>
            <w:tcBorders>
              <w:top w:val="nil"/>
              <w:left w:val="nil"/>
              <w:bottom w:val="nil"/>
              <w:right w:val="nil"/>
            </w:tcBorders>
            <w:shd w:val="clear" w:color="auto" w:fill="auto"/>
            <w:tcMar>
              <w:left w:w="28" w:type="dxa"/>
              <w:right w:w="28" w:type="dxa"/>
            </w:tcMar>
            <w:vAlign w:val="center"/>
          </w:tcPr>
          <w:p w:rsidR="006D0FB1" w:rsidRDefault="00632CAB" w:rsidP="00632CAB">
            <w:pPr>
              <w:ind w:right="227"/>
              <w:jc w:val="right"/>
              <w:rPr>
                <w:rFonts w:ascii="Arial Narrow" w:hAnsi="Arial Narrow" w:cs="Arial Greek"/>
                <w:sz w:val="16"/>
                <w:szCs w:val="16"/>
              </w:rPr>
            </w:pPr>
            <w:r>
              <w:rPr>
                <w:rFonts w:ascii="Arial Narrow" w:hAnsi="Arial Narrow" w:cs="Arial Greek"/>
                <w:sz w:val="16"/>
                <w:szCs w:val="16"/>
              </w:rPr>
              <w:t>331</w:t>
            </w:r>
          </w:p>
        </w:tc>
        <w:tc>
          <w:tcPr>
            <w:tcW w:w="1143" w:type="dxa"/>
            <w:tcBorders>
              <w:top w:val="nil"/>
              <w:left w:val="nil"/>
              <w:bottom w:val="nil"/>
              <w:right w:val="nil"/>
            </w:tcBorders>
            <w:shd w:val="clear" w:color="auto" w:fill="auto"/>
            <w:tcMar>
              <w:left w:w="28" w:type="dxa"/>
              <w:right w:w="28" w:type="dxa"/>
            </w:tcMar>
            <w:vAlign w:val="center"/>
          </w:tcPr>
          <w:p w:rsidR="006D0FB1" w:rsidRDefault="00632CAB" w:rsidP="0067659C">
            <w:pPr>
              <w:ind w:right="227"/>
              <w:jc w:val="right"/>
              <w:rPr>
                <w:rFonts w:ascii="Arial Narrow" w:hAnsi="Arial Narrow" w:cs="Arial Greek"/>
                <w:sz w:val="16"/>
                <w:szCs w:val="16"/>
              </w:rPr>
            </w:pPr>
            <w:r>
              <w:rPr>
                <w:rFonts w:ascii="Arial Narrow" w:hAnsi="Arial Narrow" w:cs="Arial Greek"/>
                <w:sz w:val="16"/>
                <w:szCs w:val="16"/>
              </w:rPr>
              <w:t>3.</w:t>
            </w:r>
            <w:r w:rsidR="0067659C">
              <w:rPr>
                <w:rFonts w:ascii="Arial Narrow" w:hAnsi="Arial Narrow" w:cs="Arial Greek"/>
                <w:sz w:val="16"/>
                <w:szCs w:val="16"/>
              </w:rPr>
              <w:t>942</w:t>
            </w:r>
          </w:p>
        </w:tc>
        <w:tc>
          <w:tcPr>
            <w:tcW w:w="1143" w:type="dxa"/>
            <w:tcBorders>
              <w:top w:val="nil"/>
              <w:left w:val="nil"/>
              <w:bottom w:val="nil"/>
              <w:right w:val="nil"/>
            </w:tcBorders>
            <w:shd w:val="clear" w:color="auto" w:fill="auto"/>
            <w:tcMar>
              <w:left w:w="28" w:type="dxa"/>
              <w:right w:w="28" w:type="dxa"/>
            </w:tcMar>
            <w:vAlign w:val="center"/>
          </w:tcPr>
          <w:p w:rsidR="006D0FB1" w:rsidRDefault="00632CAB" w:rsidP="00632CAB">
            <w:pPr>
              <w:ind w:right="227"/>
              <w:jc w:val="right"/>
              <w:rPr>
                <w:rFonts w:ascii="Arial Narrow" w:hAnsi="Arial Narrow" w:cs="Arial Greek"/>
                <w:b/>
                <w:bCs/>
                <w:sz w:val="16"/>
                <w:szCs w:val="16"/>
              </w:rPr>
            </w:pPr>
            <w:r>
              <w:rPr>
                <w:rFonts w:ascii="Arial Narrow" w:hAnsi="Arial Narrow" w:cs="Arial Greek"/>
                <w:b/>
                <w:bCs/>
                <w:sz w:val="16"/>
                <w:szCs w:val="16"/>
              </w:rPr>
              <w:t>4.</w:t>
            </w:r>
            <w:r w:rsidR="0067659C">
              <w:rPr>
                <w:rFonts w:ascii="Arial Narrow" w:hAnsi="Arial Narrow" w:cs="Arial Greek"/>
                <w:b/>
                <w:bCs/>
                <w:sz w:val="16"/>
                <w:szCs w:val="16"/>
              </w:rPr>
              <w:t>273</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5</w:t>
            </w:r>
            <w:r w:rsidR="00632CAB">
              <w:rPr>
                <w:rFonts w:ascii="Arial Narrow" w:hAnsi="Arial Narrow" w:cs="Arial Greek"/>
                <w:b/>
                <w:bCs/>
                <w:sz w:val="16"/>
                <w:szCs w:val="16"/>
              </w:rPr>
              <w:t>2.</w:t>
            </w:r>
            <w:r w:rsidR="0067659C">
              <w:rPr>
                <w:rFonts w:ascii="Arial Narrow" w:hAnsi="Arial Narrow" w:cs="Arial Greek"/>
                <w:b/>
                <w:bCs/>
                <w:sz w:val="16"/>
                <w:szCs w:val="16"/>
              </w:rPr>
              <w:t>429</w:t>
            </w:r>
          </w:p>
        </w:tc>
      </w:tr>
      <w:tr w:rsidR="006D0FB1" w:rsidRPr="009A6179" w:rsidTr="00632CAB">
        <w:trPr>
          <w:trHeight w:val="452"/>
          <w:jc w:val="center"/>
        </w:trPr>
        <w:tc>
          <w:tcPr>
            <w:tcW w:w="9171" w:type="dxa"/>
            <w:gridSpan w:val="8"/>
            <w:tcBorders>
              <w:top w:val="nil"/>
              <w:left w:val="single" w:sz="6" w:space="0" w:color="auto"/>
              <w:bottom w:val="nil"/>
              <w:right w:val="single" w:sz="6" w:space="0" w:color="auto"/>
            </w:tcBorders>
            <w:shd w:val="clear" w:color="auto" w:fill="A6A6A6"/>
            <w:tcMar>
              <w:left w:w="28" w:type="dxa"/>
              <w:right w:w="28" w:type="dxa"/>
            </w:tcMar>
          </w:tcPr>
          <w:p w:rsidR="006D0FB1" w:rsidRPr="009A6179" w:rsidRDefault="006D0FB1" w:rsidP="00632CAB">
            <w:pPr>
              <w:spacing w:before="120" w:after="120"/>
              <w:jc w:val="center"/>
              <w:rPr>
                <w:rFonts w:ascii="Arial Narrow" w:hAnsi="Arial Narrow"/>
                <w:sz w:val="16"/>
                <w:szCs w:val="16"/>
              </w:rPr>
            </w:pPr>
            <w:r w:rsidRPr="009A6179">
              <w:rPr>
                <w:rFonts w:ascii="Arial Narrow" w:hAnsi="Arial Narrow"/>
                <w:b/>
                <w:sz w:val="16"/>
                <w:szCs w:val="16"/>
              </w:rPr>
              <w:t>Συμμετοχή στο σύνολο ανά κατηγορία  (%)</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2008</w:t>
            </w:r>
          </w:p>
        </w:tc>
        <w:tc>
          <w:tcPr>
            <w:tcW w:w="1136" w:type="dxa"/>
            <w:tcBorders>
              <w:top w:val="nil"/>
              <w:left w:val="nil"/>
              <w:bottom w:val="nil"/>
              <w:right w:val="nil"/>
            </w:tcBorders>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37,7</w:t>
            </w:r>
          </w:p>
        </w:tc>
        <w:tc>
          <w:tcPr>
            <w:tcW w:w="1136"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54,6</w:t>
            </w:r>
          </w:p>
        </w:tc>
        <w:tc>
          <w:tcPr>
            <w:tcW w:w="1333"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b/>
                <w:bCs/>
                <w:sz w:val="16"/>
                <w:szCs w:val="16"/>
                <w:lang w:val="en-US"/>
              </w:rPr>
            </w:pPr>
            <w:r>
              <w:rPr>
                <w:rFonts w:ascii="Arial Narrow" w:hAnsi="Arial Narrow" w:cs="Arial Greek"/>
                <w:b/>
                <w:bCs/>
                <w:sz w:val="16"/>
                <w:szCs w:val="16"/>
              </w:rPr>
              <w:t>92,3</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1,0</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6,6</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7,7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9A6179" w:rsidRDefault="006D0FB1" w:rsidP="00632CAB">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2009</w:t>
            </w:r>
          </w:p>
        </w:tc>
        <w:tc>
          <w:tcPr>
            <w:tcW w:w="1136" w:type="dxa"/>
            <w:tcBorders>
              <w:top w:val="nil"/>
              <w:left w:val="nil"/>
              <w:bottom w:val="nil"/>
              <w:right w:val="nil"/>
            </w:tcBorders>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40,1</w:t>
            </w:r>
          </w:p>
        </w:tc>
        <w:tc>
          <w:tcPr>
            <w:tcW w:w="1136"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52,9</w:t>
            </w:r>
          </w:p>
        </w:tc>
        <w:tc>
          <w:tcPr>
            <w:tcW w:w="1333"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b/>
                <w:bCs/>
                <w:sz w:val="16"/>
                <w:szCs w:val="16"/>
                <w:lang w:val="en-US"/>
              </w:rPr>
            </w:pPr>
            <w:r>
              <w:rPr>
                <w:rFonts w:ascii="Arial Narrow" w:hAnsi="Arial Narrow" w:cs="Arial Greek"/>
                <w:b/>
                <w:bCs/>
                <w:sz w:val="16"/>
                <w:szCs w:val="16"/>
              </w:rPr>
              <w:t>93,0</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6,5</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7,0</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9A6179" w:rsidRDefault="006D0FB1" w:rsidP="00632CAB">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2010</w:t>
            </w:r>
          </w:p>
        </w:tc>
        <w:tc>
          <w:tcPr>
            <w:tcW w:w="1136" w:type="dxa"/>
            <w:tcBorders>
              <w:top w:val="nil"/>
              <w:left w:val="nil"/>
              <w:bottom w:val="nil"/>
              <w:right w:val="nil"/>
            </w:tcBorders>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36,0</w:t>
            </w:r>
          </w:p>
        </w:tc>
        <w:tc>
          <w:tcPr>
            <w:tcW w:w="1136"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55,3</w:t>
            </w:r>
          </w:p>
        </w:tc>
        <w:tc>
          <w:tcPr>
            <w:tcW w:w="1333"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b/>
                <w:bCs/>
                <w:sz w:val="16"/>
                <w:szCs w:val="16"/>
                <w:lang w:val="en-US"/>
              </w:rPr>
            </w:pPr>
            <w:r>
              <w:rPr>
                <w:rFonts w:ascii="Arial Narrow" w:hAnsi="Arial Narrow" w:cs="Arial Greek"/>
                <w:b/>
                <w:bCs/>
                <w:sz w:val="16"/>
                <w:szCs w:val="16"/>
              </w:rPr>
              <w:t>91,3</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0,6</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8,2</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8,7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9A6179" w:rsidRDefault="006D0FB1" w:rsidP="00632CAB">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2011</w:t>
            </w:r>
          </w:p>
        </w:tc>
        <w:tc>
          <w:tcPr>
            <w:tcW w:w="1136" w:type="dxa"/>
            <w:tcBorders>
              <w:top w:val="nil"/>
              <w:left w:val="nil"/>
              <w:bottom w:val="nil"/>
              <w:right w:val="nil"/>
            </w:tcBorders>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36,6</w:t>
            </w:r>
          </w:p>
        </w:tc>
        <w:tc>
          <w:tcPr>
            <w:tcW w:w="1136"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51,6</w:t>
            </w:r>
          </w:p>
        </w:tc>
        <w:tc>
          <w:tcPr>
            <w:tcW w:w="1333"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b/>
                <w:bCs/>
                <w:sz w:val="16"/>
                <w:szCs w:val="16"/>
                <w:lang w:val="en-US"/>
              </w:rPr>
            </w:pPr>
            <w:r>
              <w:rPr>
                <w:rFonts w:ascii="Arial Narrow" w:hAnsi="Arial Narrow" w:cs="Arial Greek"/>
                <w:b/>
                <w:bCs/>
                <w:sz w:val="16"/>
                <w:szCs w:val="16"/>
              </w:rPr>
              <w:t>88,3</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11,2</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11,7</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9A6179" w:rsidRDefault="006D0FB1" w:rsidP="00632CAB">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2012</w:t>
            </w:r>
          </w:p>
        </w:tc>
        <w:tc>
          <w:tcPr>
            <w:tcW w:w="1136" w:type="dxa"/>
            <w:tcBorders>
              <w:top w:val="nil"/>
              <w:left w:val="nil"/>
              <w:bottom w:val="nil"/>
              <w:right w:val="nil"/>
            </w:tcBorders>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41,0</w:t>
            </w:r>
          </w:p>
        </w:tc>
        <w:tc>
          <w:tcPr>
            <w:tcW w:w="1136"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50,6</w:t>
            </w:r>
          </w:p>
        </w:tc>
        <w:tc>
          <w:tcPr>
            <w:tcW w:w="1333"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b/>
                <w:bCs/>
                <w:sz w:val="16"/>
                <w:szCs w:val="16"/>
                <w:lang w:val="en-US"/>
              </w:rPr>
            </w:pPr>
            <w:r>
              <w:rPr>
                <w:rFonts w:ascii="Arial Narrow" w:hAnsi="Arial Narrow" w:cs="Arial Greek"/>
                <w:b/>
                <w:bCs/>
                <w:sz w:val="16"/>
                <w:szCs w:val="16"/>
              </w:rPr>
              <w:t>91,6</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0,5</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7,9</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8,4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9A6179" w:rsidRDefault="006D0FB1" w:rsidP="00632CAB">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2013</w:t>
            </w:r>
          </w:p>
        </w:tc>
        <w:tc>
          <w:tcPr>
            <w:tcW w:w="1136" w:type="dxa"/>
            <w:tcBorders>
              <w:top w:val="nil"/>
              <w:left w:val="nil"/>
              <w:bottom w:val="nil"/>
              <w:right w:val="nil"/>
            </w:tcBorders>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42,5</w:t>
            </w:r>
          </w:p>
        </w:tc>
        <w:tc>
          <w:tcPr>
            <w:tcW w:w="1136"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52,1</w:t>
            </w:r>
          </w:p>
        </w:tc>
        <w:tc>
          <w:tcPr>
            <w:tcW w:w="1333"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b/>
                <w:bCs/>
                <w:sz w:val="16"/>
                <w:szCs w:val="16"/>
                <w:lang w:val="en-US"/>
              </w:rPr>
            </w:pPr>
            <w:r>
              <w:rPr>
                <w:rFonts w:ascii="Arial Narrow" w:hAnsi="Arial Narrow" w:cs="Arial Greek"/>
                <w:b/>
                <w:bCs/>
                <w:sz w:val="16"/>
                <w:szCs w:val="16"/>
              </w:rPr>
              <w:t>94,6</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0,4</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5,0</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5,4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9A6179" w:rsidRDefault="006D0FB1" w:rsidP="00632CAB">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2014</w:t>
            </w:r>
          </w:p>
        </w:tc>
        <w:tc>
          <w:tcPr>
            <w:tcW w:w="1136" w:type="dxa"/>
            <w:tcBorders>
              <w:top w:val="nil"/>
              <w:left w:val="nil"/>
              <w:bottom w:val="nil"/>
              <w:right w:val="nil"/>
            </w:tcBorders>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43,0</w:t>
            </w:r>
          </w:p>
        </w:tc>
        <w:tc>
          <w:tcPr>
            <w:tcW w:w="1136"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49,5</w:t>
            </w:r>
          </w:p>
        </w:tc>
        <w:tc>
          <w:tcPr>
            <w:tcW w:w="1333"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b/>
                <w:bCs/>
                <w:sz w:val="16"/>
                <w:szCs w:val="16"/>
                <w:lang w:val="en-US"/>
              </w:rPr>
            </w:pPr>
            <w:r>
              <w:rPr>
                <w:rFonts w:ascii="Arial Narrow" w:hAnsi="Arial Narrow" w:cs="Arial Greek"/>
                <w:b/>
                <w:bCs/>
                <w:sz w:val="16"/>
                <w:szCs w:val="16"/>
              </w:rPr>
              <w:t>92,6</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0,4</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7,0</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7,4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9A6179" w:rsidRDefault="006D0FB1" w:rsidP="00632CAB">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6D0F13" w:rsidRDefault="006D0FB1" w:rsidP="00632CAB">
            <w:pPr>
              <w:ind w:firstLine="284"/>
              <w:rPr>
                <w:rFonts w:ascii="Arial Narrow" w:hAnsi="Arial Narrow"/>
                <w:sz w:val="16"/>
                <w:szCs w:val="16"/>
                <w:lang w:val="en-US"/>
              </w:rPr>
            </w:pPr>
            <w:r w:rsidRPr="009A6179">
              <w:rPr>
                <w:rFonts w:ascii="Arial Narrow" w:hAnsi="Arial Narrow"/>
                <w:sz w:val="16"/>
                <w:szCs w:val="16"/>
              </w:rPr>
              <w:t>2015</w:t>
            </w:r>
          </w:p>
        </w:tc>
        <w:tc>
          <w:tcPr>
            <w:tcW w:w="1136" w:type="dxa"/>
            <w:tcBorders>
              <w:top w:val="nil"/>
              <w:left w:val="nil"/>
              <w:bottom w:val="nil"/>
              <w:right w:val="nil"/>
            </w:tcBorders>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41,7</w:t>
            </w:r>
          </w:p>
        </w:tc>
        <w:tc>
          <w:tcPr>
            <w:tcW w:w="1136"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49,8</w:t>
            </w:r>
          </w:p>
        </w:tc>
        <w:tc>
          <w:tcPr>
            <w:tcW w:w="1333"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b/>
                <w:bCs/>
                <w:sz w:val="16"/>
                <w:szCs w:val="16"/>
                <w:lang w:val="en-US"/>
              </w:rPr>
            </w:pPr>
            <w:r>
              <w:rPr>
                <w:rFonts w:ascii="Arial Narrow" w:hAnsi="Arial Narrow" w:cs="Arial Greek"/>
                <w:b/>
                <w:bCs/>
                <w:sz w:val="16"/>
                <w:szCs w:val="16"/>
              </w:rPr>
              <w:t>91,5</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0,9</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7,6</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8,5</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9A6179" w:rsidRDefault="006D0FB1" w:rsidP="00632CAB">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6D0F13" w:rsidRDefault="006D0FB1" w:rsidP="00632CAB">
            <w:pPr>
              <w:ind w:firstLine="284"/>
              <w:rPr>
                <w:rFonts w:ascii="Arial Narrow" w:hAnsi="Arial Narrow"/>
                <w:sz w:val="16"/>
                <w:szCs w:val="16"/>
                <w:lang w:val="en-US"/>
              </w:rPr>
            </w:pPr>
            <w:r w:rsidRPr="009A6179">
              <w:rPr>
                <w:rFonts w:ascii="Arial Narrow" w:hAnsi="Arial Narrow"/>
                <w:sz w:val="16"/>
                <w:szCs w:val="16"/>
              </w:rPr>
              <w:t>20</w:t>
            </w:r>
            <w:r>
              <w:rPr>
                <w:rFonts w:ascii="Arial Narrow" w:hAnsi="Arial Narrow"/>
                <w:sz w:val="16"/>
                <w:szCs w:val="16"/>
                <w:lang w:val="en-US"/>
              </w:rPr>
              <w:t>16</w:t>
            </w:r>
          </w:p>
        </w:tc>
        <w:tc>
          <w:tcPr>
            <w:tcW w:w="1136" w:type="dxa"/>
            <w:tcBorders>
              <w:top w:val="nil"/>
              <w:left w:val="nil"/>
              <w:bottom w:val="nil"/>
              <w:right w:val="nil"/>
            </w:tcBorders>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41,</w:t>
            </w:r>
            <w:r w:rsidR="00632CAB">
              <w:rPr>
                <w:rFonts w:ascii="Arial Narrow" w:hAnsi="Arial Narrow" w:cs="Arial Greek"/>
                <w:sz w:val="16"/>
                <w:szCs w:val="16"/>
              </w:rPr>
              <w:t>7</w:t>
            </w:r>
          </w:p>
        </w:tc>
        <w:tc>
          <w:tcPr>
            <w:tcW w:w="1136"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49,</w:t>
            </w:r>
            <w:r w:rsidR="00632CAB">
              <w:rPr>
                <w:rFonts w:ascii="Arial Narrow" w:hAnsi="Arial Narrow" w:cs="Arial Greek"/>
                <w:sz w:val="16"/>
                <w:szCs w:val="16"/>
              </w:rPr>
              <w:t>1</w:t>
            </w:r>
          </w:p>
        </w:tc>
        <w:tc>
          <w:tcPr>
            <w:tcW w:w="1333"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b/>
                <w:bCs/>
                <w:sz w:val="16"/>
                <w:szCs w:val="16"/>
                <w:lang w:val="en-US"/>
              </w:rPr>
            </w:pPr>
            <w:r>
              <w:rPr>
                <w:rFonts w:ascii="Arial Narrow" w:hAnsi="Arial Narrow" w:cs="Arial Greek"/>
                <w:b/>
                <w:bCs/>
                <w:sz w:val="16"/>
                <w:szCs w:val="16"/>
              </w:rPr>
              <w:t>90,8</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0,8</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sz w:val="16"/>
                <w:szCs w:val="16"/>
              </w:rPr>
            </w:pPr>
            <w:r>
              <w:rPr>
                <w:rFonts w:ascii="Arial Narrow" w:hAnsi="Arial Narrow" w:cs="Arial Greek"/>
                <w:sz w:val="16"/>
                <w:szCs w:val="16"/>
              </w:rPr>
              <w:t>8,4</w:t>
            </w:r>
          </w:p>
        </w:tc>
        <w:tc>
          <w:tcPr>
            <w:tcW w:w="1143" w:type="dxa"/>
            <w:tcBorders>
              <w:top w:val="nil"/>
              <w:left w:val="nil"/>
              <w:bottom w:val="nil"/>
              <w:right w:val="nil"/>
            </w:tcBorders>
            <w:shd w:val="clear" w:color="auto" w:fill="auto"/>
            <w:tcMar>
              <w:left w:w="28" w:type="dxa"/>
              <w:right w:w="28" w:type="dxa"/>
            </w:tcMar>
            <w:vAlign w:val="center"/>
          </w:tcPr>
          <w:p w:rsidR="006D0FB1" w:rsidRDefault="006D0FB1" w:rsidP="00632CAB">
            <w:pPr>
              <w:ind w:right="227"/>
              <w:jc w:val="right"/>
              <w:rPr>
                <w:rFonts w:ascii="Arial Narrow" w:hAnsi="Arial Narrow" w:cs="Arial Greek"/>
                <w:b/>
                <w:bCs/>
                <w:sz w:val="16"/>
                <w:szCs w:val="16"/>
              </w:rPr>
            </w:pPr>
            <w:r>
              <w:rPr>
                <w:rFonts w:ascii="Arial Narrow" w:hAnsi="Arial Narrow" w:cs="Arial Greek"/>
                <w:b/>
                <w:bCs/>
                <w:sz w:val="16"/>
                <w:szCs w:val="16"/>
              </w:rPr>
              <w:t>9,2</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9A6179" w:rsidRDefault="006D0FB1" w:rsidP="00632CAB">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Pr>
                <w:rFonts w:ascii="Arial Narrow" w:hAnsi="Arial Narrow"/>
                <w:sz w:val="16"/>
                <w:szCs w:val="16"/>
              </w:rPr>
              <w:t>201</w:t>
            </w:r>
            <w:r>
              <w:rPr>
                <w:rFonts w:ascii="Arial Narrow" w:hAnsi="Arial Narrow"/>
                <w:sz w:val="16"/>
                <w:szCs w:val="16"/>
                <w:lang w:val="en-US"/>
              </w:rPr>
              <w:t>7</w:t>
            </w:r>
            <w:r>
              <w:rPr>
                <w:rFonts w:ascii="Arial Narrow" w:hAnsi="Arial Narrow"/>
                <w:sz w:val="16"/>
                <w:szCs w:val="16"/>
              </w:rPr>
              <w:t>*</w:t>
            </w:r>
          </w:p>
        </w:tc>
        <w:tc>
          <w:tcPr>
            <w:tcW w:w="1136" w:type="dxa"/>
            <w:tcBorders>
              <w:top w:val="nil"/>
              <w:left w:val="nil"/>
              <w:bottom w:val="nil"/>
              <w:right w:val="nil"/>
            </w:tcBorders>
            <w:tcMar>
              <w:left w:w="28" w:type="dxa"/>
              <w:right w:w="28" w:type="dxa"/>
            </w:tcMar>
            <w:vAlign w:val="center"/>
          </w:tcPr>
          <w:p w:rsidR="006D0FB1" w:rsidRPr="005171E6" w:rsidRDefault="00632CAB" w:rsidP="00632CAB">
            <w:pPr>
              <w:ind w:right="227"/>
              <w:jc w:val="right"/>
              <w:rPr>
                <w:rFonts w:ascii="Arial Narrow" w:hAnsi="Arial Narrow" w:cs="Arial Greek"/>
                <w:sz w:val="16"/>
                <w:szCs w:val="16"/>
                <w:lang w:val="en-US"/>
              </w:rPr>
            </w:pPr>
            <w:r>
              <w:rPr>
                <w:rFonts w:ascii="Arial Narrow" w:hAnsi="Arial Narrow" w:cs="Arial Greek"/>
                <w:sz w:val="16"/>
                <w:szCs w:val="16"/>
              </w:rPr>
              <w:t>39,0</w:t>
            </w:r>
          </w:p>
        </w:tc>
        <w:tc>
          <w:tcPr>
            <w:tcW w:w="1136"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51,</w:t>
            </w:r>
            <w:r w:rsidR="00632CAB">
              <w:rPr>
                <w:rFonts w:ascii="Arial Narrow" w:hAnsi="Arial Narrow" w:cs="Arial Greek"/>
                <w:sz w:val="16"/>
                <w:szCs w:val="16"/>
              </w:rPr>
              <w:t>7</w:t>
            </w:r>
          </w:p>
        </w:tc>
        <w:tc>
          <w:tcPr>
            <w:tcW w:w="1333" w:type="dxa"/>
            <w:tcBorders>
              <w:top w:val="nil"/>
              <w:left w:val="nil"/>
              <w:bottom w:val="nil"/>
              <w:right w:val="nil"/>
            </w:tcBorders>
            <w:shd w:val="clear" w:color="auto" w:fill="auto"/>
            <w:tcMar>
              <w:left w:w="28" w:type="dxa"/>
              <w:right w:w="28" w:type="dxa"/>
            </w:tcMar>
            <w:vAlign w:val="center"/>
          </w:tcPr>
          <w:p w:rsidR="006D0FB1" w:rsidRPr="005171E6" w:rsidRDefault="006D0FB1" w:rsidP="00632CAB">
            <w:pPr>
              <w:ind w:right="227"/>
              <w:jc w:val="right"/>
              <w:rPr>
                <w:rFonts w:ascii="Arial Narrow" w:hAnsi="Arial Narrow" w:cs="Arial Greek"/>
                <w:b/>
                <w:bCs/>
                <w:sz w:val="16"/>
                <w:szCs w:val="16"/>
                <w:lang w:val="en-US"/>
              </w:rPr>
            </w:pPr>
            <w:r>
              <w:rPr>
                <w:rFonts w:ascii="Arial Narrow" w:hAnsi="Arial Narrow" w:cs="Arial Greek"/>
                <w:b/>
                <w:bCs/>
                <w:sz w:val="16"/>
                <w:szCs w:val="16"/>
              </w:rPr>
              <w:t>9</w:t>
            </w:r>
            <w:r w:rsidR="00632CAB">
              <w:rPr>
                <w:rFonts w:ascii="Arial Narrow" w:hAnsi="Arial Narrow" w:cs="Arial Greek"/>
                <w:b/>
                <w:bCs/>
                <w:sz w:val="16"/>
                <w:szCs w:val="16"/>
              </w:rPr>
              <w:t>0,7</w:t>
            </w:r>
          </w:p>
        </w:tc>
        <w:tc>
          <w:tcPr>
            <w:tcW w:w="1143" w:type="dxa"/>
            <w:tcBorders>
              <w:top w:val="nil"/>
              <w:left w:val="nil"/>
              <w:bottom w:val="nil"/>
              <w:right w:val="nil"/>
            </w:tcBorders>
            <w:shd w:val="clear" w:color="auto" w:fill="auto"/>
            <w:tcMar>
              <w:left w:w="28" w:type="dxa"/>
              <w:right w:w="28" w:type="dxa"/>
            </w:tcMar>
            <w:vAlign w:val="center"/>
          </w:tcPr>
          <w:p w:rsidR="006D0FB1" w:rsidRDefault="00632CAB" w:rsidP="00632CAB">
            <w:pPr>
              <w:ind w:right="227"/>
              <w:jc w:val="right"/>
              <w:rPr>
                <w:rFonts w:ascii="Arial Narrow" w:hAnsi="Arial Narrow" w:cs="Arial Greek"/>
                <w:sz w:val="16"/>
                <w:szCs w:val="16"/>
              </w:rPr>
            </w:pPr>
            <w:r>
              <w:rPr>
                <w:rFonts w:ascii="Arial Narrow" w:hAnsi="Arial Narrow" w:cs="Arial Greek"/>
                <w:sz w:val="16"/>
                <w:szCs w:val="16"/>
              </w:rPr>
              <w:t>1,0</w:t>
            </w:r>
          </w:p>
        </w:tc>
        <w:tc>
          <w:tcPr>
            <w:tcW w:w="1143" w:type="dxa"/>
            <w:tcBorders>
              <w:top w:val="nil"/>
              <w:left w:val="nil"/>
              <w:bottom w:val="nil"/>
              <w:right w:val="nil"/>
            </w:tcBorders>
            <w:shd w:val="clear" w:color="auto" w:fill="auto"/>
            <w:tcMar>
              <w:left w:w="28" w:type="dxa"/>
              <w:right w:w="28" w:type="dxa"/>
            </w:tcMar>
            <w:vAlign w:val="center"/>
          </w:tcPr>
          <w:p w:rsidR="006D0FB1" w:rsidRDefault="00632CAB" w:rsidP="00632CAB">
            <w:pPr>
              <w:ind w:right="227"/>
              <w:jc w:val="right"/>
              <w:rPr>
                <w:rFonts w:ascii="Arial Narrow" w:hAnsi="Arial Narrow" w:cs="Arial Greek"/>
                <w:sz w:val="16"/>
                <w:szCs w:val="16"/>
              </w:rPr>
            </w:pPr>
            <w:r>
              <w:rPr>
                <w:rFonts w:ascii="Arial Narrow" w:hAnsi="Arial Narrow" w:cs="Arial Greek"/>
                <w:sz w:val="16"/>
                <w:szCs w:val="16"/>
              </w:rPr>
              <w:t>8,3</w:t>
            </w:r>
          </w:p>
        </w:tc>
        <w:tc>
          <w:tcPr>
            <w:tcW w:w="1143" w:type="dxa"/>
            <w:tcBorders>
              <w:top w:val="nil"/>
              <w:left w:val="nil"/>
              <w:bottom w:val="nil"/>
              <w:right w:val="nil"/>
            </w:tcBorders>
            <w:shd w:val="clear" w:color="auto" w:fill="auto"/>
            <w:tcMar>
              <w:left w:w="28" w:type="dxa"/>
              <w:right w:w="28" w:type="dxa"/>
            </w:tcMar>
            <w:vAlign w:val="center"/>
          </w:tcPr>
          <w:p w:rsidR="006D0FB1" w:rsidRDefault="00632CAB" w:rsidP="00632CAB">
            <w:pPr>
              <w:ind w:right="227"/>
              <w:jc w:val="right"/>
              <w:rPr>
                <w:rFonts w:ascii="Arial Narrow" w:hAnsi="Arial Narrow" w:cs="Arial Greek"/>
                <w:b/>
                <w:bCs/>
                <w:sz w:val="16"/>
                <w:szCs w:val="16"/>
              </w:rPr>
            </w:pPr>
            <w:r>
              <w:rPr>
                <w:rFonts w:ascii="Arial Narrow" w:hAnsi="Arial Narrow" w:cs="Arial Greek"/>
                <w:b/>
                <w:bCs/>
                <w:sz w:val="16"/>
                <w:szCs w:val="16"/>
              </w:rPr>
              <w:t>9,3</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9A6179" w:rsidRDefault="006D0FB1" w:rsidP="00632CAB">
            <w:pPr>
              <w:ind w:right="227"/>
              <w:jc w:val="right"/>
              <w:rPr>
                <w:rFonts w:ascii="Arial Narrow" w:hAnsi="Arial Narrow" w:cs="Arial Greek"/>
                <w:b/>
                <w:bCs/>
                <w:sz w:val="16"/>
                <w:szCs w:val="16"/>
              </w:rPr>
            </w:pPr>
            <w:r w:rsidRPr="009A6179">
              <w:rPr>
                <w:rFonts w:ascii="Arial Narrow" w:hAnsi="Arial Narrow" w:cs="Arial Greek"/>
                <w:b/>
                <w:bCs/>
                <w:sz w:val="16"/>
                <w:szCs w:val="16"/>
              </w:rPr>
              <w:t>100,0</w:t>
            </w:r>
          </w:p>
        </w:tc>
      </w:tr>
      <w:tr w:rsidR="00632CAB"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32CAB" w:rsidRDefault="00632CAB" w:rsidP="00632CAB">
            <w:pPr>
              <w:ind w:firstLine="284"/>
              <w:rPr>
                <w:rFonts w:ascii="Arial Narrow" w:hAnsi="Arial Narrow"/>
                <w:sz w:val="16"/>
                <w:szCs w:val="16"/>
              </w:rPr>
            </w:pPr>
            <w:r>
              <w:rPr>
                <w:rFonts w:ascii="Arial Narrow" w:hAnsi="Arial Narrow"/>
                <w:sz w:val="16"/>
                <w:szCs w:val="16"/>
              </w:rPr>
              <w:t>2018**</w:t>
            </w:r>
          </w:p>
        </w:tc>
        <w:tc>
          <w:tcPr>
            <w:tcW w:w="1136" w:type="dxa"/>
            <w:tcBorders>
              <w:top w:val="nil"/>
              <w:left w:val="nil"/>
              <w:bottom w:val="nil"/>
              <w:right w:val="nil"/>
            </w:tcBorders>
            <w:tcMar>
              <w:left w:w="28" w:type="dxa"/>
              <w:right w:w="28" w:type="dxa"/>
            </w:tcMar>
            <w:vAlign w:val="center"/>
          </w:tcPr>
          <w:p w:rsidR="00632CAB" w:rsidRDefault="00632CAB" w:rsidP="00632CAB">
            <w:pPr>
              <w:ind w:right="227"/>
              <w:jc w:val="right"/>
              <w:rPr>
                <w:rFonts w:ascii="Arial Narrow" w:hAnsi="Arial Narrow" w:cs="Arial Greek"/>
                <w:sz w:val="16"/>
                <w:szCs w:val="16"/>
              </w:rPr>
            </w:pPr>
            <w:r>
              <w:rPr>
                <w:rFonts w:ascii="Arial Narrow" w:hAnsi="Arial Narrow" w:cs="Arial Greek"/>
                <w:sz w:val="16"/>
                <w:szCs w:val="16"/>
              </w:rPr>
              <w:t>39,</w:t>
            </w:r>
            <w:r w:rsidR="0067659C">
              <w:rPr>
                <w:rFonts w:ascii="Arial Narrow" w:hAnsi="Arial Narrow" w:cs="Arial Greek"/>
                <w:sz w:val="16"/>
                <w:szCs w:val="16"/>
              </w:rPr>
              <w:t>6</w:t>
            </w:r>
          </w:p>
        </w:tc>
        <w:tc>
          <w:tcPr>
            <w:tcW w:w="1136" w:type="dxa"/>
            <w:tcBorders>
              <w:top w:val="nil"/>
              <w:left w:val="nil"/>
              <w:bottom w:val="nil"/>
              <w:right w:val="nil"/>
            </w:tcBorders>
            <w:shd w:val="clear" w:color="auto" w:fill="auto"/>
            <w:tcMar>
              <w:left w:w="28" w:type="dxa"/>
              <w:right w:w="28" w:type="dxa"/>
            </w:tcMar>
            <w:vAlign w:val="center"/>
          </w:tcPr>
          <w:p w:rsidR="00632CAB" w:rsidRDefault="00632CAB" w:rsidP="00632CAB">
            <w:pPr>
              <w:ind w:right="227"/>
              <w:jc w:val="right"/>
              <w:rPr>
                <w:rFonts w:ascii="Arial Narrow" w:hAnsi="Arial Narrow" w:cs="Arial Greek"/>
                <w:sz w:val="16"/>
                <w:szCs w:val="16"/>
              </w:rPr>
            </w:pPr>
            <w:r>
              <w:rPr>
                <w:rFonts w:ascii="Arial Narrow" w:hAnsi="Arial Narrow" w:cs="Arial Greek"/>
                <w:sz w:val="16"/>
                <w:szCs w:val="16"/>
              </w:rPr>
              <w:t>52,</w:t>
            </w:r>
            <w:r w:rsidR="0067659C">
              <w:rPr>
                <w:rFonts w:ascii="Arial Narrow" w:hAnsi="Arial Narrow" w:cs="Arial Greek"/>
                <w:sz w:val="16"/>
                <w:szCs w:val="16"/>
              </w:rPr>
              <w:t>2</w:t>
            </w:r>
          </w:p>
        </w:tc>
        <w:tc>
          <w:tcPr>
            <w:tcW w:w="1333" w:type="dxa"/>
            <w:tcBorders>
              <w:top w:val="nil"/>
              <w:left w:val="nil"/>
              <w:bottom w:val="nil"/>
              <w:right w:val="nil"/>
            </w:tcBorders>
            <w:shd w:val="clear" w:color="auto" w:fill="auto"/>
            <w:tcMar>
              <w:left w:w="28" w:type="dxa"/>
              <w:right w:w="28" w:type="dxa"/>
            </w:tcMar>
            <w:vAlign w:val="center"/>
          </w:tcPr>
          <w:p w:rsidR="00632CAB" w:rsidRDefault="00632CAB" w:rsidP="00632CAB">
            <w:pPr>
              <w:ind w:right="227"/>
              <w:jc w:val="right"/>
              <w:rPr>
                <w:rFonts w:ascii="Arial Narrow" w:hAnsi="Arial Narrow" w:cs="Arial Greek"/>
                <w:b/>
                <w:bCs/>
                <w:sz w:val="16"/>
                <w:szCs w:val="16"/>
              </w:rPr>
            </w:pPr>
            <w:r>
              <w:rPr>
                <w:rFonts w:ascii="Arial Narrow" w:hAnsi="Arial Narrow" w:cs="Arial Greek"/>
                <w:b/>
                <w:bCs/>
                <w:sz w:val="16"/>
                <w:szCs w:val="16"/>
              </w:rPr>
              <w:t>9</w:t>
            </w:r>
            <w:r w:rsidR="0067659C">
              <w:rPr>
                <w:rFonts w:ascii="Arial Narrow" w:hAnsi="Arial Narrow" w:cs="Arial Greek"/>
                <w:b/>
                <w:bCs/>
                <w:sz w:val="16"/>
                <w:szCs w:val="16"/>
              </w:rPr>
              <w:t>1,8</w:t>
            </w:r>
          </w:p>
        </w:tc>
        <w:tc>
          <w:tcPr>
            <w:tcW w:w="1143" w:type="dxa"/>
            <w:tcBorders>
              <w:top w:val="nil"/>
              <w:left w:val="nil"/>
              <w:bottom w:val="nil"/>
              <w:right w:val="nil"/>
            </w:tcBorders>
            <w:shd w:val="clear" w:color="auto" w:fill="auto"/>
            <w:tcMar>
              <w:left w:w="28" w:type="dxa"/>
              <w:right w:w="28" w:type="dxa"/>
            </w:tcMar>
            <w:vAlign w:val="center"/>
          </w:tcPr>
          <w:p w:rsidR="00632CAB" w:rsidRDefault="00632CAB" w:rsidP="00632CAB">
            <w:pPr>
              <w:ind w:right="227"/>
              <w:jc w:val="right"/>
              <w:rPr>
                <w:rFonts w:ascii="Arial Narrow" w:hAnsi="Arial Narrow" w:cs="Arial Greek"/>
                <w:sz w:val="16"/>
                <w:szCs w:val="16"/>
              </w:rPr>
            </w:pPr>
            <w:r>
              <w:rPr>
                <w:rFonts w:ascii="Arial Narrow" w:hAnsi="Arial Narrow" w:cs="Arial Greek"/>
                <w:sz w:val="16"/>
                <w:szCs w:val="16"/>
              </w:rPr>
              <w:t>0,6</w:t>
            </w:r>
          </w:p>
        </w:tc>
        <w:tc>
          <w:tcPr>
            <w:tcW w:w="1143" w:type="dxa"/>
            <w:tcBorders>
              <w:top w:val="nil"/>
              <w:left w:val="nil"/>
              <w:bottom w:val="nil"/>
              <w:right w:val="nil"/>
            </w:tcBorders>
            <w:shd w:val="clear" w:color="auto" w:fill="auto"/>
            <w:tcMar>
              <w:left w:w="28" w:type="dxa"/>
              <w:right w:w="28" w:type="dxa"/>
            </w:tcMar>
            <w:vAlign w:val="center"/>
          </w:tcPr>
          <w:p w:rsidR="00632CAB" w:rsidRDefault="00632CAB" w:rsidP="00632CAB">
            <w:pPr>
              <w:ind w:right="227"/>
              <w:jc w:val="right"/>
              <w:rPr>
                <w:rFonts w:ascii="Arial Narrow" w:hAnsi="Arial Narrow" w:cs="Arial Greek"/>
                <w:sz w:val="16"/>
                <w:szCs w:val="16"/>
              </w:rPr>
            </w:pPr>
            <w:r>
              <w:rPr>
                <w:rFonts w:ascii="Arial Narrow" w:hAnsi="Arial Narrow" w:cs="Arial Greek"/>
                <w:sz w:val="16"/>
                <w:szCs w:val="16"/>
              </w:rPr>
              <w:t>7,</w:t>
            </w:r>
            <w:r w:rsidR="0067659C">
              <w:rPr>
                <w:rFonts w:ascii="Arial Narrow" w:hAnsi="Arial Narrow" w:cs="Arial Greek"/>
                <w:sz w:val="16"/>
                <w:szCs w:val="16"/>
              </w:rPr>
              <w:t>5</w:t>
            </w:r>
          </w:p>
        </w:tc>
        <w:tc>
          <w:tcPr>
            <w:tcW w:w="1143" w:type="dxa"/>
            <w:tcBorders>
              <w:top w:val="nil"/>
              <w:left w:val="nil"/>
              <w:bottom w:val="nil"/>
              <w:right w:val="nil"/>
            </w:tcBorders>
            <w:shd w:val="clear" w:color="auto" w:fill="auto"/>
            <w:tcMar>
              <w:left w:w="28" w:type="dxa"/>
              <w:right w:w="28" w:type="dxa"/>
            </w:tcMar>
            <w:vAlign w:val="center"/>
          </w:tcPr>
          <w:p w:rsidR="00632CAB" w:rsidRDefault="00632CAB" w:rsidP="00632CAB">
            <w:pPr>
              <w:ind w:right="227"/>
              <w:jc w:val="right"/>
              <w:rPr>
                <w:rFonts w:ascii="Arial Narrow" w:hAnsi="Arial Narrow" w:cs="Arial Greek"/>
                <w:b/>
                <w:bCs/>
                <w:sz w:val="16"/>
                <w:szCs w:val="16"/>
              </w:rPr>
            </w:pPr>
            <w:r>
              <w:rPr>
                <w:rFonts w:ascii="Arial Narrow" w:hAnsi="Arial Narrow" w:cs="Arial Greek"/>
                <w:b/>
                <w:bCs/>
                <w:sz w:val="16"/>
                <w:szCs w:val="16"/>
              </w:rPr>
              <w:t>8,2</w:t>
            </w:r>
          </w:p>
        </w:tc>
        <w:tc>
          <w:tcPr>
            <w:tcW w:w="1104" w:type="dxa"/>
            <w:tcBorders>
              <w:top w:val="nil"/>
              <w:left w:val="nil"/>
              <w:bottom w:val="nil"/>
              <w:right w:val="single" w:sz="6" w:space="0" w:color="auto"/>
            </w:tcBorders>
            <w:shd w:val="clear" w:color="auto" w:fill="auto"/>
            <w:tcMar>
              <w:left w:w="28" w:type="dxa"/>
              <w:right w:w="28" w:type="dxa"/>
            </w:tcMar>
            <w:vAlign w:val="center"/>
          </w:tcPr>
          <w:p w:rsidR="00632CAB" w:rsidRPr="009A6179" w:rsidRDefault="0067659C" w:rsidP="00632CAB">
            <w:pPr>
              <w:ind w:right="227"/>
              <w:jc w:val="right"/>
              <w:rPr>
                <w:rFonts w:ascii="Arial Narrow" w:hAnsi="Arial Narrow" w:cs="Arial Greek"/>
                <w:b/>
                <w:bCs/>
                <w:sz w:val="16"/>
                <w:szCs w:val="16"/>
              </w:rPr>
            </w:pPr>
            <w:r>
              <w:rPr>
                <w:rFonts w:ascii="Arial Narrow" w:hAnsi="Arial Narrow" w:cs="Arial Greek"/>
                <w:b/>
                <w:bCs/>
                <w:sz w:val="16"/>
                <w:szCs w:val="16"/>
              </w:rPr>
              <w:t>100,0</w:t>
            </w:r>
          </w:p>
        </w:tc>
      </w:tr>
      <w:tr w:rsidR="006D0FB1" w:rsidRPr="009A6179" w:rsidTr="00632CAB">
        <w:trPr>
          <w:trHeight w:val="170"/>
          <w:jc w:val="center"/>
        </w:trPr>
        <w:tc>
          <w:tcPr>
            <w:tcW w:w="9171" w:type="dxa"/>
            <w:gridSpan w:val="8"/>
            <w:tcBorders>
              <w:top w:val="nil"/>
              <w:left w:val="single" w:sz="6" w:space="0" w:color="auto"/>
              <w:bottom w:val="nil"/>
              <w:right w:val="single" w:sz="6" w:space="0" w:color="auto"/>
            </w:tcBorders>
            <w:shd w:val="clear" w:color="auto" w:fill="A6A6A6"/>
            <w:tcMar>
              <w:left w:w="28" w:type="dxa"/>
              <w:right w:w="28" w:type="dxa"/>
            </w:tcMar>
          </w:tcPr>
          <w:p w:rsidR="006D0FB1" w:rsidRPr="009A6179" w:rsidRDefault="006D0FB1" w:rsidP="00632CAB">
            <w:pPr>
              <w:spacing w:before="120" w:after="120"/>
              <w:jc w:val="center"/>
              <w:rPr>
                <w:rFonts w:ascii="Arial Narrow" w:hAnsi="Arial Narrow"/>
                <w:sz w:val="16"/>
                <w:szCs w:val="16"/>
              </w:rPr>
            </w:pPr>
            <w:r w:rsidRPr="009A6179">
              <w:rPr>
                <w:rFonts w:ascii="Arial Narrow" w:hAnsi="Arial Narrow"/>
                <w:b/>
                <w:sz w:val="16"/>
                <w:szCs w:val="16"/>
              </w:rPr>
              <w:t>Ως ποσοστό του ΑΕΠ (%)</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200</w:t>
            </w:r>
            <w:r>
              <w:rPr>
                <w:rFonts w:ascii="Arial Narrow" w:hAnsi="Arial Narrow"/>
                <w:sz w:val="16"/>
                <w:szCs w:val="16"/>
              </w:rPr>
              <w:t>8</w:t>
            </w:r>
          </w:p>
        </w:tc>
        <w:tc>
          <w:tcPr>
            <w:tcW w:w="1136" w:type="dxa"/>
            <w:tcBorders>
              <w:top w:val="nil"/>
              <w:left w:val="nil"/>
              <w:bottom w:val="nil"/>
              <w:right w:val="nil"/>
            </w:tcBorders>
            <w:tcMar>
              <w:left w:w="28" w:type="dxa"/>
              <w:right w:w="28" w:type="dxa"/>
            </w:tcMar>
            <w:vAlign w:val="center"/>
          </w:tcPr>
          <w:p w:rsidR="006D0FB1" w:rsidRPr="00A51912"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8,6</w:t>
            </w:r>
          </w:p>
        </w:tc>
        <w:tc>
          <w:tcPr>
            <w:tcW w:w="1136" w:type="dxa"/>
            <w:tcBorders>
              <w:top w:val="nil"/>
              <w:left w:val="nil"/>
              <w:bottom w:val="nil"/>
              <w:right w:val="nil"/>
            </w:tcBorders>
            <w:shd w:val="clear" w:color="auto" w:fill="auto"/>
            <w:tcMar>
              <w:left w:w="28" w:type="dxa"/>
              <w:right w:w="28" w:type="dxa"/>
            </w:tcMar>
            <w:vAlign w:val="center"/>
          </w:tcPr>
          <w:p w:rsidR="006D0FB1" w:rsidRPr="00A51912"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12,5</w:t>
            </w:r>
          </w:p>
        </w:tc>
        <w:tc>
          <w:tcPr>
            <w:tcW w:w="133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21,1</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1,5</w:t>
            </w:r>
          </w:p>
        </w:tc>
        <w:tc>
          <w:tcPr>
            <w:tcW w:w="114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1,8</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22,9</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200</w:t>
            </w:r>
            <w:r>
              <w:rPr>
                <w:rFonts w:ascii="Arial Narrow" w:hAnsi="Arial Narrow"/>
                <w:sz w:val="16"/>
                <w:szCs w:val="16"/>
              </w:rPr>
              <w:t>9</w:t>
            </w:r>
          </w:p>
        </w:tc>
        <w:tc>
          <w:tcPr>
            <w:tcW w:w="1136" w:type="dxa"/>
            <w:tcBorders>
              <w:top w:val="nil"/>
              <w:left w:val="nil"/>
              <w:bottom w:val="nil"/>
              <w:right w:val="nil"/>
            </w:tcBorders>
            <w:tcMar>
              <w:left w:w="28" w:type="dxa"/>
              <w:right w:w="28" w:type="dxa"/>
            </w:tcMar>
            <w:vAlign w:val="center"/>
          </w:tcPr>
          <w:p w:rsidR="006D0FB1" w:rsidRPr="00A51912"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9,0</w:t>
            </w:r>
          </w:p>
        </w:tc>
        <w:tc>
          <w:tcPr>
            <w:tcW w:w="1136" w:type="dxa"/>
            <w:tcBorders>
              <w:top w:val="nil"/>
              <w:left w:val="nil"/>
              <w:bottom w:val="nil"/>
              <w:right w:val="nil"/>
            </w:tcBorders>
            <w:shd w:val="clear" w:color="auto" w:fill="auto"/>
            <w:tcMar>
              <w:left w:w="28" w:type="dxa"/>
              <w:right w:w="28" w:type="dxa"/>
            </w:tcMar>
            <w:vAlign w:val="center"/>
          </w:tcPr>
          <w:p w:rsidR="006D0FB1" w:rsidRPr="00A51912"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11,9</w:t>
            </w:r>
          </w:p>
        </w:tc>
        <w:tc>
          <w:tcPr>
            <w:tcW w:w="133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20,9</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1,5</w:t>
            </w:r>
          </w:p>
        </w:tc>
        <w:tc>
          <w:tcPr>
            <w:tcW w:w="114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1,6</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22,5</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w:t>
            </w:r>
            <w:r>
              <w:rPr>
                <w:rFonts w:ascii="Arial Narrow" w:hAnsi="Arial Narrow"/>
                <w:sz w:val="16"/>
                <w:szCs w:val="16"/>
              </w:rPr>
              <w:t>10</w:t>
            </w:r>
          </w:p>
        </w:tc>
        <w:tc>
          <w:tcPr>
            <w:tcW w:w="1136" w:type="dxa"/>
            <w:tcBorders>
              <w:top w:val="nil"/>
              <w:left w:val="nil"/>
              <w:bottom w:val="nil"/>
              <w:right w:val="nil"/>
            </w:tcBorders>
            <w:tcMar>
              <w:left w:w="28" w:type="dxa"/>
              <w:right w:w="28" w:type="dxa"/>
            </w:tcMar>
            <w:vAlign w:val="center"/>
          </w:tcPr>
          <w:p w:rsidR="006D0FB1" w:rsidRPr="00A51912"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8,9</w:t>
            </w:r>
          </w:p>
        </w:tc>
        <w:tc>
          <w:tcPr>
            <w:tcW w:w="1136"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13,7</w:t>
            </w:r>
          </w:p>
        </w:tc>
        <w:tc>
          <w:tcPr>
            <w:tcW w:w="133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22,7</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2,0</w:t>
            </w:r>
          </w:p>
        </w:tc>
        <w:tc>
          <w:tcPr>
            <w:tcW w:w="114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2,2</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24,9</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w:t>
            </w:r>
            <w:r>
              <w:rPr>
                <w:rFonts w:ascii="Arial Narrow" w:hAnsi="Arial Narrow"/>
                <w:sz w:val="16"/>
                <w:szCs w:val="16"/>
              </w:rPr>
              <w:t>1</w:t>
            </w:r>
          </w:p>
        </w:tc>
        <w:tc>
          <w:tcPr>
            <w:tcW w:w="1136" w:type="dxa"/>
            <w:tcBorders>
              <w:top w:val="nil"/>
              <w:left w:val="nil"/>
              <w:bottom w:val="nil"/>
              <w:right w:val="nil"/>
            </w:tcBorders>
            <w:tcMar>
              <w:left w:w="28" w:type="dxa"/>
              <w:right w:w="28" w:type="dxa"/>
            </w:tcMar>
            <w:vAlign w:val="center"/>
          </w:tcPr>
          <w:p w:rsidR="006D0FB1" w:rsidRPr="00A51912"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9,8</w:t>
            </w:r>
          </w:p>
        </w:tc>
        <w:tc>
          <w:tcPr>
            <w:tcW w:w="1136"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13,8</w:t>
            </w:r>
          </w:p>
        </w:tc>
        <w:tc>
          <w:tcPr>
            <w:tcW w:w="133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23,6</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3,0</w:t>
            </w:r>
          </w:p>
        </w:tc>
        <w:tc>
          <w:tcPr>
            <w:tcW w:w="114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3,1</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26,8</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w:t>
            </w:r>
            <w:r>
              <w:rPr>
                <w:rFonts w:ascii="Arial Narrow" w:hAnsi="Arial Narrow"/>
                <w:sz w:val="16"/>
                <w:szCs w:val="16"/>
              </w:rPr>
              <w:t>2</w:t>
            </w:r>
          </w:p>
        </w:tc>
        <w:tc>
          <w:tcPr>
            <w:tcW w:w="1136" w:type="dxa"/>
            <w:tcBorders>
              <w:top w:val="nil"/>
              <w:left w:val="nil"/>
              <w:bottom w:val="nil"/>
              <w:right w:val="nil"/>
            </w:tcBorders>
            <w:tcMar>
              <w:left w:w="28" w:type="dxa"/>
              <w:right w:w="28" w:type="dxa"/>
            </w:tcMar>
            <w:vAlign w:val="center"/>
          </w:tcPr>
          <w:p w:rsidR="006D0FB1" w:rsidRPr="00A51912"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11,0</w:t>
            </w:r>
          </w:p>
        </w:tc>
        <w:tc>
          <w:tcPr>
            <w:tcW w:w="1136"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13,6</w:t>
            </w:r>
          </w:p>
        </w:tc>
        <w:tc>
          <w:tcPr>
            <w:tcW w:w="133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24,7</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2,1</w:t>
            </w:r>
          </w:p>
        </w:tc>
        <w:tc>
          <w:tcPr>
            <w:tcW w:w="114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2,3</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26,9</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w:t>
            </w:r>
            <w:r>
              <w:rPr>
                <w:rFonts w:ascii="Arial Narrow" w:hAnsi="Arial Narrow"/>
                <w:sz w:val="16"/>
                <w:szCs w:val="16"/>
              </w:rPr>
              <w:t>3</w:t>
            </w:r>
          </w:p>
        </w:tc>
        <w:tc>
          <w:tcPr>
            <w:tcW w:w="1136" w:type="dxa"/>
            <w:tcBorders>
              <w:top w:val="nil"/>
              <w:left w:val="nil"/>
              <w:bottom w:val="nil"/>
              <w:right w:val="nil"/>
            </w:tcBorders>
            <w:tcMar>
              <w:left w:w="28" w:type="dxa"/>
              <w:right w:w="28" w:type="dxa"/>
            </w:tcMar>
            <w:vAlign w:val="center"/>
          </w:tcPr>
          <w:p w:rsidR="006D0FB1" w:rsidRPr="00A51912"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11,1</w:t>
            </w:r>
          </w:p>
        </w:tc>
        <w:tc>
          <w:tcPr>
            <w:tcW w:w="1136"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13,6</w:t>
            </w:r>
          </w:p>
        </w:tc>
        <w:tc>
          <w:tcPr>
            <w:tcW w:w="133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24,7</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1,3</w:t>
            </w:r>
          </w:p>
        </w:tc>
        <w:tc>
          <w:tcPr>
            <w:tcW w:w="114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1,4</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26,1</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w:t>
            </w:r>
            <w:r>
              <w:rPr>
                <w:rFonts w:ascii="Arial Narrow" w:hAnsi="Arial Narrow"/>
                <w:sz w:val="16"/>
                <w:szCs w:val="16"/>
              </w:rPr>
              <w:t>4</w:t>
            </w:r>
          </w:p>
        </w:tc>
        <w:tc>
          <w:tcPr>
            <w:tcW w:w="1136" w:type="dxa"/>
            <w:tcBorders>
              <w:top w:val="nil"/>
              <w:left w:val="nil"/>
              <w:bottom w:val="nil"/>
              <w:right w:val="nil"/>
            </w:tcBorders>
            <w:tcMar>
              <w:left w:w="28" w:type="dxa"/>
              <w:right w:w="28" w:type="dxa"/>
            </w:tcMar>
            <w:vAlign w:val="center"/>
          </w:tcPr>
          <w:p w:rsidR="006D0FB1" w:rsidRPr="00A51912"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11,6</w:t>
            </w:r>
          </w:p>
        </w:tc>
        <w:tc>
          <w:tcPr>
            <w:tcW w:w="1136"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13,4</w:t>
            </w:r>
          </w:p>
        </w:tc>
        <w:tc>
          <w:tcPr>
            <w:tcW w:w="133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25,0</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0,1</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1,9</w:t>
            </w:r>
          </w:p>
        </w:tc>
        <w:tc>
          <w:tcPr>
            <w:tcW w:w="114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2,0</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27,0</w:t>
            </w:r>
          </w:p>
        </w:tc>
      </w:tr>
      <w:tr w:rsidR="006D0FB1" w:rsidRPr="009A6179" w:rsidTr="00632CAB">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6D0FB1" w:rsidRPr="009A6179" w:rsidRDefault="006D0FB1" w:rsidP="00632CAB">
            <w:pPr>
              <w:ind w:firstLine="284"/>
              <w:rPr>
                <w:rFonts w:ascii="Arial Narrow" w:hAnsi="Arial Narrow"/>
                <w:sz w:val="16"/>
                <w:szCs w:val="16"/>
              </w:rPr>
            </w:pPr>
            <w:r w:rsidRPr="009A6179">
              <w:rPr>
                <w:rFonts w:ascii="Arial Narrow" w:hAnsi="Arial Narrow"/>
                <w:sz w:val="16"/>
                <w:szCs w:val="16"/>
              </w:rPr>
              <w:t>201</w:t>
            </w:r>
            <w:r>
              <w:rPr>
                <w:rFonts w:ascii="Arial Narrow" w:hAnsi="Arial Narrow"/>
                <w:sz w:val="16"/>
                <w:szCs w:val="16"/>
              </w:rPr>
              <w:t>5</w:t>
            </w:r>
          </w:p>
        </w:tc>
        <w:tc>
          <w:tcPr>
            <w:tcW w:w="1136" w:type="dxa"/>
            <w:tcBorders>
              <w:top w:val="nil"/>
              <w:left w:val="nil"/>
              <w:bottom w:val="nil"/>
              <w:right w:val="nil"/>
            </w:tcBorders>
            <w:tcMar>
              <w:left w:w="28" w:type="dxa"/>
              <w:right w:w="28" w:type="dxa"/>
            </w:tcMar>
            <w:vAlign w:val="center"/>
          </w:tcPr>
          <w:p w:rsidR="006D0FB1" w:rsidRPr="00A51912"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11,3</w:t>
            </w:r>
          </w:p>
        </w:tc>
        <w:tc>
          <w:tcPr>
            <w:tcW w:w="1136"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13,5</w:t>
            </w:r>
          </w:p>
        </w:tc>
        <w:tc>
          <w:tcPr>
            <w:tcW w:w="133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24,9</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center"/>
          </w:tcPr>
          <w:p w:rsidR="006D0FB1" w:rsidRPr="00736ACC" w:rsidRDefault="006D0FB1" w:rsidP="00632CAB">
            <w:pPr>
              <w:ind w:right="227"/>
              <w:jc w:val="right"/>
              <w:rPr>
                <w:rFonts w:ascii="Arial Narrow" w:hAnsi="Arial Narrow" w:cs="Arial Greek"/>
                <w:sz w:val="16"/>
                <w:szCs w:val="16"/>
                <w:lang w:val="en-US"/>
              </w:rPr>
            </w:pPr>
            <w:r>
              <w:rPr>
                <w:rFonts w:ascii="Arial Narrow" w:hAnsi="Arial Narrow" w:cs="Arial Greek"/>
                <w:sz w:val="16"/>
                <w:szCs w:val="16"/>
              </w:rPr>
              <w:t>2,1</w:t>
            </w:r>
          </w:p>
        </w:tc>
        <w:tc>
          <w:tcPr>
            <w:tcW w:w="1143" w:type="dxa"/>
            <w:tcBorders>
              <w:top w:val="nil"/>
              <w:left w:val="nil"/>
              <w:bottom w:val="nil"/>
              <w:right w:val="nil"/>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2,3</w:t>
            </w:r>
          </w:p>
        </w:tc>
        <w:tc>
          <w:tcPr>
            <w:tcW w:w="1104" w:type="dxa"/>
            <w:tcBorders>
              <w:top w:val="nil"/>
              <w:left w:val="nil"/>
              <w:bottom w:val="nil"/>
              <w:right w:val="single" w:sz="6" w:space="0" w:color="auto"/>
            </w:tcBorders>
            <w:shd w:val="clear" w:color="auto" w:fill="auto"/>
            <w:tcMar>
              <w:left w:w="28" w:type="dxa"/>
              <w:right w:w="28" w:type="dxa"/>
            </w:tcMar>
            <w:vAlign w:val="center"/>
          </w:tcPr>
          <w:p w:rsidR="006D0FB1" w:rsidRPr="001E0B7A" w:rsidRDefault="006D0FB1" w:rsidP="00632CAB">
            <w:pPr>
              <w:ind w:right="227"/>
              <w:jc w:val="right"/>
              <w:rPr>
                <w:rFonts w:ascii="Arial Narrow" w:hAnsi="Arial Narrow" w:cs="Arial Greek"/>
                <w:b/>
                <w:sz w:val="16"/>
                <w:szCs w:val="16"/>
                <w:lang w:val="en-US"/>
              </w:rPr>
            </w:pPr>
            <w:r w:rsidRPr="001E0B7A">
              <w:rPr>
                <w:rFonts w:ascii="Arial Narrow" w:hAnsi="Arial Narrow" w:cs="Arial Greek"/>
                <w:b/>
                <w:sz w:val="16"/>
                <w:szCs w:val="16"/>
              </w:rPr>
              <w:t>27,2</w:t>
            </w:r>
          </w:p>
        </w:tc>
      </w:tr>
      <w:tr w:rsidR="00762488" w:rsidRPr="009A6179" w:rsidTr="00B35613">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762488" w:rsidRPr="009A6179" w:rsidRDefault="00762488" w:rsidP="00632CAB">
            <w:pPr>
              <w:ind w:firstLine="284"/>
              <w:rPr>
                <w:rFonts w:ascii="Arial Narrow" w:hAnsi="Arial Narrow"/>
                <w:sz w:val="16"/>
                <w:szCs w:val="16"/>
              </w:rPr>
            </w:pPr>
            <w:r>
              <w:rPr>
                <w:rFonts w:ascii="Arial Narrow" w:hAnsi="Arial Narrow"/>
                <w:sz w:val="16"/>
                <w:szCs w:val="16"/>
              </w:rPr>
              <w:t>2016</w:t>
            </w:r>
          </w:p>
        </w:tc>
        <w:tc>
          <w:tcPr>
            <w:tcW w:w="1136" w:type="dxa"/>
            <w:tcBorders>
              <w:top w:val="nil"/>
              <w:left w:val="nil"/>
              <w:bottom w:val="nil"/>
              <w:right w:val="nil"/>
            </w:tcBorders>
            <w:tcMar>
              <w:left w:w="28" w:type="dxa"/>
              <w:right w:w="28" w:type="dxa"/>
            </w:tcMar>
            <w:vAlign w:val="bottom"/>
          </w:tcPr>
          <w:p w:rsidR="00762488" w:rsidRDefault="00762488" w:rsidP="00762488">
            <w:pPr>
              <w:ind w:right="227"/>
              <w:jc w:val="right"/>
              <w:rPr>
                <w:rFonts w:ascii="Arial Narrow" w:hAnsi="Arial Narrow" w:cs="Arial Greek"/>
                <w:sz w:val="16"/>
                <w:szCs w:val="16"/>
              </w:rPr>
            </w:pPr>
            <w:r>
              <w:rPr>
                <w:rFonts w:ascii="Arial Narrow" w:hAnsi="Arial Narrow" w:cs="Arial Greek"/>
                <w:sz w:val="16"/>
                <w:szCs w:val="16"/>
              </w:rPr>
              <w:t>12,5</w:t>
            </w:r>
          </w:p>
        </w:tc>
        <w:tc>
          <w:tcPr>
            <w:tcW w:w="1136" w:type="dxa"/>
            <w:tcBorders>
              <w:top w:val="nil"/>
              <w:left w:val="nil"/>
              <w:bottom w:val="nil"/>
              <w:right w:val="nil"/>
            </w:tcBorders>
            <w:shd w:val="clear" w:color="auto" w:fill="auto"/>
            <w:tcMar>
              <w:left w:w="28" w:type="dxa"/>
              <w:right w:w="28" w:type="dxa"/>
            </w:tcMar>
            <w:vAlign w:val="bottom"/>
          </w:tcPr>
          <w:p w:rsidR="00762488" w:rsidRDefault="00762488" w:rsidP="00762488">
            <w:pPr>
              <w:ind w:right="227"/>
              <w:jc w:val="right"/>
              <w:rPr>
                <w:rFonts w:ascii="Arial Narrow" w:hAnsi="Arial Narrow" w:cs="Arial Greek"/>
                <w:sz w:val="16"/>
                <w:szCs w:val="16"/>
              </w:rPr>
            </w:pPr>
            <w:r>
              <w:rPr>
                <w:rFonts w:ascii="Arial Narrow" w:hAnsi="Arial Narrow" w:cs="Arial Greek"/>
                <w:sz w:val="16"/>
                <w:szCs w:val="16"/>
              </w:rPr>
              <w:t>14,7</w:t>
            </w:r>
          </w:p>
        </w:tc>
        <w:tc>
          <w:tcPr>
            <w:tcW w:w="1333" w:type="dxa"/>
            <w:tcBorders>
              <w:top w:val="nil"/>
              <w:left w:val="nil"/>
              <w:bottom w:val="nil"/>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b/>
                <w:sz w:val="16"/>
                <w:szCs w:val="16"/>
              </w:rPr>
            </w:pPr>
            <w:r w:rsidRPr="00762488">
              <w:rPr>
                <w:rFonts w:ascii="Arial Narrow" w:hAnsi="Arial Narrow" w:cs="Arial Greek"/>
                <w:b/>
                <w:sz w:val="16"/>
                <w:szCs w:val="16"/>
              </w:rPr>
              <w:t>27,3</w:t>
            </w:r>
          </w:p>
        </w:tc>
        <w:tc>
          <w:tcPr>
            <w:tcW w:w="1143" w:type="dxa"/>
            <w:tcBorders>
              <w:top w:val="nil"/>
              <w:left w:val="nil"/>
              <w:bottom w:val="nil"/>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sz w:val="16"/>
                <w:szCs w:val="16"/>
              </w:rPr>
            </w:pPr>
            <w:r w:rsidRPr="00762488">
              <w:rPr>
                <w:rFonts w:ascii="Arial Narrow" w:hAnsi="Arial Narrow" w:cs="Arial Greek"/>
                <w:sz w:val="16"/>
                <w:szCs w:val="16"/>
              </w:rPr>
              <w:t>0,2</w:t>
            </w:r>
          </w:p>
        </w:tc>
        <w:tc>
          <w:tcPr>
            <w:tcW w:w="1143" w:type="dxa"/>
            <w:tcBorders>
              <w:top w:val="nil"/>
              <w:left w:val="nil"/>
              <w:bottom w:val="nil"/>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sz w:val="16"/>
                <w:szCs w:val="16"/>
              </w:rPr>
            </w:pPr>
            <w:r w:rsidRPr="00762488">
              <w:rPr>
                <w:rFonts w:ascii="Arial Narrow" w:hAnsi="Arial Narrow" w:cs="Arial Greek"/>
                <w:sz w:val="16"/>
                <w:szCs w:val="16"/>
              </w:rPr>
              <w:t>2,5</w:t>
            </w:r>
          </w:p>
        </w:tc>
        <w:tc>
          <w:tcPr>
            <w:tcW w:w="1143" w:type="dxa"/>
            <w:tcBorders>
              <w:top w:val="nil"/>
              <w:left w:val="nil"/>
              <w:bottom w:val="nil"/>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b/>
                <w:sz w:val="16"/>
                <w:szCs w:val="16"/>
              </w:rPr>
            </w:pPr>
            <w:r w:rsidRPr="00762488">
              <w:rPr>
                <w:rFonts w:ascii="Arial Narrow" w:hAnsi="Arial Narrow" w:cs="Arial Greek"/>
                <w:b/>
                <w:sz w:val="16"/>
                <w:szCs w:val="16"/>
              </w:rPr>
              <w:t>2,8</w:t>
            </w:r>
          </w:p>
        </w:tc>
        <w:tc>
          <w:tcPr>
            <w:tcW w:w="1104" w:type="dxa"/>
            <w:tcBorders>
              <w:top w:val="nil"/>
              <w:left w:val="nil"/>
              <w:bottom w:val="nil"/>
              <w:right w:val="single" w:sz="6" w:space="0" w:color="auto"/>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b/>
                <w:sz w:val="16"/>
                <w:szCs w:val="16"/>
              </w:rPr>
            </w:pPr>
            <w:r w:rsidRPr="00762488">
              <w:rPr>
                <w:rFonts w:ascii="Arial Narrow" w:hAnsi="Arial Narrow" w:cs="Arial Greek"/>
                <w:b/>
                <w:sz w:val="16"/>
                <w:szCs w:val="16"/>
              </w:rPr>
              <w:t>30,0</w:t>
            </w:r>
          </w:p>
        </w:tc>
      </w:tr>
      <w:tr w:rsidR="00762488" w:rsidRPr="009A6179" w:rsidTr="00B35613">
        <w:trPr>
          <w:trHeight w:val="170"/>
          <w:jc w:val="center"/>
        </w:trPr>
        <w:tc>
          <w:tcPr>
            <w:tcW w:w="1033" w:type="dxa"/>
            <w:tcBorders>
              <w:top w:val="nil"/>
              <w:left w:val="single" w:sz="6" w:space="0" w:color="auto"/>
              <w:bottom w:val="nil"/>
              <w:right w:val="nil"/>
            </w:tcBorders>
            <w:shd w:val="clear" w:color="auto" w:fill="auto"/>
            <w:tcMar>
              <w:left w:w="28" w:type="dxa"/>
              <w:right w:w="28" w:type="dxa"/>
            </w:tcMar>
            <w:vAlign w:val="center"/>
          </w:tcPr>
          <w:p w:rsidR="00762488" w:rsidRPr="009A6179" w:rsidRDefault="00762488" w:rsidP="00632CAB">
            <w:pPr>
              <w:ind w:firstLine="284"/>
              <w:rPr>
                <w:rFonts w:ascii="Arial Narrow" w:hAnsi="Arial Narrow"/>
                <w:sz w:val="16"/>
                <w:szCs w:val="16"/>
              </w:rPr>
            </w:pPr>
            <w:r>
              <w:rPr>
                <w:rFonts w:ascii="Arial Narrow" w:hAnsi="Arial Narrow"/>
                <w:sz w:val="16"/>
                <w:szCs w:val="16"/>
              </w:rPr>
              <w:t>2017*</w:t>
            </w:r>
          </w:p>
        </w:tc>
        <w:tc>
          <w:tcPr>
            <w:tcW w:w="1136" w:type="dxa"/>
            <w:tcBorders>
              <w:top w:val="nil"/>
              <w:left w:val="nil"/>
              <w:bottom w:val="nil"/>
              <w:right w:val="nil"/>
            </w:tcBorders>
            <w:tcMar>
              <w:left w:w="28" w:type="dxa"/>
              <w:right w:w="28" w:type="dxa"/>
            </w:tcMar>
            <w:vAlign w:val="bottom"/>
          </w:tcPr>
          <w:p w:rsidR="00762488" w:rsidRDefault="00762488" w:rsidP="00762488">
            <w:pPr>
              <w:ind w:right="227"/>
              <w:jc w:val="right"/>
              <w:rPr>
                <w:rFonts w:ascii="Arial Narrow" w:hAnsi="Arial Narrow" w:cs="Arial Greek"/>
                <w:sz w:val="16"/>
                <w:szCs w:val="16"/>
              </w:rPr>
            </w:pPr>
            <w:r>
              <w:rPr>
                <w:rFonts w:ascii="Arial Narrow" w:hAnsi="Arial Narrow" w:cs="Arial Greek"/>
                <w:sz w:val="16"/>
                <w:szCs w:val="16"/>
              </w:rPr>
              <w:t>11,4</w:t>
            </w:r>
          </w:p>
        </w:tc>
        <w:tc>
          <w:tcPr>
            <w:tcW w:w="1136" w:type="dxa"/>
            <w:tcBorders>
              <w:top w:val="nil"/>
              <w:left w:val="nil"/>
              <w:bottom w:val="nil"/>
              <w:right w:val="nil"/>
            </w:tcBorders>
            <w:shd w:val="clear" w:color="auto" w:fill="auto"/>
            <w:tcMar>
              <w:left w:w="28" w:type="dxa"/>
              <w:right w:w="28" w:type="dxa"/>
            </w:tcMar>
            <w:vAlign w:val="bottom"/>
          </w:tcPr>
          <w:p w:rsidR="00762488" w:rsidRDefault="00762488" w:rsidP="00762488">
            <w:pPr>
              <w:ind w:right="227"/>
              <w:jc w:val="right"/>
              <w:rPr>
                <w:rFonts w:ascii="Arial Narrow" w:hAnsi="Arial Narrow" w:cs="Arial Greek"/>
                <w:sz w:val="16"/>
                <w:szCs w:val="16"/>
              </w:rPr>
            </w:pPr>
            <w:r>
              <w:rPr>
                <w:rFonts w:ascii="Arial Narrow" w:hAnsi="Arial Narrow" w:cs="Arial Greek"/>
                <w:sz w:val="16"/>
                <w:szCs w:val="16"/>
              </w:rPr>
              <w:t>15,1</w:t>
            </w:r>
          </w:p>
        </w:tc>
        <w:tc>
          <w:tcPr>
            <w:tcW w:w="1333" w:type="dxa"/>
            <w:tcBorders>
              <w:top w:val="nil"/>
              <w:left w:val="nil"/>
              <w:bottom w:val="nil"/>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b/>
                <w:sz w:val="16"/>
                <w:szCs w:val="16"/>
              </w:rPr>
            </w:pPr>
            <w:r w:rsidRPr="00762488">
              <w:rPr>
                <w:rFonts w:ascii="Arial Narrow" w:hAnsi="Arial Narrow" w:cs="Arial Greek"/>
                <w:b/>
                <w:sz w:val="16"/>
                <w:szCs w:val="16"/>
              </w:rPr>
              <w:t>26,4</w:t>
            </w:r>
          </w:p>
        </w:tc>
        <w:tc>
          <w:tcPr>
            <w:tcW w:w="1143" w:type="dxa"/>
            <w:tcBorders>
              <w:top w:val="nil"/>
              <w:left w:val="nil"/>
              <w:bottom w:val="nil"/>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sz w:val="16"/>
                <w:szCs w:val="16"/>
              </w:rPr>
            </w:pPr>
            <w:r w:rsidRPr="00762488">
              <w:rPr>
                <w:rFonts w:ascii="Arial Narrow" w:hAnsi="Arial Narrow" w:cs="Arial Greek"/>
                <w:sz w:val="16"/>
                <w:szCs w:val="16"/>
              </w:rPr>
              <w:t>0,3</w:t>
            </w:r>
          </w:p>
        </w:tc>
        <w:tc>
          <w:tcPr>
            <w:tcW w:w="1143" w:type="dxa"/>
            <w:tcBorders>
              <w:top w:val="nil"/>
              <w:left w:val="nil"/>
              <w:bottom w:val="nil"/>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sz w:val="16"/>
                <w:szCs w:val="16"/>
              </w:rPr>
            </w:pPr>
            <w:r w:rsidRPr="00762488">
              <w:rPr>
                <w:rFonts w:ascii="Arial Narrow" w:hAnsi="Arial Narrow" w:cs="Arial Greek"/>
                <w:sz w:val="16"/>
                <w:szCs w:val="16"/>
              </w:rPr>
              <w:t>2,4</w:t>
            </w:r>
          </w:p>
        </w:tc>
        <w:tc>
          <w:tcPr>
            <w:tcW w:w="1143" w:type="dxa"/>
            <w:tcBorders>
              <w:top w:val="nil"/>
              <w:left w:val="nil"/>
              <w:bottom w:val="nil"/>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b/>
                <w:sz w:val="16"/>
                <w:szCs w:val="16"/>
              </w:rPr>
            </w:pPr>
            <w:r w:rsidRPr="00762488">
              <w:rPr>
                <w:rFonts w:ascii="Arial Narrow" w:hAnsi="Arial Narrow" w:cs="Arial Greek"/>
                <w:b/>
                <w:sz w:val="16"/>
                <w:szCs w:val="16"/>
              </w:rPr>
              <w:t>2,7</w:t>
            </w:r>
          </w:p>
        </w:tc>
        <w:tc>
          <w:tcPr>
            <w:tcW w:w="1104" w:type="dxa"/>
            <w:tcBorders>
              <w:top w:val="nil"/>
              <w:left w:val="nil"/>
              <w:bottom w:val="nil"/>
              <w:right w:val="single" w:sz="6" w:space="0" w:color="auto"/>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b/>
                <w:sz w:val="16"/>
                <w:szCs w:val="16"/>
              </w:rPr>
            </w:pPr>
            <w:r w:rsidRPr="00762488">
              <w:rPr>
                <w:rFonts w:ascii="Arial Narrow" w:hAnsi="Arial Narrow" w:cs="Arial Greek"/>
                <w:b/>
                <w:sz w:val="16"/>
                <w:szCs w:val="16"/>
              </w:rPr>
              <w:t>29,1</w:t>
            </w:r>
          </w:p>
        </w:tc>
      </w:tr>
      <w:tr w:rsidR="00762488" w:rsidRPr="009A6179" w:rsidTr="00B35613">
        <w:trPr>
          <w:trHeight w:val="170"/>
          <w:jc w:val="center"/>
        </w:trPr>
        <w:tc>
          <w:tcPr>
            <w:tcW w:w="1033" w:type="dxa"/>
            <w:tcBorders>
              <w:top w:val="nil"/>
              <w:left w:val="single" w:sz="6" w:space="0" w:color="auto"/>
              <w:bottom w:val="single" w:sz="6" w:space="0" w:color="auto"/>
              <w:right w:val="nil"/>
            </w:tcBorders>
            <w:shd w:val="clear" w:color="auto" w:fill="auto"/>
            <w:tcMar>
              <w:left w:w="28" w:type="dxa"/>
              <w:right w:w="28" w:type="dxa"/>
            </w:tcMar>
            <w:vAlign w:val="center"/>
          </w:tcPr>
          <w:p w:rsidR="00762488" w:rsidRDefault="00762488" w:rsidP="00632CAB">
            <w:pPr>
              <w:ind w:firstLine="284"/>
              <w:rPr>
                <w:rFonts w:ascii="Arial Narrow" w:hAnsi="Arial Narrow"/>
                <w:sz w:val="16"/>
                <w:szCs w:val="16"/>
              </w:rPr>
            </w:pPr>
            <w:r>
              <w:rPr>
                <w:rFonts w:ascii="Arial Narrow" w:hAnsi="Arial Narrow"/>
                <w:sz w:val="16"/>
                <w:szCs w:val="16"/>
              </w:rPr>
              <w:t>2018**</w:t>
            </w:r>
          </w:p>
        </w:tc>
        <w:tc>
          <w:tcPr>
            <w:tcW w:w="1136" w:type="dxa"/>
            <w:tcBorders>
              <w:top w:val="nil"/>
              <w:left w:val="nil"/>
              <w:bottom w:val="single" w:sz="6" w:space="0" w:color="auto"/>
              <w:right w:val="nil"/>
            </w:tcBorders>
            <w:tcMar>
              <w:left w:w="28" w:type="dxa"/>
              <w:right w:w="28" w:type="dxa"/>
            </w:tcMar>
            <w:vAlign w:val="bottom"/>
          </w:tcPr>
          <w:p w:rsidR="00762488" w:rsidRDefault="00762488" w:rsidP="00762488">
            <w:pPr>
              <w:ind w:right="227"/>
              <w:jc w:val="right"/>
              <w:rPr>
                <w:rFonts w:ascii="Arial Narrow" w:hAnsi="Arial Narrow" w:cs="Arial Greek"/>
                <w:sz w:val="16"/>
                <w:szCs w:val="16"/>
              </w:rPr>
            </w:pPr>
            <w:r>
              <w:rPr>
                <w:rFonts w:ascii="Arial Narrow" w:hAnsi="Arial Narrow" w:cs="Arial Greek"/>
                <w:sz w:val="16"/>
                <w:szCs w:val="16"/>
              </w:rPr>
              <w:t>11,2</w:t>
            </w:r>
          </w:p>
        </w:tc>
        <w:tc>
          <w:tcPr>
            <w:tcW w:w="1136" w:type="dxa"/>
            <w:tcBorders>
              <w:top w:val="nil"/>
              <w:left w:val="nil"/>
              <w:bottom w:val="single" w:sz="6" w:space="0" w:color="auto"/>
              <w:right w:val="nil"/>
            </w:tcBorders>
            <w:shd w:val="clear" w:color="auto" w:fill="auto"/>
            <w:tcMar>
              <w:left w:w="28" w:type="dxa"/>
              <w:right w:w="28" w:type="dxa"/>
            </w:tcMar>
            <w:vAlign w:val="bottom"/>
          </w:tcPr>
          <w:p w:rsidR="00762488" w:rsidRDefault="00762488" w:rsidP="00762488">
            <w:pPr>
              <w:ind w:right="227"/>
              <w:jc w:val="right"/>
              <w:rPr>
                <w:rFonts w:ascii="Arial Narrow" w:hAnsi="Arial Narrow" w:cs="Arial Greek"/>
                <w:sz w:val="16"/>
                <w:szCs w:val="16"/>
              </w:rPr>
            </w:pPr>
            <w:r>
              <w:rPr>
                <w:rFonts w:ascii="Arial Narrow" w:hAnsi="Arial Narrow" w:cs="Arial Greek"/>
                <w:sz w:val="16"/>
                <w:szCs w:val="16"/>
              </w:rPr>
              <w:t>14,8</w:t>
            </w:r>
          </w:p>
        </w:tc>
        <w:tc>
          <w:tcPr>
            <w:tcW w:w="1333" w:type="dxa"/>
            <w:tcBorders>
              <w:top w:val="nil"/>
              <w:left w:val="nil"/>
              <w:bottom w:val="single" w:sz="6" w:space="0" w:color="auto"/>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b/>
                <w:sz w:val="16"/>
                <w:szCs w:val="16"/>
              </w:rPr>
            </w:pPr>
            <w:r w:rsidRPr="00762488">
              <w:rPr>
                <w:rFonts w:ascii="Arial Narrow" w:hAnsi="Arial Narrow" w:cs="Arial Greek"/>
                <w:b/>
                <w:sz w:val="16"/>
                <w:szCs w:val="16"/>
              </w:rPr>
              <w:t>26,1</w:t>
            </w:r>
          </w:p>
        </w:tc>
        <w:tc>
          <w:tcPr>
            <w:tcW w:w="1143" w:type="dxa"/>
            <w:tcBorders>
              <w:top w:val="nil"/>
              <w:left w:val="nil"/>
              <w:bottom w:val="single" w:sz="6" w:space="0" w:color="auto"/>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sz w:val="16"/>
                <w:szCs w:val="16"/>
              </w:rPr>
            </w:pPr>
            <w:r w:rsidRPr="00762488">
              <w:rPr>
                <w:rFonts w:ascii="Arial Narrow" w:hAnsi="Arial Narrow" w:cs="Arial Greek"/>
                <w:sz w:val="16"/>
                <w:szCs w:val="16"/>
              </w:rPr>
              <w:t>0,2</w:t>
            </w:r>
          </w:p>
        </w:tc>
        <w:tc>
          <w:tcPr>
            <w:tcW w:w="1143" w:type="dxa"/>
            <w:tcBorders>
              <w:top w:val="nil"/>
              <w:left w:val="nil"/>
              <w:bottom w:val="single" w:sz="6" w:space="0" w:color="auto"/>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sz w:val="16"/>
                <w:szCs w:val="16"/>
              </w:rPr>
            </w:pPr>
            <w:r w:rsidRPr="00762488">
              <w:rPr>
                <w:rFonts w:ascii="Arial Narrow" w:hAnsi="Arial Narrow" w:cs="Arial Greek"/>
                <w:sz w:val="16"/>
                <w:szCs w:val="16"/>
              </w:rPr>
              <w:t>2,1</w:t>
            </w:r>
          </w:p>
        </w:tc>
        <w:tc>
          <w:tcPr>
            <w:tcW w:w="1143" w:type="dxa"/>
            <w:tcBorders>
              <w:top w:val="nil"/>
              <w:left w:val="nil"/>
              <w:bottom w:val="single" w:sz="6" w:space="0" w:color="auto"/>
              <w:right w:val="nil"/>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b/>
                <w:sz w:val="16"/>
                <w:szCs w:val="16"/>
              </w:rPr>
            </w:pPr>
            <w:r w:rsidRPr="00762488">
              <w:rPr>
                <w:rFonts w:ascii="Arial Narrow" w:hAnsi="Arial Narrow" w:cs="Arial Greek"/>
                <w:b/>
                <w:sz w:val="16"/>
                <w:szCs w:val="16"/>
              </w:rPr>
              <w:t>2,3</w:t>
            </w:r>
          </w:p>
        </w:tc>
        <w:tc>
          <w:tcPr>
            <w:tcW w:w="1104" w:type="dxa"/>
            <w:tcBorders>
              <w:top w:val="nil"/>
              <w:left w:val="nil"/>
              <w:bottom w:val="single" w:sz="6" w:space="0" w:color="auto"/>
              <w:right w:val="single" w:sz="6" w:space="0" w:color="auto"/>
            </w:tcBorders>
            <w:shd w:val="clear" w:color="auto" w:fill="auto"/>
            <w:tcMar>
              <w:left w:w="28" w:type="dxa"/>
              <w:right w:w="28" w:type="dxa"/>
            </w:tcMar>
            <w:vAlign w:val="bottom"/>
          </w:tcPr>
          <w:p w:rsidR="00762488" w:rsidRPr="00762488" w:rsidRDefault="00762488" w:rsidP="00762488">
            <w:pPr>
              <w:ind w:right="227"/>
              <w:jc w:val="right"/>
              <w:rPr>
                <w:rFonts w:ascii="Arial Narrow" w:hAnsi="Arial Narrow" w:cs="Arial Greek"/>
                <w:b/>
                <w:sz w:val="16"/>
                <w:szCs w:val="16"/>
              </w:rPr>
            </w:pPr>
            <w:r w:rsidRPr="00762488">
              <w:rPr>
                <w:rFonts w:ascii="Arial Narrow" w:hAnsi="Arial Narrow" w:cs="Arial Greek"/>
                <w:b/>
                <w:sz w:val="16"/>
                <w:szCs w:val="16"/>
              </w:rPr>
              <w:t>28,</w:t>
            </w:r>
            <w:r w:rsidR="002D6C7D">
              <w:rPr>
                <w:rFonts w:ascii="Arial Narrow" w:hAnsi="Arial Narrow" w:cs="Arial Greek"/>
                <w:b/>
                <w:sz w:val="16"/>
                <w:szCs w:val="16"/>
              </w:rPr>
              <w:t>4</w:t>
            </w:r>
          </w:p>
        </w:tc>
      </w:tr>
    </w:tbl>
    <w:p w:rsidR="006D0FB1" w:rsidRPr="009A6179" w:rsidRDefault="006D0FB1" w:rsidP="006D0FB1">
      <w:pPr>
        <w:tabs>
          <w:tab w:val="left" w:pos="360"/>
        </w:tabs>
        <w:jc w:val="both"/>
        <w:rPr>
          <w:rFonts w:ascii="Arial Narrow" w:hAnsi="Arial Narrow"/>
          <w:sz w:val="16"/>
          <w:szCs w:val="20"/>
        </w:rPr>
      </w:pPr>
      <w:r w:rsidRPr="009A6179">
        <w:rPr>
          <w:rFonts w:ascii="Arial Narrow" w:hAnsi="Arial Narrow"/>
          <w:sz w:val="16"/>
          <w:szCs w:val="20"/>
        </w:rPr>
        <w:t>*</w:t>
      </w:r>
      <w:r w:rsidRPr="009A6179">
        <w:rPr>
          <w:rFonts w:ascii="Arial Narrow" w:hAnsi="Arial Narrow"/>
          <w:sz w:val="16"/>
          <w:szCs w:val="20"/>
        </w:rPr>
        <w:tab/>
        <w:t>Εκτιμήσεις</w:t>
      </w:r>
    </w:p>
    <w:p w:rsidR="006D0FB1" w:rsidRPr="009A6179" w:rsidRDefault="006D0FB1" w:rsidP="006D0FB1">
      <w:pPr>
        <w:tabs>
          <w:tab w:val="left" w:pos="360"/>
        </w:tabs>
        <w:jc w:val="both"/>
        <w:rPr>
          <w:rFonts w:ascii="Arial Narrow" w:hAnsi="Arial Narrow"/>
          <w:sz w:val="16"/>
          <w:szCs w:val="20"/>
        </w:rPr>
      </w:pPr>
      <w:r w:rsidRPr="009A6179">
        <w:rPr>
          <w:rFonts w:ascii="Arial Narrow" w:hAnsi="Arial Narrow"/>
          <w:sz w:val="16"/>
          <w:szCs w:val="20"/>
        </w:rPr>
        <w:t>**</w:t>
      </w:r>
      <w:r w:rsidRPr="009A6179">
        <w:rPr>
          <w:rFonts w:ascii="Arial Narrow" w:hAnsi="Arial Narrow"/>
          <w:sz w:val="16"/>
          <w:szCs w:val="20"/>
        </w:rPr>
        <w:tab/>
        <w:t>Προβλέψεις</w:t>
      </w:r>
    </w:p>
    <w:p w:rsidR="006D0FB1" w:rsidRPr="009A6179" w:rsidRDefault="006D0FB1" w:rsidP="006D0FB1">
      <w:pPr>
        <w:jc w:val="both"/>
        <w:rPr>
          <w:sz w:val="22"/>
          <w:szCs w:val="22"/>
        </w:rPr>
      </w:pPr>
    </w:p>
    <w:tbl>
      <w:tblPr>
        <w:tblW w:w="9171"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171"/>
      </w:tblGrid>
      <w:tr w:rsidR="006D0FB1" w:rsidRPr="00AF199A" w:rsidTr="00632CAB">
        <w:trPr>
          <w:jc w:val="center"/>
        </w:trPr>
        <w:tc>
          <w:tcPr>
            <w:tcW w:w="9171" w:type="dxa"/>
            <w:tcBorders>
              <w:top w:val="single" w:sz="4" w:space="0" w:color="auto"/>
              <w:left w:val="single" w:sz="4" w:space="0" w:color="auto"/>
              <w:bottom w:val="nil"/>
              <w:right w:val="single" w:sz="4" w:space="0" w:color="auto"/>
            </w:tcBorders>
            <w:shd w:val="clear" w:color="auto" w:fill="404040"/>
            <w:tcMar>
              <w:left w:w="28" w:type="dxa"/>
              <w:right w:w="28" w:type="dxa"/>
            </w:tcMar>
            <w:vAlign w:val="center"/>
          </w:tcPr>
          <w:p w:rsidR="006D0FB1" w:rsidRPr="00762488" w:rsidRDefault="006D0FB1" w:rsidP="00232EE9">
            <w:pPr>
              <w:spacing w:before="60" w:after="60"/>
              <w:jc w:val="center"/>
              <w:outlineLvl w:val="0"/>
              <w:rPr>
                <w:b/>
                <w:color w:val="FFFFFF" w:themeColor="background1"/>
                <w:sz w:val="22"/>
                <w:szCs w:val="20"/>
              </w:rPr>
            </w:pPr>
            <w:r>
              <w:rPr>
                <w:rFonts w:ascii="Arial Narrow" w:hAnsi="Arial Narrow"/>
                <w:b/>
                <w:color w:val="FFFFFF" w:themeColor="background1"/>
              </w:rPr>
              <w:t>Διάγραμμα 3.1</w:t>
            </w:r>
            <w:r w:rsidRPr="00AF199A">
              <w:rPr>
                <w:rFonts w:ascii="Arial Narrow" w:hAnsi="Arial Narrow"/>
                <w:b/>
                <w:color w:val="FFFFFF" w:themeColor="background1"/>
              </w:rPr>
              <w:t xml:space="preserve">   Εξέλιξη </w:t>
            </w:r>
            <w:r>
              <w:rPr>
                <w:rFonts w:ascii="Arial Narrow" w:hAnsi="Arial Narrow"/>
                <w:b/>
                <w:color w:val="FFFFFF" w:themeColor="background1"/>
              </w:rPr>
              <w:t>εσόδων ΤΠ 200</w:t>
            </w:r>
            <w:r w:rsidR="00762488">
              <w:rPr>
                <w:rFonts w:ascii="Arial Narrow" w:hAnsi="Arial Narrow"/>
                <w:b/>
                <w:color w:val="FFFFFF" w:themeColor="background1"/>
              </w:rPr>
              <w:t>8</w:t>
            </w:r>
            <w:r>
              <w:rPr>
                <w:rFonts w:ascii="Arial Narrow" w:hAnsi="Arial Narrow"/>
                <w:b/>
                <w:color w:val="FFFFFF" w:themeColor="background1"/>
              </w:rPr>
              <w:t>-201</w:t>
            </w:r>
            <w:r w:rsidR="00762488">
              <w:rPr>
                <w:rFonts w:ascii="Arial Narrow" w:hAnsi="Arial Narrow"/>
                <w:b/>
                <w:color w:val="FFFFFF" w:themeColor="background1"/>
              </w:rPr>
              <w:t>8</w:t>
            </w:r>
          </w:p>
        </w:tc>
      </w:tr>
      <w:tr w:rsidR="006D0FB1" w:rsidRPr="009A6179" w:rsidTr="00632CAB">
        <w:trPr>
          <w:trHeight w:val="192"/>
          <w:jc w:val="center"/>
        </w:trPr>
        <w:tc>
          <w:tcPr>
            <w:tcW w:w="9171" w:type="dxa"/>
            <w:tcBorders>
              <w:top w:val="nil"/>
              <w:left w:val="nil"/>
              <w:bottom w:val="nil"/>
              <w:right w:val="nil"/>
            </w:tcBorders>
            <w:shd w:val="clear" w:color="auto" w:fill="auto"/>
            <w:tcMar>
              <w:left w:w="28" w:type="dxa"/>
              <w:right w:w="28" w:type="dxa"/>
            </w:tcMar>
            <w:vAlign w:val="center"/>
          </w:tcPr>
          <w:p w:rsidR="006D0FB1" w:rsidRPr="009A6179" w:rsidRDefault="003331A6" w:rsidP="00632CAB">
            <w:pPr>
              <w:jc w:val="center"/>
              <w:rPr>
                <w:rFonts w:ascii="Arial Narrow" w:hAnsi="Arial Narrow"/>
                <w:b/>
                <w:sz w:val="20"/>
                <w:szCs w:val="16"/>
              </w:rPr>
            </w:pPr>
            <w:r>
              <w:rPr>
                <w:rFonts w:ascii="Arial Narrow" w:hAnsi="Arial Narrow"/>
                <w:b/>
                <w:noProof/>
                <w:sz w:val="20"/>
                <w:szCs w:val="16"/>
              </w:rPr>
              <w:drawing>
                <wp:inline distT="0" distB="0" distL="0" distR="0">
                  <wp:extent cx="5486400" cy="2724785"/>
                  <wp:effectExtent l="0" t="0" r="0" b="0"/>
                  <wp:docPr id="7"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6D0FB1" w:rsidRPr="009A6179" w:rsidRDefault="006D0FB1" w:rsidP="006D0FB1">
      <w:pPr>
        <w:jc w:val="both"/>
        <w:rPr>
          <w:sz w:val="22"/>
          <w:szCs w:val="22"/>
        </w:rPr>
      </w:pPr>
    </w:p>
    <w:tbl>
      <w:tblPr>
        <w:tblpPr w:leftFromText="180" w:rightFromText="180" w:vertAnchor="text" w:tblpXSpec="center" w:tblpY="1"/>
        <w:tblOverlap w:val="neve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007"/>
        <w:gridCol w:w="2153"/>
        <w:gridCol w:w="2127"/>
        <w:gridCol w:w="1711"/>
      </w:tblGrid>
      <w:tr w:rsidR="006D0FB1" w:rsidRPr="000824A8" w:rsidTr="00632CAB">
        <w:tc>
          <w:tcPr>
            <w:tcW w:w="7998" w:type="dxa"/>
            <w:gridSpan w:val="4"/>
            <w:tcBorders>
              <w:top w:val="single" w:sz="4" w:space="0" w:color="auto"/>
              <w:left w:val="single" w:sz="4" w:space="0" w:color="auto"/>
              <w:bottom w:val="nil"/>
              <w:right w:val="single" w:sz="4" w:space="0" w:color="auto"/>
            </w:tcBorders>
            <w:shd w:val="clear" w:color="auto" w:fill="404040"/>
            <w:vAlign w:val="center"/>
          </w:tcPr>
          <w:p w:rsidR="006D0FB1" w:rsidRPr="000824A8" w:rsidRDefault="006D0FB1" w:rsidP="00632CAB">
            <w:pPr>
              <w:keepNext/>
              <w:spacing w:before="120" w:after="120"/>
              <w:jc w:val="center"/>
              <w:outlineLvl w:val="6"/>
              <w:rPr>
                <w:rFonts w:ascii="Arial Narrow" w:hAnsi="Arial Narrow" w:cs="Arial"/>
                <w:b/>
                <w:bCs/>
                <w:color w:val="FFFFFF" w:themeColor="background1"/>
              </w:rPr>
            </w:pPr>
            <w:r>
              <w:rPr>
                <w:rFonts w:ascii="Arial Narrow" w:hAnsi="Arial Narrow" w:cs="Arial"/>
                <w:b/>
                <w:bCs/>
                <w:color w:val="FFFFFF" w:themeColor="background1"/>
              </w:rPr>
              <w:t>Πίνακας 3.6</w:t>
            </w:r>
            <w:r w:rsidRPr="000824A8">
              <w:rPr>
                <w:rFonts w:ascii="Arial Narrow" w:hAnsi="Arial Narrow" w:cs="Arial"/>
                <w:b/>
                <w:bCs/>
                <w:color w:val="FFFFFF" w:themeColor="background1"/>
              </w:rPr>
              <w:t xml:space="preserve">   Σύνθεση φορολογικών εσόδων κατά κατηγορία</w:t>
            </w:r>
          </w:p>
        </w:tc>
      </w:tr>
      <w:tr w:rsidR="006D0FB1" w:rsidRPr="000824A8" w:rsidTr="00632CAB">
        <w:tc>
          <w:tcPr>
            <w:tcW w:w="2007" w:type="dxa"/>
            <w:tcBorders>
              <w:top w:val="nil"/>
              <w:left w:val="single" w:sz="4" w:space="0" w:color="auto"/>
              <w:bottom w:val="single" w:sz="4" w:space="0" w:color="auto"/>
              <w:right w:val="nil"/>
            </w:tcBorders>
            <w:shd w:val="clear" w:color="auto" w:fill="auto"/>
            <w:vAlign w:val="center"/>
          </w:tcPr>
          <w:p w:rsidR="006D0FB1" w:rsidRPr="000824A8" w:rsidRDefault="006D0FB1" w:rsidP="00632CAB">
            <w:pPr>
              <w:jc w:val="center"/>
              <w:rPr>
                <w:b/>
                <w:sz w:val="16"/>
                <w:szCs w:val="20"/>
              </w:rPr>
            </w:pPr>
          </w:p>
        </w:tc>
        <w:tc>
          <w:tcPr>
            <w:tcW w:w="2153" w:type="dxa"/>
            <w:tcBorders>
              <w:top w:val="nil"/>
              <w:left w:val="nil"/>
              <w:bottom w:val="single" w:sz="4" w:space="0" w:color="auto"/>
              <w:right w:val="nil"/>
            </w:tcBorders>
            <w:shd w:val="clear" w:color="auto" w:fill="auto"/>
          </w:tcPr>
          <w:p w:rsidR="006D0FB1" w:rsidRPr="000824A8" w:rsidRDefault="006D0FB1" w:rsidP="00632CAB">
            <w:pPr>
              <w:jc w:val="center"/>
              <w:rPr>
                <w:b/>
                <w:sz w:val="16"/>
                <w:szCs w:val="20"/>
              </w:rPr>
            </w:pPr>
          </w:p>
        </w:tc>
        <w:tc>
          <w:tcPr>
            <w:tcW w:w="2127" w:type="dxa"/>
            <w:tcBorders>
              <w:top w:val="nil"/>
              <w:left w:val="nil"/>
              <w:bottom w:val="single" w:sz="4" w:space="0" w:color="auto"/>
              <w:right w:val="nil"/>
            </w:tcBorders>
            <w:shd w:val="clear" w:color="auto" w:fill="auto"/>
            <w:vAlign w:val="center"/>
          </w:tcPr>
          <w:p w:rsidR="006D0FB1" w:rsidRPr="000824A8" w:rsidRDefault="006D0FB1" w:rsidP="00632CAB">
            <w:pPr>
              <w:jc w:val="center"/>
              <w:rPr>
                <w:b/>
                <w:sz w:val="16"/>
                <w:szCs w:val="20"/>
              </w:rPr>
            </w:pPr>
          </w:p>
        </w:tc>
        <w:tc>
          <w:tcPr>
            <w:tcW w:w="1711" w:type="dxa"/>
            <w:tcBorders>
              <w:top w:val="nil"/>
              <w:left w:val="nil"/>
              <w:bottom w:val="single" w:sz="4" w:space="0" w:color="auto"/>
              <w:right w:val="single" w:sz="4" w:space="0" w:color="auto"/>
            </w:tcBorders>
            <w:shd w:val="clear" w:color="auto" w:fill="auto"/>
          </w:tcPr>
          <w:p w:rsidR="006D0FB1" w:rsidRPr="000824A8" w:rsidRDefault="006D0FB1" w:rsidP="00632CAB">
            <w:pPr>
              <w:jc w:val="center"/>
              <w:rPr>
                <w:b/>
                <w:sz w:val="16"/>
                <w:szCs w:val="20"/>
              </w:rPr>
            </w:pPr>
          </w:p>
        </w:tc>
      </w:tr>
      <w:tr w:rsidR="006D0FB1" w:rsidRPr="000824A8" w:rsidTr="00632CAB">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6D0FB1" w:rsidRPr="000824A8" w:rsidRDefault="006D0FB1" w:rsidP="00632CAB">
            <w:pPr>
              <w:jc w:val="center"/>
              <w:rPr>
                <w:rFonts w:ascii="Arial Narrow" w:hAnsi="Arial Narrow"/>
                <w:b/>
                <w:sz w:val="16"/>
                <w:szCs w:val="20"/>
              </w:rPr>
            </w:pPr>
            <w:r w:rsidRPr="000824A8">
              <w:rPr>
                <w:rFonts w:ascii="Arial Narrow" w:hAnsi="Arial Narrow"/>
                <w:b/>
                <w:sz w:val="16"/>
                <w:szCs w:val="20"/>
              </w:rPr>
              <w:t>Έτος</w:t>
            </w: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6D0FB1" w:rsidRPr="000824A8" w:rsidRDefault="006D0FB1" w:rsidP="00632CAB">
            <w:pPr>
              <w:jc w:val="center"/>
              <w:rPr>
                <w:rFonts w:ascii="Arial Narrow" w:hAnsi="Arial Narrow"/>
                <w:b/>
                <w:sz w:val="16"/>
                <w:szCs w:val="20"/>
              </w:rPr>
            </w:pPr>
            <w:r w:rsidRPr="000824A8">
              <w:rPr>
                <w:rFonts w:ascii="Arial Narrow" w:hAnsi="Arial Narrow"/>
                <w:b/>
                <w:sz w:val="16"/>
                <w:szCs w:val="20"/>
              </w:rPr>
              <w:t>Άμεσοι φόροι</w:t>
            </w:r>
          </w:p>
          <w:p w:rsidR="006D0FB1" w:rsidRPr="000824A8" w:rsidRDefault="006D0FB1" w:rsidP="00632CAB">
            <w:pPr>
              <w:jc w:val="center"/>
              <w:rPr>
                <w:rFonts w:ascii="Arial Narrow" w:hAnsi="Arial Narrow"/>
                <w:b/>
                <w:sz w:val="16"/>
                <w:szCs w:val="20"/>
              </w:rPr>
            </w:pPr>
            <w:r w:rsidRPr="000824A8">
              <w:rPr>
                <w:rFonts w:ascii="Arial Narrow" w:hAnsi="Arial Narrow"/>
                <w:b/>
                <w:sz w:val="16"/>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D0FB1" w:rsidRPr="000824A8" w:rsidRDefault="006D0FB1" w:rsidP="00632CAB">
            <w:pPr>
              <w:jc w:val="center"/>
              <w:rPr>
                <w:rFonts w:ascii="Arial Narrow" w:hAnsi="Arial Narrow"/>
                <w:b/>
                <w:sz w:val="16"/>
                <w:szCs w:val="20"/>
              </w:rPr>
            </w:pPr>
            <w:r w:rsidRPr="000824A8">
              <w:rPr>
                <w:rFonts w:ascii="Arial Narrow" w:hAnsi="Arial Narrow"/>
                <w:b/>
                <w:sz w:val="16"/>
                <w:szCs w:val="20"/>
              </w:rPr>
              <w:t>Έμμεσοι φόροι</w:t>
            </w:r>
          </w:p>
          <w:p w:rsidR="006D0FB1" w:rsidRPr="000824A8" w:rsidRDefault="006D0FB1" w:rsidP="00632CAB">
            <w:pPr>
              <w:jc w:val="center"/>
              <w:rPr>
                <w:rFonts w:ascii="Arial Narrow" w:hAnsi="Arial Narrow"/>
                <w:b/>
                <w:sz w:val="16"/>
                <w:szCs w:val="20"/>
              </w:rPr>
            </w:pPr>
            <w:r w:rsidRPr="000824A8">
              <w:rPr>
                <w:rFonts w:ascii="Arial Narrow" w:hAnsi="Arial Narrow"/>
                <w:b/>
                <w:sz w:val="16"/>
                <w:szCs w:val="20"/>
              </w:rPr>
              <w:t>(%)</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6D0FB1" w:rsidRPr="000824A8" w:rsidRDefault="006D0FB1" w:rsidP="00632CAB">
            <w:pPr>
              <w:keepNext/>
              <w:jc w:val="center"/>
              <w:outlineLvl w:val="4"/>
              <w:rPr>
                <w:rFonts w:ascii="Arial Narrow" w:hAnsi="Arial Narrow"/>
                <w:b/>
                <w:sz w:val="16"/>
                <w:szCs w:val="20"/>
              </w:rPr>
            </w:pPr>
            <w:r w:rsidRPr="000824A8">
              <w:rPr>
                <w:rFonts w:ascii="Arial Narrow" w:hAnsi="Arial Narrow"/>
                <w:b/>
                <w:sz w:val="16"/>
                <w:szCs w:val="20"/>
              </w:rPr>
              <w:t>Λόγος</w:t>
            </w:r>
          </w:p>
          <w:p w:rsidR="006D0FB1" w:rsidRPr="000824A8" w:rsidRDefault="006D0FB1" w:rsidP="00632CAB">
            <w:pPr>
              <w:jc w:val="center"/>
              <w:rPr>
                <w:rFonts w:ascii="Arial Narrow" w:hAnsi="Arial Narrow"/>
                <w:b/>
                <w:sz w:val="16"/>
                <w:szCs w:val="20"/>
              </w:rPr>
            </w:pPr>
            <w:r w:rsidRPr="000824A8">
              <w:rPr>
                <w:rFonts w:ascii="Arial Narrow" w:hAnsi="Arial Narrow"/>
                <w:b/>
                <w:sz w:val="16"/>
                <w:szCs w:val="20"/>
              </w:rPr>
              <w:t>έμμεσων/άμεσων φόρων</w:t>
            </w:r>
          </w:p>
        </w:tc>
      </w:tr>
      <w:tr w:rsidR="006D0FB1" w:rsidRPr="000824A8" w:rsidTr="00632CAB">
        <w:tc>
          <w:tcPr>
            <w:tcW w:w="2007" w:type="dxa"/>
            <w:tcBorders>
              <w:top w:val="nil"/>
              <w:left w:val="single" w:sz="4" w:space="0" w:color="auto"/>
              <w:bottom w:val="nil"/>
              <w:right w:val="nil"/>
            </w:tcBorders>
            <w:shd w:val="clear" w:color="auto" w:fill="auto"/>
            <w:vAlign w:val="center"/>
          </w:tcPr>
          <w:p w:rsidR="006D0FB1" w:rsidRPr="000824A8" w:rsidRDefault="006D0FB1" w:rsidP="00632CAB">
            <w:pPr>
              <w:spacing w:before="60" w:after="60"/>
              <w:jc w:val="center"/>
              <w:rPr>
                <w:rFonts w:ascii="Arial Narrow" w:hAnsi="Arial Narrow"/>
                <w:sz w:val="16"/>
                <w:szCs w:val="20"/>
              </w:rPr>
            </w:pPr>
            <w:r w:rsidRPr="000824A8">
              <w:rPr>
                <w:rFonts w:ascii="Arial Narrow" w:hAnsi="Arial Narrow"/>
                <w:sz w:val="16"/>
                <w:szCs w:val="20"/>
              </w:rPr>
              <w:t>2008</w:t>
            </w:r>
          </w:p>
        </w:tc>
        <w:tc>
          <w:tcPr>
            <w:tcW w:w="2153"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40,8</w:t>
            </w:r>
          </w:p>
        </w:tc>
        <w:tc>
          <w:tcPr>
            <w:tcW w:w="2127"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59,2</w:t>
            </w:r>
          </w:p>
        </w:tc>
        <w:tc>
          <w:tcPr>
            <w:tcW w:w="1711" w:type="dxa"/>
            <w:tcBorders>
              <w:top w:val="nil"/>
              <w:left w:val="nil"/>
              <w:bottom w:val="nil"/>
              <w:right w:val="single" w:sz="4" w:space="0" w:color="auto"/>
            </w:tcBorders>
            <w:shd w:val="clear" w:color="auto" w:fill="auto"/>
            <w:vAlign w:val="center"/>
          </w:tcPr>
          <w:p w:rsidR="006D0FB1" w:rsidRPr="000824A8" w:rsidRDefault="006D0FB1" w:rsidP="00632CAB">
            <w:pPr>
              <w:jc w:val="center"/>
              <w:rPr>
                <w:rFonts w:ascii="Arial Narrow" w:hAnsi="Arial Narrow"/>
                <w:b/>
                <w:bCs/>
                <w:sz w:val="16"/>
                <w:szCs w:val="16"/>
              </w:rPr>
            </w:pPr>
            <w:r w:rsidRPr="000824A8">
              <w:rPr>
                <w:rFonts w:ascii="Arial Narrow" w:hAnsi="Arial Narrow"/>
                <w:b/>
                <w:bCs/>
                <w:sz w:val="16"/>
                <w:szCs w:val="16"/>
              </w:rPr>
              <w:t>1,45</w:t>
            </w:r>
          </w:p>
        </w:tc>
      </w:tr>
      <w:tr w:rsidR="006D0FB1" w:rsidRPr="000824A8" w:rsidTr="00632CAB">
        <w:tc>
          <w:tcPr>
            <w:tcW w:w="2007" w:type="dxa"/>
            <w:tcBorders>
              <w:top w:val="nil"/>
              <w:left w:val="single" w:sz="4" w:space="0" w:color="auto"/>
              <w:bottom w:val="nil"/>
              <w:right w:val="nil"/>
            </w:tcBorders>
            <w:shd w:val="clear" w:color="auto" w:fill="auto"/>
            <w:vAlign w:val="center"/>
          </w:tcPr>
          <w:p w:rsidR="006D0FB1" w:rsidRPr="000824A8" w:rsidRDefault="006D0FB1" w:rsidP="00632CAB">
            <w:pPr>
              <w:spacing w:before="60" w:after="60"/>
              <w:jc w:val="center"/>
              <w:rPr>
                <w:rFonts w:ascii="Arial Narrow" w:hAnsi="Arial Narrow"/>
                <w:sz w:val="16"/>
                <w:szCs w:val="20"/>
              </w:rPr>
            </w:pPr>
            <w:r w:rsidRPr="000824A8">
              <w:rPr>
                <w:rFonts w:ascii="Arial Narrow" w:hAnsi="Arial Narrow"/>
                <w:sz w:val="16"/>
                <w:szCs w:val="20"/>
              </w:rPr>
              <w:t>2009</w:t>
            </w:r>
          </w:p>
        </w:tc>
        <w:tc>
          <w:tcPr>
            <w:tcW w:w="2153"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43,1</w:t>
            </w:r>
          </w:p>
        </w:tc>
        <w:tc>
          <w:tcPr>
            <w:tcW w:w="2127"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56,9</w:t>
            </w:r>
          </w:p>
        </w:tc>
        <w:tc>
          <w:tcPr>
            <w:tcW w:w="1711" w:type="dxa"/>
            <w:tcBorders>
              <w:top w:val="nil"/>
              <w:left w:val="nil"/>
              <w:bottom w:val="nil"/>
              <w:right w:val="single" w:sz="4" w:space="0" w:color="auto"/>
            </w:tcBorders>
            <w:shd w:val="clear" w:color="auto" w:fill="auto"/>
            <w:vAlign w:val="center"/>
          </w:tcPr>
          <w:p w:rsidR="006D0FB1" w:rsidRPr="000824A8" w:rsidRDefault="006D0FB1" w:rsidP="00632CAB">
            <w:pPr>
              <w:jc w:val="center"/>
              <w:rPr>
                <w:rFonts w:ascii="Arial Narrow" w:hAnsi="Arial Narrow"/>
                <w:b/>
                <w:bCs/>
                <w:sz w:val="16"/>
                <w:szCs w:val="16"/>
              </w:rPr>
            </w:pPr>
            <w:r w:rsidRPr="000824A8">
              <w:rPr>
                <w:rFonts w:ascii="Arial Narrow" w:hAnsi="Arial Narrow"/>
                <w:b/>
                <w:bCs/>
                <w:sz w:val="16"/>
                <w:szCs w:val="16"/>
              </w:rPr>
              <w:t>1,32</w:t>
            </w:r>
          </w:p>
        </w:tc>
      </w:tr>
      <w:tr w:rsidR="006D0FB1" w:rsidRPr="000824A8" w:rsidTr="00632CAB">
        <w:tc>
          <w:tcPr>
            <w:tcW w:w="2007" w:type="dxa"/>
            <w:tcBorders>
              <w:top w:val="nil"/>
              <w:left w:val="single" w:sz="4" w:space="0" w:color="auto"/>
              <w:bottom w:val="nil"/>
              <w:right w:val="nil"/>
            </w:tcBorders>
            <w:shd w:val="clear" w:color="auto" w:fill="auto"/>
            <w:vAlign w:val="center"/>
          </w:tcPr>
          <w:p w:rsidR="006D0FB1" w:rsidRPr="000824A8" w:rsidRDefault="006D0FB1" w:rsidP="00632CAB">
            <w:pPr>
              <w:spacing w:before="60" w:after="60"/>
              <w:jc w:val="center"/>
              <w:rPr>
                <w:rFonts w:ascii="Arial Narrow" w:hAnsi="Arial Narrow"/>
                <w:sz w:val="16"/>
                <w:szCs w:val="20"/>
              </w:rPr>
            </w:pPr>
            <w:r w:rsidRPr="000824A8">
              <w:rPr>
                <w:rFonts w:ascii="Arial Narrow" w:hAnsi="Arial Narrow"/>
                <w:sz w:val="16"/>
                <w:szCs w:val="20"/>
              </w:rPr>
              <w:t>2010</w:t>
            </w:r>
          </w:p>
        </w:tc>
        <w:tc>
          <w:tcPr>
            <w:tcW w:w="2153"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39,4</w:t>
            </w:r>
          </w:p>
        </w:tc>
        <w:tc>
          <w:tcPr>
            <w:tcW w:w="2127"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60,6</w:t>
            </w:r>
          </w:p>
        </w:tc>
        <w:tc>
          <w:tcPr>
            <w:tcW w:w="1711" w:type="dxa"/>
            <w:tcBorders>
              <w:top w:val="nil"/>
              <w:left w:val="nil"/>
              <w:bottom w:val="nil"/>
              <w:right w:val="single" w:sz="4" w:space="0" w:color="auto"/>
            </w:tcBorders>
            <w:shd w:val="clear" w:color="auto" w:fill="auto"/>
            <w:vAlign w:val="center"/>
          </w:tcPr>
          <w:p w:rsidR="006D0FB1" w:rsidRPr="000824A8" w:rsidRDefault="006D0FB1" w:rsidP="00632CAB">
            <w:pPr>
              <w:jc w:val="center"/>
              <w:rPr>
                <w:rFonts w:ascii="Arial Narrow" w:hAnsi="Arial Narrow"/>
                <w:b/>
                <w:bCs/>
                <w:sz w:val="16"/>
                <w:szCs w:val="16"/>
              </w:rPr>
            </w:pPr>
            <w:r w:rsidRPr="000824A8">
              <w:rPr>
                <w:rFonts w:ascii="Arial Narrow" w:hAnsi="Arial Narrow"/>
                <w:b/>
                <w:bCs/>
                <w:sz w:val="16"/>
                <w:szCs w:val="16"/>
              </w:rPr>
              <w:t>1,53</w:t>
            </w:r>
          </w:p>
        </w:tc>
      </w:tr>
      <w:tr w:rsidR="006D0FB1" w:rsidRPr="000824A8" w:rsidTr="00632CAB">
        <w:tc>
          <w:tcPr>
            <w:tcW w:w="2007" w:type="dxa"/>
            <w:tcBorders>
              <w:top w:val="nil"/>
              <w:left w:val="single" w:sz="4" w:space="0" w:color="auto"/>
              <w:bottom w:val="nil"/>
              <w:right w:val="nil"/>
            </w:tcBorders>
            <w:shd w:val="clear" w:color="auto" w:fill="auto"/>
            <w:vAlign w:val="center"/>
          </w:tcPr>
          <w:p w:rsidR="006D0FB1" w:rsidRPr="000824A8" w:rsidRDefault="006D0FB1" w:rsidP="00632CAB">
            <w:pPr>
              <w:spacing w:before="60" w:after="60"/>
              <w:jc w:val="center"/>
              <w:rPr>
                <w:rFonts w:ascii="Arial Narrow" w:hAnsi="Arial Narrow"/>
                <w:sz w:val="16"/>
                <w:szCs w:val="20"/>
              </w:rPr>
            </w:pPr>
            <w:r w:rsidRPr="000824A8">
              <w:rPr>
                <w:rFonts w:ascii="Arial Narrow" w:hAnsi="Arial Narrow"/>
                <w:sz w:val="16"/>
                <w:szCs w:val="20"/>
              </w:rPr>
              <w:t>2011</w:t>
            </w:r>
          </w:p>
        </w:tc>
        <w:tc>
          <w:tcPr>
            <w:tcW w:w="2153"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41,5</w:t>
            </w:r>
          </w:p>
        </w:tc>
        <w:tc>
          <w:tcPr>
            <w:tcW w:w="2127"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58,5</w:t>
            </w:r>
          </w:p>
        </w:tc>
        <w:tc>
          <w:tcPr>
            <w:tcW w:w="1711" w:type="dxa"/>
            <w:tcBorders>
              <w:top w:val="nil"/>
              <w:left w:val="nil"/>
              <w:bottom w:val="nil"/>
              <w:right w:val="single" w:sz="4" w:space="0" w:color="auto"/>
            </w:tcBorders>
            <w:shd w:val="clear" w:color="auto" w:fill="auto"/>
            <w:vAlign w:val="center"/>
          </w:tcPr>
          <w:p w:rsidR="006D0FB1" w:rsidRPr="000824A8" w:rsidRDefault="006D0FB1" w:rsidP="00632CAB">
            <w:pPr>
              <w:jc w:val="center"/>
              <w:rPr>
                <w:rFonts w:ascii="Arial Narrow" w:hAnsi="Arial Narrow"/>
                <w:b/>
                <w:bCs/>
                <w:sz w:val="16"/>
                <w:szCs w:val="16"/>
              </w:rPr>
            </w:pPr>
            <w:r w:rsidRPr="000824A8">
              <w:rPr>
                <w:rFonts w:ascii="Arial Narrow" w:hAnsi="Arial Narrow"/>
                <w:b/>
                <w:bCs/>
                <w:sz w:val="16"/>
                <w:szCs w:val="16"/>
              </w:rPr>
              <w:t>1,41</w:t>
            </w:r>
          </w:p>
        </w:tc>
      </w:tr>
      <w:tr w:rsidR="006D0FB1" w:rsidRPr="000824A8" w:rsidTr="00632CAB">
        <w:tc>
          <w:tcPr>
            <w:tcW w:w="2007" w:type="dxa"/>
            <w:tcBorders>
              <w:top w:val="nil"/>
              <w:left w:val="single" w:sz="4" w:space="0" w:color="auto"/>
              <w:bottom w:val="nil"/>
              <w:right w:val="nil"/>
            </w:tcBorders>
            <w:shd w:val="clear" w:color="auto" w:fill="auto"/>
            <w:vAlign w:val="center"/>
          </w:tcPr>
          <w:p w:rsidR="006D0FB1" w:rsidRPr="000824A8" w:rsidRDefault="006D0FB1" w:rsidP="00632CAB">
            <w:pPr>
              <w:spacing w:before="60" w:after="60"/>
              <w:jc w:val="center"/>
              <w:rPr>
                <w:rFonts w:ascii="Arial Narrow" w:hAnsi="Arial Narrow"/>
                <w:sz w:val="16"/>
                <w:szCs w:val="20"/>
              </w:rPr>
            </w:pPr>
            <w:r w:rsidRPr="000824A8">
              <w:rPr>
                <w:rFonts w:ascii="Arial Narrow" w:hAnsi="Arial Narrow"/>
                <w:sz w:val="16"/>
                <w:szCs w:val="20"/>
              </w:rPr>
              <w:t>2012</w:t>
            </w:r>
          </w:p>
        </w:tc>
        <w:tc>
          <w:tcPr>
            <w:tcW w:w="2153"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44,7</w:t>
            </w:r>
          </w:p>
        </w:tc>
        <w:tc>
          <w:tcPr>
            <w:tcW w:w="2127"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55,3</w:t>
            </w:r>
          </w:p>
        </w:tc>
        <w:tc>
          <w:tcPr>
            <w:tcW w:w="1711" w:type="dxa"/>
            <w:tcBorders>
              <w:top w:val="nil"/>
              <w:left w:val="nil"/>
              <w:bottom w:val="nil"/>
              <w:right w:val="single" w:sz="4" w:space="0" w:color="auto"/>
            </w:tcBorders>
            <w:shd w:val="clear" w:color="auto" w:fill="auto"/>
            <w:vAlign w:val="center"/>
          </w:tcPr>
          <w:p w:rsidR="006D0FB1" w:rsidRPr="000824A8" w:rsidRDefault="006D0FB1" w:rsidP="00632CAB">
            <w:pPr>
              <w:jc w:val="center"/>
              <w:rPr>
                <w:rFonts w:ascii="Arial Narrow" w:hAnsi="Arial Narrow"/>
                <w:b/>
                <w:bCs/>
                <w:sz w:val="16"/>
                <w:szCs w:val="16"/>
              </w:rPr>
            </w:pPr>
            <w:r w:rsidRPr="000824A8">
              <w:rPr>
                <w:rFonts w:ascii="Arial Narrow" w:hAnsi="Arial Narrow"/>
                <w:b/>
                <w:bCs/>
                <w:sz w:val="16"/>
                <w:szCs w:val="16"/>
              </w:rPr>
              <w:t>1,24</w:t>
            </w:r>
          </w:p>
        </w:tc>
      </w:tr>
      <w:tr w:rsidR="006D0FB1" w:rsidRPr="000824A8" w:rsidTr="00632CAB">
        <w:tc>
          <w:tcPr>
            <w:tcW w:w="2007" w:type="dxa"/>
            <w:tcBorders>
              <w:top w:val="nil"/>
              <w:left w:val="single" w:sz="4" w:space="0" w:color="auto"/>
              <w:bottom w:val="nil"/>
              <w:right w:val="nil"/>
            </w:tcBorders>
            <w:shd w:val="clear" w:color="auto" w:fill="auto"/>
            <w:vAlign w:val="center"/>
          </w:tcPr>
          <w:p w:rsidR="006D0FB1" w:rsidRPr="000824A8" w:rsidRDefault="006D0FB1" w:rsidP="00632CAB">
            <w:pPr>
              <w:spacing w:before="60" w:after="60"/>
              <w:jc w:val="center"/>
              <w:rPr>
                <w:rFonts w:ascii="Arial Narrow" w:hAnsi="Arial Narrow"/>
                <w:sz w:val="16"/>
                <w:szCs w:val="20"/>
              </w:rPr>
            </w:pPr>
            <w:r w:rsidRPr="000824A8">
              <w:rPr>
                <w:rFonts w:ascii="Arial Narrow" w:hAnsi="Arial Narrow"/>
                <w:sz w:val="16"/>
                <w:szCs w:val="20"/>
              </w:rPr>
              <w:t>2013</w:t>
            </w:r>
          </w:p>
        </w:tc>
        <w:tc>
          <w:tcPr>
            <w:tcW w:w="2153"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45,0</w:t>
            </w:r>
          </w:p>
        </w:tc>
        <w:tc>
          <w:tcPr>
            <w:tcW w:w="2127"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55,0</w:t>
            </w:r>
          </w:p>
        </w:tc>
        <w:tc>
          <w:tcPr>
            <w:tcW w:w="1711" w:type="dxa"/>
            <w:tcBorders>
              <w:top w:val="nil"/>
              <w:left w:val="nil"/>
              <w:bottom w:val="nil"/>
              <w:right w:val="single" w:sz="4" w:space="0" w:color="auto"/>
            </w:tcBorders>
            <w:shd w:val="clear" w:color="auto" w:fill="auto"/>
            <w:vAlign w:val="center"/>
          </w:tcPr>
          <w:p w:rsidR="006D0FB1" w:rsidRPr="000824A8" w:rsidRDefault="006D0FB1" w:rsidP="00632CAB">
            <w:pPr>
              <w:jc w:val="center"/>
              <w:rPr>
                <w:rFonts w:ascii="Arial Narrow" w:hAnsi="Arial Narrow"/>
                <w:b/>
                <w:bCs/>
                <w:sz w:val="16"/>
                <w:szCs w:val="16"/>
              </w:rPr>
            </w:pPr>
            <w:r w:rsidRPr="000824A8">
              <w:rPr>
                <w:rFonts w:ascii="Arial Narrow" w:hAnsi="Arial Narrow"/>
                <w:b/>
                <w:bCs/>
                <w:sz w:val="16"/>
                <w:szCs w:val="16"/>
              </w:rPr>
              <w:t>1,22</w:t>
            </w:r>
          </w:p>
        </w:tc>
      </w:tr>
      <w:tr w:rsidR="006D0FB1" w:rsidRPr="000824A8" w:rsidTr="00632CAB">
        <w:tc>
          <w:tcPr>
            <w:tcW w:w="2007" w:type="dxa"/>
            <w:tcBorders>
              <w:top w:val="nil"/>
              <w:left w:val="single" w:sz="4" w:space="0" w:color="auto"/>
              <w:bottom w:val="nil"/>
              <w:right w:val="nil"/>
            </w:tcBorders>
            <w:shd w:val="clear" w:color="auto" w:fill="auto"/>
            <w:vAlign w:val="center"/>
          </w:tcPr>
          <w:p w:rsidR="006D0FB1" w:rsidRPr="000824A8" w:rsidRDefault="006D0FB1" w:rsidP="00632CAB">
            <w:pPr>
              <w:spacing w:before="60" w:after="60"/>
              <w:jc w:val="center"/>
              <w:rPr>
                <w:rFonts w:ascii="Arial Narrow" w:hAnsi="Arial Narrow"/>
                <w:sz w:val="16"/>
                <w:szCs w:val="20"/>
              </w:rPr>
            </w:pPr>
            <w:r w:rsidRPr="000824A8">
              <w:rPr>
                <w:rFonts w:ascii="Arial Narrow" w:hAnsi="Arial Narrow"/>
                <w:sz w:val="16"/>
                <w:szCs w:val="20"/>
              </w:rPr>
              <w:t>2014</w:t>
            </w:r>
          </w:p>
        </w:tc>
        <w:tc>
          <w:tcPr>
            <w:tcW w:w="2153"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46,5</w:t>
            </w:r>
          </w:p>
        </w:tc>
        <w:tc>
          <w:tcPr>
            <w:tcW w:w="2127"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53,5</w:t>
            </w:r>
          </w:p>
        </w:tc>
        <w:tc>
          <w:tcPr>
            <w:tcW w:w="1711" w:type="dxa"/>
            <w:tcBorders>
              <w:top w:val="nil"/>
              <w:left w:val="nil"/>
              <w:bottom w:val="nil"/>
              <w:right w:val="single" w:sz="4" w:space="0" w:color="auto"/>
            </w:tcBorders>
            <w:shd w:val="clear" w:color="auto" w:fill="auto"/>
            <w:vAlign w:val="center"/>
          </w:tcPr>
          <w:p w:rsidR="006D0FB1" w:rsidRPr="000824A8" w:rsidRDefault="006D0FB1" w:rsidP="00632CAB">
            <w:pPr>
              <w:jc w:val="center"/>
              <w:rPr>
                <w:rFonts w:ascii="Arial Narrow" w:hAnsi="Arial Narrow"/>
                <w:b/>
                <w:bCs/>
                <w:sz w:val="16"/>
                <w:szCs w:val="16"/>
              </w:rPr>
            </w:pPr>
            <w:r w:rsidRPr="000824A8">
              <w:rPr>
                <w:rFonts w:ascii="Arial Narrow" w:hAnsi="Arial Narrow"/>
                <w:b/>
                <w:bCs/>
                <w:sz w:val="16"/>
                <w:szCs w:val="16"/>
              </w:rPr>
              <w:t>1,15</w:t>
            </w:r>
          </w:p>
        </w:tc>
      </w:tr>
      <w:tr w:rsidR="006D0FB1" w:rsidRPr="000824A8" w:rsidTr="00632CAB">
        <w:tc>
          <w:tcPr>
            <w:tcW w:w="2007" w:type="dxa"/>
            <w:tcBorders>
              <w:top w:val="nil"/>
              <w:left w:val="single" w:sz="4" w:space="0" w:color="auto"/>
              <w:bottom w:val="nil"/>
              <w:right w:val="nil"/>
            </w:tcBorders>
            <w:shd w:val="clear" w:color="auto" w:fill="auto"/>
            <w:vAlign w:val="center"/>
          </w:tcPr>
          <w:p w:rsidR="006D0FB1" w:rsidRPr="000824A8" w:rsidRDefault="006D0FB1" w:rsidP="00632CAB">
            <w:pPr>
              <w:spacing w:before="60" w:after="60"/>
              <w:jc w:val="center"/>
              <w:rPr>
                <w:rFonts w:ascii="Arial Narrow" w:hAnsi="Arial Narrow"/>
                <w:sz w:val="16"/>
                <w:szCs w:val="20"/>
              </w:rPr>
            </w:pPr>
            <w:r>
              <w:rPr>
                <w:rFonts w:ascii="Arial Narrow" w:hAnsi="Arial Narrow"/>
                <w:sz w:val="16"/>
                <w:szCs w:val="20"/>
              </w:rPr>
              <w:t>2015</w:t>
            </w:r>
          </w:p>
        </w:tc>
        <w:tc>
          <w:tcPr>
            <w:tcW w:w="2153"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sidRPr="000824A8">
              <w:rPr>
                <w:rFonts w:ascii="Arial Narrow" w:hAnsi="Arial Narrow"/>
                <w:sz w:val="16"/>
                <w:szCs w:val="16"/>
              </w:rPr>
              <w:t>4</w:t>
            </w:r>
            <w:r>
              <w:rPr>
                <w:rFonts w:ascii="Arial Narrow" w:hAnsi="Arial Narrow"/>
                <w:sz w:val="16"/>
                <w:szCs w:val="16"/>
              </w:rPr>
              <w:t>5,6</w:t>
            </w:r>
          </w:p>
        </w:tc>
        <w:tc>
          <w:tcPr>
            <w:tcW w:w="2127" w:type="dxa"/>
            <w:tcBorders>
              <w:top w:val="nil"/>
              <w:left w:val="nil"/>
              <w:bottom w:val="nil"/>
              <w:right w:val="nil"/>
            </w:tcBorders>
            <w:shd w:val="clear" w:color="auto" w:fill="auto"/>
            <w:vAlign w:val="center"/>
          </w:tcPr>
          <w:p w:rsidR="006D0FB1" w:rsidRPr="000824A8" w:rsidRDefault="006D0FB1" w:rsidP="00632CAB">
            <w:pPr>
              <w:jc w:val="center"/>
              <w:rPr>
                <w:rFonts w:ascii="Arial Narrow" w:hAnsi="Arial Narrow"/>
                <w:sz w:val="16"/>
                <w:szCs w:val="16"/>
              </w:rPr>
            </w:pPr>
            <w:r>
              <w:rPr>
                <w:rFonts w:ascii="Arial Narrow" w:hAnsi="Arial Narrow"/>
                <w:sz w:val="16"/>
                <w:szCs w:val="16"/>
              </w:rPr>
              <w:t>54,4</w:t>
            </w:r>
          </w:p>
        </w:tc>
        <w:tc>
          <w:tcPr>
            <w:tcW w:w="1711" w:type="dxa"/>
            <w:tcBorders>
              <w:top w:val="nil"/>
              <w:left w:val="nil"/>
              <w:bottom w:val="nil"/>
              <w:right w:val="single" w:sz="4" w:space="0" w:color="auto"/>
            </w:tcBorders>
            <w:shd w:val="clear" w:color="auto" w:fill="auto"/>
            <w:vAlign w:val="center"/>
          </w:tcPr>
          <w:p w:rsidR="006D0FB1" w:rsidRPr="000824A8" w:rsidRDefault="006D0FB1" w:rsidP="00632CAB">
            <w:pPr>
              <w:jc w:val="center"/>
              <w:rPr>
                <w:rFonts w:ascii="Arial Narrow" w:hAnsi="Arial Narrow"/>
                <w:b/>
                <w:bCs/>
                <w:sz w:val="16"/>
                <w:szCs w:val="16"/>
              </w:rPr>
            </w:pPr>
            <w:r>
              <w:rPr>
                <w:rFonts w:ascii="Arial Narrow" w:hAnsi="Arial Narrow"/>
                <w:b/>
                <w:bCs/>
                <w:sz w:val="16"/>
                <w:szCs w:val="16"/>
              </w:rPr>
              <w:t>1,19</w:t>
            </w:r>
          </w:p>
        </w:tc>
      </w:tr>
      <w:tr w:rsidR="00903633" w:rsidRPr="00903633" w:rsidTr="00B35613">
        <w:tc>
          <w:tcPr>
            <w:tcW w:w="2007" w:type="dxa"/>
            <w:tcBorders>
              <w:top w:val="nil"/>
              <w:left w:val="single" w:sz="4" w:space="0" w:color="auto"/>
              <w:bottom w:val="nil"/>
              <w:right w:val="nil"/>
            </w:tcBorders>
            <w:shd w:val="clear" w:color="auto" w:fill="auto"/>
            <w:vAlign w:val="bottom"/>
          </w:tcPr>
          <w:p w:rsidR="00903633" w:rsidRPr="00903633" w:rsidRDefault="00903633" w:rsidP="00903633">
            <w:pPr>
              <w:spacing w:before="60" w:after="60"/>
              <w:jc w:val="center"/>
              <w:rPr>
                <w:rFonts w:ascii="Arial Narrow" w:hAnsi="Arial Narrow"/>
                <w:sz w:val="16"/>
                <w:szCs w:val="20"/>
              </w:rPr>
            </w:pPr>
            <w:r w:rsidRPr="00903633">
              <w:rPr>
                <w:rFonts w:ascii="Arial Narrow" w:hAnsi="Arial Narrow"/>
                <w:sz w:val="16"/>
                <w:szCs w:val="20"/>
              </w:rPr>
              <w:t>2016</w:t>
            </w:r>
          </w:p>
        </w:tc>
        <w:tc>
          <w:tcPr>
            <w:tcW w:w="2153" w:type="dxa"/>
            <w:tcBorders>
              <w:top w:val="nil"/>
              <w:left w:val="nil"/>
              <w:bottom w:val="nil"/>
              <w:right w:val="nil"/>
            </w:tcBorders>
            <w:shd w:val="clear" w:color="auto" w:fill="auto"/>
            <w:vAlign w:val="bottom"/>
          </w:tcPr>
          <w:p w:rsidR="00903633" w:rsidRPr="00903633" w:rsidRDefault="00903633" w:rsidP="00903633">
            <w:pPr>
              <w:spacing w:before="60" w:after="60"/>
              <w:jc w:val="center"/>
              <w:rPr>
                <w:rFonts w:ascii="Arial Narrow" w:hAnsi="Arial Narrow"/>
                <w:sz w:val="16"/>
                <w:szCs w:val="20"/>
              </w:rPr>
            </w:pPr>
            <w:r w:rsidRPr="00903633">
              <w:rPr>
                <w:rFonts w:ascii="Arial Narrow" w:hAnsi="Arial Narrow"/>
                <w:sz w:val="16"/>
                <w:szCs w:val="20"/>
              </w:rPr>
              <w:t>46,0</w:t>
            </w:r>
          </w:p>
        </w:tc>
        <w:tc>
          <w:tcPr>
            <w:tcW w:w="2127" w:type="dxa"/>
            <w:tcBorders>
              <w:top w:val="nil"/>
              <w:left w:val="nil"/>
              <w:bottom w:val="nil"/>
              <w:right w:val="nil"/>
            </w:tcBorders>
            <w:shd w:val="clear" w:color="auto" w:fill="auto"/>
            <w:vAlign w:val="bottom"/>
          </w:tcPr>
          <w:p w:rsidR="00903633" w:rsidRPr="00903633" w:rsidRDefault="00903633" w:rsidP="00903633">
            <w:pPr>
              <w:spacing w:before="60" w:after="60"/>
              <w:jc w:val="center"/>
              <w:rPr>
                <w:rFonts w:ascii="Arial Narrow" w:hAnsi="Arial Narrow"/>
                <w:sz w:val="16"/>
                <w:szCs w:val="20"/>
              </w:rPr>
            </w:pPr>
            <w:r w:rsidRPr="00903633">
              <w:rPr>
                <w:rFonts w:ascii="Arial Narrow" w:hAnsi="Arial Narrow"/>
                <w:sz w:val="16"/>
                <w:szCs w:val="20"/>
              </w:rPr>
              <w:t>54,0</w:t>
            </w:r>
          </w:p>
        </w:tc>
        <w:tc>
          <w:tcPr>
            <w:tcW w:w="1711" w:type="dxa"/>
            <w:tcBorders>
              <w:top w:val="nil"/>
              <w:left w:val="nil"/>
              <w:bottom w:val="nil"/>
              <w:right w:val="single" w:sz="4" w:space="0" w:color="auto"/>
            </w:tcBorders>
            <w:shd w:val="clear" w:color="auto" w:fill="auto"/>
            <w:vAlign w:val="bottom"/>
          </w:tcPr>
          <w:p w:rsidR="00903633" w:rsidRPr="00903633" w:rsidRDefault="00903633" w:rsidP="00903633">
            <w:pPr>
              <w:spacing w:before="60" w:after="60"/>
              <w:jc w:val="center"/>
              <w:rPr>
                <w:rFonts w:ascii="Arial Narrow" w:hAnsi="Arial Narrow"/>
                <w:b/>
                <w:sz w:val="16"/>
                <w:szCs w:val="20"/>
              </w:rPr>
            </w:pPr>
            <w:r w:rsidRPr="00903633">
              <w:rPr>
                <w:rFonts w:ascii="Arial Narrow" w:hAnsi="Arial Narrow"/>
                <w:b/>
                <w:sz w:val="16"/>
                <w:szCs w:val="20"/>
              </w:rPr>
              <w:t>1,18</w:t>
            </w:r>
          </w:p>
        </w:tc>
      </w:tr>
      <w:tr w:rsidR="00903633" w:rsidRPr="00903633" w:rsidTr="00B35613">
        <w:tc>
          <w:tcPr>
            <w:tcW w:w="2007" w:type="dxa"/>
            <w:tcBorders>
              <w:top w:val="nil"/>
              <w:left w:val="single" w:sz="4" w:space="0" w:color="auto"/>
              <w:bottom w:val="nil"/>
              <w:right w:val="nil"/>
            </w:tcBorders>
            <w:shd w:val="clear" w:color="auto" w:fill="auto"/>
            <w:vAlign w:val="bottom"/>
          </w:tcPr>
          <w:p w:rsidR="00903633" w:rsidRPr="00903633" w:rsidRDefault="00903633" w:rsidP="00903633">
            <w:pPr>
              <w:spacing w:before="60" w:after="60"/>
              <w:jc w:val="center"/>
              <w:rPr>
                <w:rFonts w:ascii="Arial Narrow" w:hAnsi="Arial Narrow"/>
                <w:sz w:val="16"/>
                <w:szCs w:val="20"/>
              </w:rPr>
            </w:pPr>
            <w:r w:rsidRPr="00903633">
              <w:rPr>
                <w:rFonts w:ascii="Arial Narrow" w:hAnsi="Arial Narrow"/>
                <w:sz w:val="16"/>
                <w:szCs w:val="20"/>
              </w:rPr>
              <w:t>2017*</w:t>
            </w:r>
          </w:p>
        </w:tc>
        <w:tc>
          <w:tcPr>
            <w:tcW w:w="2153" w:type="dxa"/>
            <w:tcBorders>
              <w:top w:val="nil"/>
              <w:left w:val="nil"/>
              <w:bottom w:val="nil"/>
              <w:right w:val="nil"/>
            </w:tcBorders>
            <w:shd w:val="clear" w:color="auto" w:fill="auto"/>
            <w:vAlign w:val="bottom"/>
          </w:tcPr>
          <w:p w:rsidR="00903633" w:rsidRPr="00903633" w:rsidRDefault="00903633" w:rsidP="00903633">
            <w:pPr>
              <w:spacing w:before="60" w:after="60"/>
              <w:jc w:val="center"/>
              <w:rPr>
                <w:rFonts w:ascii="Arial Narrow" w:hAnsi="Arial Narrow"/>
                <w:sz w:val="16"/>
                <w:szCs w:val="20"/>
              </w:rPr>
            </w:pPr>
            <w:r w:rsidRPr="00903633">
              <w:rPr>
                <w:rFonts w:ascii="Arial Narrow" w:hAnsi="Arial Narrow"/>
                <w:sz w:val="16"/>
                <w:szCs w:val="20"/>
              </w:rPr>
              <w:t>43,0</w:t>
            </w:r>
          </w:p>
        </w:tc>
        <w:tc>
          <w:tcPr>
            <w:tcW w:w="2127" w:type="dxa"/>
            <w:tcBorders>
              <w:top w:val="nil"/>
              <w:left w:val="nil"/>
              <w:bottom w:val="nil"/>
              <w:right w:val="nil"/>
            </w:tcBorders>
            <w:shd w:val="clear" w:color="auto" w:fill="auto"/>
            <w:vAlign w:val="bottom"/>
          </w:tcPr>
          <w:p w:rsidR="00903633" w:rsidRPr="00903633" w:rsidRDefault="00903633" w:rsidP="00903633">
            <w:pPr>
              <w:spacing w:before="60" w:after="60"/>
              <w:jc w:val="center"/>
              <w:rPr>
                <w:rFonts w:ascii="Arial Narrow" w:hAnsi="Arial Narrow"/>
                <w:sz w:val="16"/>
                <w:szCs w:val="20"/>
              </w:rPr>
            </w:pPr>
            <w:r w:rsidRPr="00903633">
              <w:rPr>
                <w:rFonts w:ascii="Arial Narrow" w:hAnsi="Arial Narrow"/>
                <w:sz w:val="16"/>
                <w:szCs w:val="20"/>
              </w:rPr>
              <w:t>57,0</w:t>
            </w:r>
          </w:p>
        </w:tc>
        <w:tc>
          <w:tcPr>
            <w:tcW w:w="1711" w:type="dxa"/>
            <w:tcBorders>
              <w:top w:val="nil"/>
              <w:left w:val="nil"/>
              <w:bottom w:val="nil"/>
              <w:right w:val="single" w:sz="4" w:space="0" w:color="auto"/>
            </w:tcBorders>
            <w:shd w:val="clear" w:color="auto" w:fill="auto"/>
            <w:vAlign w:val="bottom"/>
          </w:tcPr>
          <w:p w:rsidR="00903633" w:rsidRPr="00903633" w:rsidRDefault="00903633" w:rsidP="00903633">
            <w:pPr>
              <w:spacing w:before="60" w:after="60"/>
              <w:jc w:val="center"/>
              <w:rPr>
                <w:rFonts w:ascii="Arial Narrow" w:hAnsi="Arial Narrow"/>
                <w:b/>
                <w:sz w:val="16"/>
                <w:szCs w:val="20"/>
              </w:rPr>
            </w:pPr>
            <w:r w:rsidRPr="00903633">
              <w:rPr>
                <w:rFonts w:ascii="Arial Narrow" w:hAnsi="Arial Narrow"/>
                <w:b/>
                <w:sz w:val="16"/>
                <w:szCs w:val="20"/>
              </w:rPr>
              <w:t>1,33</w:t>
            </w:r>
          </w:p>
        </w:tc>
      </w:tr>
      <w:tr w:rsidR="00903633" w:rsidRPr="00903633" w:rsidTr="00B35613">
        <w:tc>
          <w:tcPr>
            <w:tcW w:w="2007" w:type="dxa"/>
            <w:tcBorders>
              <w:top w:val="nil"/>
              <w:left w:val="single" w:sz="4" w:space="0" w:color="auto"/>
              <w:bottom w:val="single" w:sz="4" w:space="0" w:color="auto"/>
              <w:right w:val="nil"/>
            </w:tcBorders>
            <w:shd w:val="clear" w:color="auto" w:fill="auto"/>
            <w:vAlign w:val="bottom"/>
          </w:tcPr>
          <w:p w:rsidR="00903633" w:rsidRPr="00903633" w:rsidRDefault="00903633" w:rsidP="00903633">
            <w:pPr>
              <w:spacing w:before="60" w:after="60"/>
              <w:jc w:val="center"/>
              <w:rPr>
                <w:rFonts w:ascii="Arial Narrow" w:hAnsi="Arial Narrow"/>
                <w:sz w:val="16"/>
                <w:szCs w:val="20"/>
              </w:rPr>
            </w:pPr>
            <w:r w:rsidRPr="00903633">
              <w:rPr>
                <w:rFonts w:ascii="Arial Narrow" w:hAnsi="Arial Narrow"/>
                <w:sz w:val="16"/>
                <w:szCs w:val="20"/>
              </w:rPr>
              <w:t>2018**</w:t>
            </w:r>
          </w:p>
        </w:tc>
        <w:tc>
          <w:tcPr>
            <w:tcW w:w="2153" w:type="dxa"/>
            <w:tcBorders>
              <w:top w:val="nil"/>
              <w:left w:val="nil"/>
              <w:bottom w:val="single" w:sz="4" w:space="0" w:color="auto"/>
              <w:right w:val="nil"/>
            </w:tcBorders>
            <w:shd w:val="clear" w:color="auto" w:fill="auto"/>
            <w:vAlign w:val="bottom"/>
          </w:tcPr>
          <w:p w:rsidR="00903633" w:rsidRPr="00903633" w:rsidRDefault="00903633" w:rsidP="00903633">
            <w:pPr>
              <w:spacing w:before="60" w:after="60"/>
              <w:jc w:val="center"/>
              <w:rPr>
                <w:rFonts w:ascii="Arial Narrow" w:hAnsi="Arial Narrow"/>
                <w:sz w:val="16"/>
                <w:szCs w:val="20"/>
              </w:rPr>
            </w:pPr>
            <w:r w:rsidRPr="00903633">
              <w:rPr>
                <w:rFonts w:ascii="Arial Narrow" w:hAnsi="Arial Narrow"/>
                <w:sz w:val="16"/>
                <w:szCs w:val="20"/>
              </w:rPr>
              <w:t>43,1</w:t>
            </w:r>
          </w:p>
        </w:tc>
        <w:tc>
          <w:tcPr>
            <w:tcW w:w="2127" w:type="dxa"/>
            <w:tcBorders>
              <w:top w:val="nil"/>
              <w:left w:val="nil"/>
              <w:bottom w:val="single" w:sz="4" w:space="0" w:color="auto"/>
              <w:right w:val="nil"/>
            </w:tcBorders>
            <w:shd w:val="clear" w:color="auto" w:fill="auto"/>
            <w:vAlign w:val="bottom"/>
          </w:tcPr>
          <w:p w:rsidR="00903633" w:rsidRPr="00903633" w:rsidRDefault="00903633" w:rsidP="00903633">
            <w:pPr>
              <w:spacing w:before="60" w:after="60"/>
              <w:jc w:val="center"/>
              <w:rPr>
                <w:rFonts w:ascii="Arial Narrow" w:hAnsi="Arial Narrow"/>
                <w:sz w:val="16"/>
                <w:szCs w:val="20"/>
              </w:rPr>
            </w:pPr>
            <w:r w:rsidRPr="00903633">
              <w:rPr>
                <w:rFonts w:ascii="Arial Narrow" w:hAnsi="Arial Narrow"/>
                <w:sz w:val="16"/>
                <w:szCs w:val="20"/>
              </w:rPr>
              <w:t>56,9</w:t>
            </w:r>
          </w:p>
        </w:tc>
        <w:tc>
          <w:tcPr>
            <w:tcW w:w="1711" w:type="dxa"/>
            <w:tcBorders>
              <w:top w:val="nil"/>
              <w:left w:val="nil"/>
              <w:bottom w:val="single" w:sz="4" w:space="0" w:color="auto"/>
              <w:right w:val="single" w:sz="4" w:space="0" w:color="auto"/>
            </w:tcBorders>
            <w:shd w:val="clear" w:color="auto" w:fill="auto"/>
            <w:vAlign w:val="bottom"/>
          </w:tcPr>
          <w:p w:rsidR="00903633" w:rsidRPr="00903633" w:rsidRDefault="00903633" w:rsidP="00903633">
            <w:pPr>
              <w:spacing w:before="60" w:after="60"/>
              <w:jc w:val="center"/>
              <w:rPr>
                <w:rFonts w:ascii="Arial Narrow" w:hAnsi="Arial Narrow"/>
                <w:b/>
                <w:sz w:val="16"/>
                <w:szCs w:val="20"/>
              </w:rPr>
            </w:pPr>
            <w:r w:rsidRPr="00903633">
              <w:rPr>
                <w:rFonts w:ascii="Arial Narrow" w:hAnsi="Arial Narrow"/>
                <w:b/>
                <w:sz w:val="16"/>
                <w:szCs w:val="20"/>
              </w:rPr>
              <w:t>1,32</w:t>
            </w:r>
          </w:p>
        </w:tc>
      </w:tr>
    </w:tbl>
    <w:p w:rsidR="006D0FB1" w:rsidRPr="000824A8" w:rsidRDefault="006D0FB1" w:rsidP="006D0FB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Εκτιμήσεις</w:t>
      </w:r>
    </w:p>
    <w:p w:rsidR="006D0FB1" w:rsidRPr="000824A8" w:rsidRDefault="006D0FB1" w:rsidP="006D0FB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Προβλέψεις</w:t>
      </w:r>
    </w:p>
    <w:p w:rsidR="006D0FB1" w:rsidRPr="000824A8" w:rsidRDefault="006D0FB1" w:rsidP="006D0FB1">
      <w:pPr>
        <w:tabs>
          <w:tab w:val="center" w:pos="4153"/>
          <w:tab w:val="right" w:pos="8306"/>
        </w:tabs>
        <w:ind w:left="540"/>
        <w:jc w:val="both"/>
        <w:rPr>
          <w:rFonts w:ascii="Arial Narrow" w:hAnsi="Arial Narrow"/>
          <w:sz w:val="16"/>
          <w:szCs w:val="20"/>
        </w:rPr>
      </w:pPr>
    </w:p>
    <w:p w:rsidR="006D0FB1" w:rsidRPr="000824A8" w:rsidRDefault="006D0FB1" w:rsidP="006D0FB1">
      <w:pPr>
        <w:tabs>
          <w:tab w:val="center" w:pos="4153"/>
          <w:tab w:val="right" w:pos="8306"/>
        </w:tabs>
        <w:ind w:left="540"/>
        <w:jc w:val="both"/>
        <w:rPr>
          <w:rFonts w:ascii="Arial Narrow" w:hAnsi="Arial Narrow"/>
          <w:sz w:val="16"/>
          <w:szCs w:val="20"/>
        </w:rPr>
      </w:pPr>
    </w:p>
    <w:p w:rsidR="006D0FB1" w:rsidRPr="000824A8" w:rsidRDefault="006D0FB1" w:rsidP="006D0FB1">
      <w:pPr>
        <w:tabs>
          <w:tab w:val="center" w:pos="4153"/>
          <w:tab w:val="right" w:pos="8306"/>
        </w:tabs>
        <w:jc w:val="both"/>
        <w:rPr>
          <w:b/>
          <w:sz w:val="22"/>
          <w:szCs w:val="20"/>
        </w:rPr>
      </w:pPr>
    </w:p>
    <w:p w:rsidR="006D0FB1" w:rsidRPr="000824A8" w:rsidRDefault="006D0FB1" w:rsidP="006D0FB1">
      <w:pPr>
        <w:tabs>
          <w:tab w:val="center" w:pos="4153"/>
          <w:tab w:val="right" w:pos="8306"/>
        </w:tabs>
        <w:jc w:val="both"/>
        <w:rPr>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6D0FB1" w:rsidRPr="000824A8" w:rsidTr="00632CAB">
        <w:trPr>
          <w:jc w:val="center"/>
        </w:trPr>
        <w:tc>
          <w:tcPr>
            <w:tcW w:w="8221" w:type="dxa"/>
            <w:tcBorders>
              <w:top w:val="nil"/>
              <w:left w:val="nil"/>
              <w:bottom w:val="nil"/>
              <w:right w:val="nil"/>
            </w:tcBorders>
            <w:shd w:val="clear" w:color="auto" w:fill="404040"/>
          </w:tcPr>
          <w:p w:rsidR="006D0FB1" w:rsidRPr="000824A8" w:rsidRDefault="006D0FB1" w:rsidP="00632CAB">
            <w:pPr>
              <w:tabs>
                <w:tab w:val="right" w:pos="8306"/>
              </w:tabs>
              <w:spacing w:before="120" w:after="120"/>
              <w:jc w:val="center"/>
              <w:rPr>
                <w:rFonts w:ascii="Arial Narrow" w:hAnsi="Arial Narrow"/>
                <w:b/>
                <w:color w:val="FFFFFF" w:themeColor="background1"/>
              </w:rPr>
            </w:pPr>
            <w:r>
              <w:rPr>
                <w:rFonts w:ascii="Arial Narrow" w:hAnsi="Arial Narrow"/>
                <w:b/>
                <w:color w:val="FFFFFF" w:themeColor="background1"/>
              </w:rPr>
              <w:t>Διάγραμμα 3.2</w:t>
            </w:r>
            <w:r w:rsidRPr="000824A8">
              <w:rPr>
                <w:rFonts w:ascii="Arial Narrow" w:hAnsi="Arial Narrow"/>
                <w:b/>
                <w:color w:val="FFFFFF" w:themeColor="background1"/>
              </w:rPr>
              <w:t xml:space="preserve">   Λόγος έμμεσων/άμεσων φόρων</w:t>
            </w:r>
          </w:p>
        </w:tc>
      </w:tr>
      <w:tr w:rsidR="006D0FB1" w:rsidRPr="000824A8" w:rsidTr="00632CAB">
        <w:trPr>
          <w:jc w:val="center"/>
        </w:trPr>
        <w:tc>
          <w:tcPr>
            <w:tcW w:w="8221" w:type="dxa"/>
            <w:tcBorders>
              <w:top w:val="nil"/>
              <w:left w:val="nil"/>
              <w:bottom w:val="nil"/>
              <w:right w:val="nil"/>
            </w:tcBorders>
          </w:tcPr>
          <w:p w:rsidR="006D0FB1" w:rsidRPr="000824A8" w:rsidRDefault="006D0FB1" w:rsidP="00632CAB">
            <w:pPr>
              <w:tabs>
                <w:tab w:val="center" w:pos="4153"/>
                <w:tab w:val="right" w:pos="8306"/>
              </w:tabs>
              <w:jc w:val="both"/>
              <w:rPr>
                <w:rFonts w:ascii="Arial Narrow" w:hAnsi="Arial Narrow"/>
                <w:sz w:val="16"/>
                <w:szCs w:val="20"/>
              </w:rPr>
            </w:pPr>
          </w:p>
          <w:p w:rsidR="006D0FB1" w:rsidRPr="000824A8" w:rsidRDefault="003331A6" w:rsidP="00632CAB">
            <w:pPr>
              <w:tabs>
                <w:tab w:val="center" w:pos="4153"/>
                <w:tab w:val="right" w:pos="8306"/>
              </w:tabs>
              <w:jc w:val="both"/>
              <w:rPr>
                <w:rFonts w:ascii="Arial Narrow" w:hAnsi="Arial Narrow"/>
                <w:sz w:val="16"/>
                <w:szCs w:val="20"/>
              </w:rPr>
            </w:pPr>
            <w:r>
              <w:rPr>
                <w:rFonts w:ascii="Arial Narrow" w:hAnsi="Arial Narrow"/>
                <w:noProof/>
                <w:sz w:val="16"/>
                <w:szCs w:val="20"/>
              </w:rPr>
              <w:drawing>
                <wp:inline distT="0" distB="0" distL="0" distR="0">
                  <wp:extent cx="5486400" cy="2176145"/>
                  <wp:effectExtent l="0" t="0" r="0" b="0"/>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D0FB1" w:rsidRPr="000824A8">
              <w:rPr>
                <w:rFonts w:ascii="Arial Narrow" w:hAnsi="Arial Narrow"/>
                <w:sz w:val="16"/>
                <w:szCs w:val="20"/>
              </w:rPr>
              <w:t xml:space="preserve">                                          </w:t>
            </w:r>
          </w:p>
          <w:p w:rsidR="006D0FB1" w:rsidRPr="000824A8" w:rsidRDefault="006D0FB1" w:rsidP="00632CAB">
            <w:pPr>
              <w:jc w:val="both"/>
              <w:rPr>
                <w:sz w:val="20"/>
                <w:szCs w:val="20"/>
              </w:rPr>
            </w:pPr>
          </w:p>
        </w:tc>
      </w:tr>
    </w:tbl>
    <w:p w:rsidR="006D0FB1" w:rsidRPr="000824A8" w:rsidRDefault="006D0FB1" w:rsidP="006D0FB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Εκτιμήσεις</w:t>
      </w:r>
    </w:p>
    <w:p w:rsidR="006D0FB1" w:rsidRPr="000824A8" w:rsidRDefault="006D0FB1" w:rsidP="006D0FB1">
      <w:pPr>
        <w:tabs>
          <w:tab w:val="left" w:pos="360"/>
        </w:tabs>
        <w:jc w:val="both"/>
        <w:rPr>
          <w:rFonts w:ascii="Arial Narrow" w:hAnsi="Arial Narrow"/>
          <w:sz w:val="16"/>
          <w:szCs w:val="20"/>
        </w:rPr>
      </w:pPr>
      <w:r w:rsidRPr="000824A8">
        <w:rPr>
          <w:rFonts w:ascii="Arial Narrow" w:hAnsi="Arial Narrow"/>
          <w:sz w:val="16"/>
          <w:szCs w:val="20"/>
        </w:rPr>
        <w:tab/>
        <w:t xml:space="preserve">    **</w:t>
      </w:r>
      <w:r w:rsidRPr="000824A8">
        <w:rPr>
          <w:rFonts w:ascii="Arial Narrow" w:hAnsi="Arial Narrow"/>
          <w:sz w:val="16"/>
          <w:szCs w:val="20"/>
        </w:rPr>
        <w:tab/>
        <w:t>Προβλέψεις</w:t>
      </w:r>
    </w:p>
    <w:p w:rsidR="006D0FB1" w:rsidRPr="000824A8" w:rsidRDefault="006D0FB1" w:rsidP="006D0FB1">
      <w:pPr>
        <w:jc w:val="both"/>
        <w:rPr>
          <w:sz w:val="22"/>
          <w:szCs w:val="22"/>
        </w:rPr>
      </w:pPr>
      <w:r w:rsidRPr="000824A8">
        <w:rPr>
          <w:sz w:val="22"/>
          <w:szCs w:val="22"/>
        </w:rPr>
        <w:tab/>
      </w:r>
    </w:p>
    <w:p w:rsidR="006D0FB1" w:rsidRDefault="006D0FB1">
      <w:pPr>
        <w:rPr>
          <w:bCs/>
          <w:sz w:val="22"/>
          <w:szCs w:val="22"/>
        </w:rPr>
      </w:pPr>
      <w:r w:rsidRPr="000824A8">
        <w:rPr>
          <w:rFonts w:ascii="Arial Narrow" w:hAnsi="Arial Narrow"/>
          <w:sz w:val="16"/>
          <w:szCs w:val="20"/>
        </w:rPr>
        <w:br w:type="textWrapping" w:clear="all"/>
      </w:r>
    </w:p>
    <w:p w:rsidR="006D0FB1" w:rsidRDefault="006D0FB1">
      <w:pPr>
        <w:rPr>
          <w:bCs/>
          <w:sz w:val="22"/>
          <w:szCs w:val="22"/>
        </w:rPr>
      </w:pPr>
    </w:p>
    <w:p w:rsidR="006D0FB1" w:rsidRDefault="006D0FB1">
      <w:pPr>
        <w:rPr>
          <w:bCs/>
          <w:sz w:val="22"/>
          <w:szCs w:val="22"/>
        </w:rPr>
      </w:pPr>
    </w:p>
    <w:p w:rsidR="006D0FB1" w:rsidRDefault="006D0FB1">
      <w:pPr>
        <w:rPr>
          <w:bCs/>
          <w:sz w:val="22"/>
          <w:szCs w:val="22"/>
        </w:rPr>
      </w:pPr>
    </w:p>
    <w:p w:rsidR="006D0FB1" w:rsidRDefault="006D0FB1">
      <w:pPr>
        <w:rPr>
          <w:bCs/>
          <w:sz w:val="22"/>
          <w:szCs w:val="22"/>
        </w:rPr>
      </w:pPr>
    </w:p>
    <w:p w:rsidR="006D0FB1" w:rsidRDefault="006D0FB1">
      <w:pPr>
        <w:rPr>
          <w:bCs/>
          <w:sz w:val="22"/>
          <w:szCs w:val="22"/>
        </w:rPr>
      </w:pPr>
    </w:p>
    <w:p w:rsidR="006D0FB1" w:rsidRDefault="006D0FB1">
      <w:pPr>
        <w:rPr>
          <w:bCs/>
          <w:sz w:val="22"/>
          <w:szCs w:val="22"/>
        </w:rPr>
      </w:pPr>
    </w:p>
    <w:p w:rsidR="006D0FB1" w:rsidRDefault="006D0FB1">
      <w:pPr>
        <w:rPr>
          <w:bCs/>
          <w:sz w:val="22"/>
          <w:szCs w:val="22"/>
        </w:rPr>
      </w:pPr>
    </w:p>
    <w:p w:rsidR="006D0FB1" w:rsidRDefault="006D0FB1">
      <w:pPr>
        <w:rPr>
          <w:bCs/>
          <w:sz w:val="22"/>
          <w:szCs w:val="22"/>
        </w:rPr>
      </w:pPr>
    </w:p>
    <w:p w:rsidR="006D0FB1" w:rsidRDefault="006D0FB1">
      <w:pPr>
        <w:rPr>
          <w:bCs/>
          <w:sz w:val="22"/>
          <w:szCs w:val="22"/>
        </w:rPr>
      </w:pPr>
      <w:r>
        <w:rPr>
          <w:bCs/>
          <w:sz w:val="22"/>
          <w:szCs w:val="22"/>
        </w:rPr>
        <w:br w:type="page"/>
      </w:r>
    </w:p>
    <w:p w:rsidR="006D0FB1" w:rsidRPr="00EA0964" w:rsidRDefault="006D0FB1" w:rsidP="00A50FB2">
      <w:pPr>
        <w:jc w:val="both"/>
        <w:rPr>
          <w:bCs/>
          <w:sz w:val="22"/>
          <w:szCs w:val="22"/>
        </w:rPr>
      </w:pPr>
    </w:p>
    <w:p w:rsidR="00A50FB2" w:rsidRPr="00EA0964" w:rsidRDefault="00A50FB2" w:rsidP="00A50FB2">
      <w:pPr>
        <w:jc w:val="both"/>
        <w:rPr>
          <w:bCs/>
          <w:sz w:val="22"/>
          <w:szCs w:val="22"/>
        </w:rPr>
      </w:pPr>
      <w:r w:rsidRPr="00EA0964">
        <w:rPr>
          <w:bCs/>
          <w:sz w:val="22"/>
          <w:szCs w:val="22"/>
        </w:rPr>
        <w:t xml:space="preserve">Οι φόροι περιουσίας αναμένεται να διαμορφωθούν στα </w:t>
      </w:r>
      <w:r>
        <w:rPr>
          <w:bCs/>
          <w:sz w:val="22"/>
          <w:szCs w:val="22"/>
        </w:rPr>
        <w:t>3.200</w:t>
      </w:r>
      <w:r w:rsidRPr="00EA0964">
        <w:rPr>
          <w:bCs/>
          <w:sz w:val="22"/>
          <w:szCs w:val="22"/>
        </w:rPr>
        <w:t xml:space="preserve"> εκατ. ευρώ, μειωμένοι κατά </w:t>
      </w:r>
      <w:r>
        <w:rPr>
          <w:bCs/>
          <w:sz w:val="22"/>
          <w:szCs w:val="22"/>
        </w:rPr>
        <w:t>117</w:t>
      </w:r>
      <w:r w:rsidRPr="00EA0964">
        <w:rPr>
          <w:bCs/>
          <w:sz w:val="22"/>
          <w:szCs w:val="22"/>
        </w:rPr>
        <w:t xml:space="preserve"> εκατ. ευρώ από το στόχο του </w:t>
      </w:r>
      <w:r>
        <w:rPr>
          <w:bCs/>
          <w:sz w:val="22"/>
          <w:szCs w:val="22"/>
        </w:rPr>
        <w:t>ΜΠΔΣ 2018-2021</w:t>
      </w:r>
      <w:r w:rsidRPr="00EA0964">
        <w:rPr>
          <w:bCs/>
          <w:sz w:val="22"/>
          <w:szCs w:val="22"/>
        </w:rPr>
        <w:t>, λόγω της μετακύλισης καταβολής της τελευταίας δόση</w:t>
      </w:r>
      <w:r>
        <w:rPr>
          <w:bCs/>
          <w:sz w:val="22"/>
          <w:szCs w:val="22"/>
        </w:rPr>
        <w:t>ς</w:t>
      </w:r>
      <w:r w:rsidRPr="00EA0964">
        <w:rPr>
          <w:bCs/>
          <w:sz w:val="22"/>
          <w:szCs w:val="22"/>
        </w:rPr>
        <w:t xml:space="preserve"> του ΕΝΦΙΑ </w:t>
      </w:r>
      <w:r>
        <w:rPr>
          <w:bCs/>
          <w:sz w:val="22"/>
          <w:szCs w:val="22"/>
        </w:rPr>
        <w:t>2017 τον Ιανουάριο 2018</w:t>
      </w:r>
      <w:r w:rsidRPr="00EA0964">
        <w:rPr>
          <w:bCs/>
          <w:sz w:val="22"/>
          <w:szCs w:val="22"/>
        </w:rPr>
        <w:t>.</w:t>
      </w:r>
    </w:p>
    <w:p w:rsidR="00A50FB2" w:rsidRPr="00EA0964" w:rsidRDefault="00A50FB2" w:rsidP="00A50FB2">
      <w:pPr>
        <w:jc w:val="both"/>
        <w:rPr>
          <w:bCs/>
          <w:sz w:val="22"/>
          <w:szCs w:val="22"/>
        </w:rPr>
      </w:pPr>
    </w:p>
    <w:p w:rsidR="00A50FB2" w:rsidRPr="00EA0964" w:rsidRDefault="00A50FB2" w:rsidP="00A50FB2">
      <w:pPr>
        <w:jc w:val="both"/>
        <w:rPr>
          <w:bCs/>
          <w:sz w:val="22"/>
          <w:szCs w:val="22"/>
        </w:rPr>
      </w:pPr>
      <w:r w:rsidRPr="00EA0964">
        <w:rPr>
          <w:bCs/>
          <w:sz w:val="22"/>
          <w:szCs w:val="22"/>
        </w:rPr>
        <w:t>Οι άμεσοι φόροι παρελθόντων οικονομικών ετών (ΠΟΕ) αναμένεται να διαμορφωθούν στα 1.</w:t>
      </w:r>
      <w:r>
        <w:rPr>
          <w:bCs/>
          <w:sz w:val="22"/>
          <w:szCs w:val="22"/>
        </w:rPr>
        <w:t>821</w:t>
      </w:r>
      <w:r w:rsidRPr="00EA0964">
        <w:rPr>
          <w:bCs/>
          <w:sz w:val="22"/>
          <w:szCs w:val="22"/>
        </w:rPr>
        <w:t xml:space="preserve"> </w:t>
      </w:r>
      <w:r w:rsidRPr="00EA0964">
        <w:rPr>
          <w:bCs/>
          <w:sz w:val="22"/>
          <w:szCs w:val="22"/>
        </w:rPr>
        <w:t>ε</w:t>
      </w:r>
      <w:r w:rsidRPr="00EA0964">
        <w:rPr>
          <w:bCs/>
          <w:sz w:val="22"/>
          <w:szCs w:val="22"/>
        </w:rPr>
        <w:t xml:space="preserve">κατ. ευρώ, αυξημένοι κατά </w:t>
      </w:r>
      <w:r>
        <w:rPr>
          <w:bCs/>
          <w:sz w:val="22"/>
          <w:szCs w:val="22"/>
        </w:rPr>
        <w:t>178</w:t>
      </w:r>
      <w:r w:rsidRPr="00EA0964">
        <w:rPr>
          <w:bCs/>
          <w:sz w:val="22"/>
          <w:szCs w:val="22"/>
        </w:rPr>
        <w:t xml:space="preserve"> εκατ. ευρώ. </w:t>
      </w:r>
    </w:p>
    <w:p w:rsidR="00A50FB2" w:rsidRPr="00EA0964" w:rsidRDefault="00A50FB2" w:rsidP="00A50FB2">
      <w:pPr>
        <w:jc w:val="both"/>
        <w:rPr>
          <w:bCs/>
          <w:sz w:val="22"/>
          <w:szCs w:val="22"/>
        </w:rPr>
      </w:pPr>
    </w:p>
    <w:p w:rsidR="00A50FB2" w:rsidRPr="00EA0964" w:rsidRDefault="00A50FB2" w:rsidP="00A50FB2">
      <w:pPr>
        <w:jc w:val="both"/>
        <w:rPr>
          <w:bCs/>
          <w:sz w:val="22"/>
          <w:szCs w:val="22"/>
        </w:rPr>
      </w:pPr>
      <w:r w:rsidRPr="00EA0964">
        <w:rPr>
          <w:bCs/>
          <w:sz w:val="22"/>
          <w:szCs w:val="22"/>
        </w:rPr>
        <w:t xml:space="preserve">Τέλος, οι λοιποί άμεσοι φόροι αναμένεται να διαμορφωθούν στα </w:t>
      </w:r>
      <w:r>
        <w:rPr>
          <w:bCs/>
          <w:sz w:val="22"/>
          <w:szCs w:val="22"/>
        </w:rPr>
        <w:t>2.370</w:t>
      </w:r>
      <w:r w:rsidRPr="00EA0964">
        <w:rPr>
          <w:bCs/>
          <w:sz w:val="22"/>
          <w:szCs w:val="22"/>
        </w:rPr>
        <w:t xml:space="preserve"> εκατ. </w:t>
      </w:r>
      <w:r>
        <w:rPr>
          <w:bCs/>
          <w:sz w:val="22"/>
          <w:szCs w:val="22"/>
        </w:rPr>
        <w:t>ευρώ, μειω</w:t>
      </w:r>
      <w:r w:rsidRPr="00EA0964">
        <w:rPr>
          <w:bCs/>
          <w:sz w:val="22"/>
          <w:szCs w:val="22"/>
        </w:rPr>
        <w:t xml:space="preserve">μένοι κατά </w:t>
      </w:r>
      <w:r>
        <w:rPr>
          <w:bCs/>
          <w:sz w:val="22"/>
          <w:szCs w:val="22"/>
        </w:rPr>
        <w:t xml:space="preserve">158 εκατ. ευρώ, λόγω μειωμένων εισπράξεων </w:t>
      </w:r>
      <w:r w:rsidR="0019241B">
        <w:rPr>
          <w:bCs/>
          <w:sz w:val="22"/>
          <w:szCs w:val="22"/>
        </w:rPr>
        <w:t xml:space="preserve">από </w:t>
      </w:r>
      <w:r>
        <w:rPr>
          <w:bCs/>
          <w:sz w:val="22"/>
          <w:szCs w:val="22"/>
        </w:rPr>
        <w:t xml:space="preserve">την </w:t>
      </w:r>
      <w:r w:rsidR="0019241B">
        <w:rPr>
          <w:bCs/>
          <w:sz w:val="22"/>
          <w:szCs w:val="22"/>
        </w:rPr>
        <w:t>ε</w:t>
      </w:r>
      <w:r>
        <w:rPr>
          <w:bCs/>
          <w:sz w:val="22"/>
          <w:szCs w:val="22"/>
        </w:rPr>
        <w:t xml:space="preserve">ιδική </w:t>
      </w:r>
      <w:r w:rsidR="0019241B">
        <w:rPr>
          <w:bCs/>
          <w:sz w:val="22"/>
          <w:szCs w:val="22"/>
        </w:rPr>
        <w:t>εισφορά α</w:t>
      </w:r>
      <w:r>
        <w:rPr>
          <w:bCs/>
          <w:sz w:val="22"/>
          <w:szCs w:val="22"/>
        </w:rPr>
        <w:t xml:space="preserve">λληλεγγύης, </w:t>
      </w:r>
      <w:r w:rsidR="0019241B">
        <w:rPr>
          <w:bCs/>
          <w:sz w:val="22"/>
          <w:szCs w:val="22"/>
        </w:rPr>
        <w:t xml:space="preserve">από </w:t>
      </w:r>
      <w:r>
        <w:rPr>
          <w:bCs/>
          <w:sz w:val="22"/>
          <w:szCs w:val="22"/>
        </w:rPr>
        <w:t>το τέλος επ</w:t>
      </w:r>
      <w:r>
        <w:rPr>
          <w:bCs/>
          <w:sz w:val="22"/>
          <w:szCs w:val="22"/>
        </w:rPr>
        <w:t>ι</w:t>
      </w:r>
      <w:r>
        <w:rPr>
          <w:bCs/>
          <w:sz w:val="22"/>
          <w:szCs w:val="22"/>
        </w:rPr>
        <w:t>τηδεύ</w:t>
      </w:r>
      <w:r w:rsidR="0019241B">
        <w:rPr>
          <w:bCs/>
          <w:sz w:val="22"/>
          <w:szCs w:val="22"/>
        </w:rPr>
        <w:t xml:space="preserve">ματος και από </w:t>
      </w:r>
      <w:r>
        <w:rPr>
          <w:bCs/>
          <w:sz w:val="22"/>
          <w:szCs w:val="22"/>
        </w:rPr>
        <w:t>το φόρο πολυτελούς διαβίωσης, ως αποτέλεσμα της μειωμένης φορολογικής β</w:t>
      </w:r>
      <w:r>
        <w:rPr>
          <w:bCs/>
          <w:sz w:val="22"/>
          <w:szCs w:val="22"/>
        </w:rPr>
        <w:t>ά</w:t>
      </w:r>
      <w:r>
        <w:rPr>
          <w:bCs/>
          <w:sz w:val="22"/>
          <w:szCs w:val="22"/>
        </w:rPr>
        <w:t>σης.</w:t>
      </w:r>
    </w:p>
    <w:p w:rsidR="00A50FB2" w:rsidRDefault="00A50FB2" w:rsidP="00A50FB2">
      <w:pPr>
        <w:jc w:val="both"/>
        <w:rPr>
          <w:bCs/>
          <w:sz w:val="22"/>
          <w:szCs w:val="22"/>
        </w:rPr>
      </w:pPr>
    </w:p>
    <w:p w:rsidR="00A50FB2" w:rsidRPr="00EA0964" w:rsidRDefault="00A50FB2" w:rsidP="00A50FB2">
      <w:pPr>
        <w:jc w:val="both"/>
        <w:rPr>
          <w:rFonts w:ascii="Arial Narrow" w:hAnsi="Arial Narrow"/>
          <w:b/>
          <w:bCs/>
          <w:i/>
          <w:sz w:val="22"/>
          <w:szCs w:val="22"/>
        </w:rPr>
      </w:pPr>
      <w:r w:rsidRPr="00EA0964">
        <w:rPr>
          <w:rFonts w:ascii="Arial Narrow" w:hAnsi="Arial Narrow"/>
          <w:b/>
          <w:bCs/>
          <w:i/>
          <w:sz w:val="22"/>
          <w:szCs w:val="22"/>
        </w:rPr>
        <w:t>Έμμεσοι φόροι</w:t>
      </w:r>
    </w:p>
    <w:p w:rsidR="00A50FB2" w:rsidRPr="00EA0964" w:rsidRDefault="00A50FB2" w:rsidP="00A50FB2">
      <w:pPr>
        <w:jc w:val="both"/>
        <w:rPr>
          <w:bCs/>
          <w:sz w:val="22"/>
          <w:szCs w:val="22"/>
        </w:rPr>
      </w:pPr>
    </w:p>
    <w:p w:rsidR="00A50FB2" w:rsidRPr="00EA0964" w:rsidRDefault="00A50FB2" w:rsidP="00A50FB2">
      <w:pPr>
        <w:jc w:val="both"/>
        <w:rPr>
          <w:bCs/>
          <w:sz w:val="22"/>
          <w:szCs w:val="22"/>
        </w:rPr>
      </w:pPr>
      <w:r w:rsidRPr="00EA0964">
        <w:rPr>
          <w:bCs/>
          <w:sz w:val="22"/>
          <w:szCs w:val="22"/>
        </w:rPr>
        <w:t xml:space="preserve">Από τους έμμεσους φόρους αναμένεται να εισπραχθούν </w:t>
      </w:r>
      <w:r>
        <w:rPr>
          <w:bCs/>
          <w:sz w:val="22"/>
          <w:szCs w:val="22"/>
        </w:rPr>
        <w:t>26.917</w:t>
      </w:r>
      <w:r w:rsidRPr="00EA0964">
        <w:rPr>
          <w:bCs/>
          <w:sz w:val="22"/>
          <w:szCs w:val="22"/>
        </w:rPr>
        <w:t xml:space="preserve"> εκατ. ευρώ, </w:t>
      </w:r>
      <w:r>
        <w:rPr>
          <w:bCs/>
          <w:sz w:val="22"/>
          <w:szCs w:val="22"/>
        </w:rPr>
        <w:t xml:space="preserve">ποσό </w:t>
      </w:r>
      <w:r w:rsidRPr="00EA0964">
        <w:rPr>
          <w:bCs/>
          <w:sz w:val="22"/>
          <w:szCs w:val="22"/>
        </w:rPr>
        <w:t xml:space="preserve">αυξημένο κατά </w:t>
      </w:r>
      <w:r>
        <w:rPr>
          <w:bCs/>
          <w:sz w:val="22"/>
          <w:szCs w:val="22"/>
        </w:rPr>
        <w:t>199</w:t>
      </w:r>
      <w:r w:rsidRPr="00EA0964">
        <w:rPr>
          <w:bCs/>
          <w:sz w:val="22"/>
          <w:szCs w:val="22"/>
        </w:rPr>
        <w:t xml:space="preserve"> εκατ. ευρώ έναντι του στόχου του </w:t>
      </w:r>
      <w:r>
        <w:rPr>
          <w:bCs/>
          <w:sz w:val="22"/>
          <w:szCs w:val="22"/>
        </w:rPr>
        <w:t>ΜΠΔΣ 2018-2021</w:t>
      </w:r>
      <w:r w:rsidRPr="00EA0964">
        <w:rPr>
          <w:bCs/>
          <w:sz w:val="22"/>
          <w:szCs w:val="22"/>
        </w:rPr>
        <w:t>. Ειδικότερα:</w:t>
      </w:r>
    </w:p>
    <w:p w:rsidR="00A50FB2" w:rsidRPr="00EA0964" w:rsidRDefault="00A50FB2" w:rsidP="00A50FB2">
      <w:pPr>
        <w:jc w:val="both"/>
        <w:rPr>
          <w:bCs/>
          <w:sz w:val="22"/>
          <w:szCs w:val="22"/>
        </w:rPr>
      </w:pPr>
    </w:p>
    <w:p w:rsidR="00A50FB2" w:rsidRDefault="00A50FB2" w:rsidP="00A50FB2">
      <w:pPr>
        <w:jc w:val="both"/>
        <w:rPr>
          <w:bCs/>
          <w:sz w:val="22"/>
          <w:szCs w:val="22"/>
        </w:rPr>
      </w:pPr>
      <w:r w:rsidRPr="00EA0964">
        <w:rPr>
          <w:bCs/>
          <w:sz w:val="22"/>
          <w:szCs w:val="22"/>
        </w:rPr>
        <w:t xml:space="preserve">Τα έσοδα από ΦΠΑ αναμένεται να διαμορφωθούν στα </w:t>
      </w:r>
      <w:r>
        <w:rPr>
          <w:bCs/>
          <w:sz w:val="22"/>
          <w:szCs w:val="22"/>
        </w:rPr>
        <w:t>15.767</w:t>
      </w:r>
      <w:r w:rsidRPr="00EA0964">
        <w:rPr>
          <w:bCs/>
          <w:sz w:val="22"/>
          <w:szCs w:val="22"/>
        </w:rPr>
        <w:t xml:space="preserve"> εκατ. ευρώ, αυξημένα κατά </w:t>
      </w:r>
      <w:r>
        <w:rPr>
          <w:bCs/>
          <w:sz w:val="22"/>
          <w:szCs w:val="22"/>
        </w:rPr>
        <w:t>222</w:t>
      </w:r>
      <w:r w:rsidRPr="00EA0964">
        <w:rPr>
          <w:bCs/>
          <w:sz w:val="22"/>
          <w:szCs w:val="22"/>
        </w:rPr>
        <w:t xml:space="preserve"> εκατ. ευρώ έναντι του στόχου</w:t>
      </w:r>
      <w:r w:rsidRPr="006E0787">
        <w:rPr>
          <w:bCs/>
          <w:sz w:val="22"/>
          <w:szCs w:val="22"/>
        </w:rPr>
        <w:t>. Η αύξηση αυτή προέρχεται κυρίως από την εμφάνιση στα έσοδα ΦΠΑ λο</w:t>
      </w:r>
      <w:r w:rsidRPr="006E0787">
        <w:rPr>
          <w:bCs/>
          <w:sz w:val="22"/>
          <w:szCs w:val="22"/>
        </w:rPr>
        <w:t>ι</w:t>
      </w:r>
      <w:r w:rsidRPr="006E0787">
        <w:rPr>
          <w:bCs/>
          <w:sz w:val="22"/>
          <w:szCs w:val="22"/>
        </w:rPr>
        <w:t>πών προϊόντων ποσού ύψους 296 εκατ. ευρώ από την παραχώρηση των περιφερειακών αεροδρομίων (που στη συνέχεια εμφανίστηκε στα έσοδα αποκρατικοποιήσεων, αυξάνοντας ισόποσα τις επιστροφές φόρων). Μειωμένος</w:t>
      </w:r>
      <w:r>
        <w:rPr>
          <w:bCs/>
          <w:sz w:val="22"/>
          <w:szCs w:val="22"/>
        </w:rPr>
        <w:t xml:space="preserve"> εμφανίζεται ο ΦΠΑ στα καπνικά προϊόντα κατά 74 εκατ. ευρώ, ενώ ο ΦΠΑ π</w:t>
      </w:r>
      <w:r>
        <w:rPr>
          <w:bCs/>
          <w:sz w:val="22"/>
          <w:szCs w:val="22"/>
        </w:rPr>
        <w:t>ε</w:t>
      </w:r>
      <w:r>
        <w:rPr>
          <w:bCs/>
          <w:sz w:val="22"/>
          <w:szCs w:val="22"/>
        </w:rPr>
        <w:t>τρελαιοειδών δεν παρουσιάζει απόκλιση σε σχέση με το στόχο.</w:t>
      </w:r>
    </w:p>
    <w:p w:rsidR="00A50FB2" w:rsidRPr="00EA0964" w:rsidRDefault="00A50FB2" w:rsidP="00A50FB2">
      <w:pPr>
        <w:jc w:val="both"/>
        <w:rPr>
          <w:bCs/>
          <w:sz w:val="22"/>
          <w:szCs w:val="22"/>
        </w:rPr>
      </w:pPr>
    </w:p>
    <w:p w:rsidR="00A50FB2" w:rsidRPr="00EA0964" w:rsidRDefault="00A50FB2" w:rsidP="00A50FB2">
      <w:pPr>
        <w:jc w:val="both"/>
        <w:rPr>
          <w:bCs/>
          <w:sz w:val="22"/>
          <w:szCs w:val="22"/>
        </w:rPr>
      </w:pPr>
      <w:r w:rsidRPr="00EA0964">
        <w:rPr>
          <w:bCs/>
          <w:sz w:val="22"/>
          <w:szCs w:val="22"/>
        </w:rPr>
        <w:t xml:space="preserve">Τα έσοδα από φόρους κατανάλωσης εκτιμάται ότι θα ανέλθουν στα </w:t>
      </w:r>
      <w:r>
        <w:rPr>
          <w:bCs/>
          <w:sz w:val="22"/>
          <w:szCs w:val="22"/>
        </w:rPr>
        <w:t>9.267</w:t>
      </w:r>
      <w:r w:rsidRPr="00EA0964">
        <w:rPr>
          <w:bCs/>
          <w:sz w:val="22"/>
          <w:szCs w:val="22"/>
        </w:rPr>
        <w:t xml:space="preserve"> εκατ. ευρώ</w:t>
      </w:r>
      <w:r>
        <w:rPr>
          <w:bCs/>
          <w:sz w:val="22"/>
          <w:szCs w:val="22"/>
        </w:rPr>
        <w:t>,</w:t>
      </w:r>
      <w:r w:rsidRPr="00EA0964">
        <w:rPr>
          <w:bCs/>
          <w:sz w:val="22"/>
          <w:szCs w:val="22"/>
        </w:rPr>
        <w:t xml:space="preserve"> μειωμένα</w:t>
      </w:r>
      <w:r>
        <w:rPr>
          <w:bCs/>
          <w:sz w:val="22"/>
          <w:szCs w:val="22"/>
        </w:rPr>
        <w:t xml:space="preserve"> κατά 269</w:t>
      </w:r>
      <w:r w:rsidRPr="00EA0964">
        <w:rPr>
          <w:bCs/>
          <w:sz w:val="22"/>
          <w:szCs w:val="22"/>
        </w:rPr>
        <w:t xml:space="preserve"> εκατ. ευρώ έναντι του στόχου που είχε τεθεί </w:t>
      </w:r>
      <w:r>
        <w:rPr>
          <w:bCs/>
          <w:sz w:val="22"/>
          <w:szCs w:val="22"/>
        </w:rPr>
        <w:t>στο ΜΠΔΣ 2018-2021</w:t>
      </w:r>
      <w:r w:rsidRPr="00EA0964">
        <w:rPr>
          <w:bCs/>
          <w:sz w:val="22"/>
          <w:szCs w:val="22"/>
        </w:rPr>
        <w:t>.</w:t>
      </w:r>
      <w:r>
        <w:rPr>
          <w:bCs/>
          <w:sz w:val="22"/>
          <w:szCs w:val="22"/>
        </w:rPr>
        <w:t xml:space="preserve"> </w:t>
      </w:r>
      <w:r w:rsidRPr="00EA0964">
        <w:rPr>
          <w:bCs/>
          <w:sz w:val="22"/>
          <w:szCs w:val="22"/>
        </w:rPr>
        <w:t xml:space="preserve">Η μείωση αυτή προέρχεται από τους λοιπούς </w:t>
      </w:r>
      <w:r>
        <w:rPr>
          <w:bCs/>
          <w:sz w:val="22"/>
          <w:szCs w:val="22"/>
        </w:rPr>
        <w:t>ΕΦΚ</w:t>
      </w:r>
      <w:r w:rsidRPr="00EA0964">
        <w:rPr>
          <w:bCs/>
          <w:sz w:val="22"/>
          <w:szCs w:val="22"/>
        </w:rPr>
        <w:t xml:space="preserve">, οι οποίοι είναι μειωμένοι κατά </w:t>
      </w:r>
      <w:r>
        <w:rPr>
          <w:bCs/>
          <w:sz w:val="22"/>
          <w:szCs w:val="22"/>
        </w:rPr>
        <w:t>320</w:t>
      </w:r>
      <w:r w:rsidRPr="00EA0964">
        <w:rPr>
          <w:bCs/>
          <w:sz w:val="22"/>
          <w:szCs w:val="22"/>
        </w:rPr>
        <w:t xml:space="preserve"> εκατ. ευρώ</w:t>
      </w:r>
      <w:r>
        <w:rPr>
          <w:bCs/>
          <w:sz w:val="22"/>
          <w:szCs w:val="22"/>
        </w:rPr>
        <w:t>,</w:t>
      </w:r>
      <w:r w:rsidRPr="00EA0964">
        <w:rPr>
          <w:bCs/>
          <w:sz w:val="22"/>
          <w:szCs w:val="22"/>
        </w:rPr>
        <w:t xml:space="preserve"> λόγω</w:t>
      </w:r>
      <w:r>
        <w:rPr>
          <w:bCs/>
          <w:sz w:val="22"/>
          <w:szCs w:val="22"/>
        </w:rPr>
        <w:t xml:space="preserve"> της</w:t>
      </w:r>
      <w:r w:rsidRPr="00EA0964">
        <w:rPr>
          <w:bCs/>
          <w:sz w:val="22"/>
          <w:szCs w:val="22"/>
        </w:rPr>
        <w:t xml:space="preserve"> </w:t>
      </w:r>
      <w:r>
        <w:rPr>
          <w:bCs/>
          <w:sz w:val="22"/>
          <w:szCs w:val="22"/>
        </w:rPr>
        <w:t>αυξημένης αποθ</w:t>
      </w:r>
      <w:r>
        <w:rPr>
          <w:bCs/>
          <w:sz w:val="22"/>
          <w:szCs w:val="22"/>
        </w:rPr>
        <w:t>ε</w:t>
      </w:r>
      <w:r>
        <w:rPr>
          <w:bCs/>
          <w:sz w:val="22"/>
          <w:szCs w:val="22"/>
        </w:rPr>
        <w:t>ματοποίησης στα καπνικά προϊόντα του έτους</w:t>
      </w:r>
      <w:r w:rsidR="0019241B">
        <w:rPr>
          <w:bCs/>
          <w:sz w:val="22"/>
          <w:szCs w:val="22"/>
        </w:rPr>
        <w:t xml:space="preserve"> 2016</w:t>
      </w:r>
      <w:r w:rsidRPr="00EA0964">
        <w:rPr>
          <w:bCs/>
          <w:sz w:val="22"/>
          <w:szCs w:val="22"/>
        </w:rPr>
        <w:t>.</w:t>
      </w:r>
    </w:p>
    <w:p w:rsidR="00A50FB2" w:rsidRPr="00EA0964" w:rsidRDefault="00A50FB2" w:rsidP="00A50FB2">
      <w:pPr>
        <w:jc w:val="both"/>
        <w:rPr>
          <w:bCs/>
          <w:sz w:val="22"/>
          <w:szCs w:val="22"/>
        </w:rPr>
      </w:pPr>
    </w:p>
    <w:p w:rsidR="00A50FB2" w:rsidRPr="00EA0964" w:rsidRDefault="00A50FB2" w:rsidP="00A50FB2">
      <w:pPr>
        <w:jc w:val="both"/>
        <w:rPr>
          <w:b/>
          <w:bCs/>
          <w:sz w:val="22"/>
          <w:szCs w:val="22"/>
        </w:rPr>
      </w:pPr>
      <w:r w:rsidRPr="00EA0964">
        <w:rPr>
          <w:bCs/>
          <w:sz w:val="22"/>
          <w:szCs w:val="22"/>
        </w:rPr>
        <w:t xml:space="preserve">Τέλος, οι έμμεσοι φόροι παρελθόντων οικονομικών ετών (ΠΟΕ) αναμένεται να διαμορφωθούν στα </w:t>
      </w:r>
      <w:r>
        <w:rPr>
          <w:bCs/>
          <w:sz w:val="22"/>
          <w:szCs w:val="22"/>
        </w:rPr>
        <w:t>922</w:t>
      </w:r>
      <w:r w:rsidRPr="00EA0964">
        <w:rPr>
          <w:bCs/>
          <w:sz w:val="22"/>
          <w:szCs w:val="22"/>
        </w:rPr>
        <w:t xml:space="preserve"> εκατ. ευρώ, αυξημένοι κατά </w:t>
      </w:r>
      <w:r>
        <w:rPr>
          <w:bCs/>
          <w:sz w:val="22"/>
          <w:szCs w:val="22"/>
        </w:rPr>
        <w:t>204</w:t>
      </w:r>
      <w:r w:rsidRPr="00EA0964">
        <w:rPr>
          <w:bCs/>
          <w:sz w:val="22"/>
          <w:szCs w:val="22"/>
        </w:rPr>
        <w:t xml:space="preserve"> εκατ. ευρώ</w:t>
      </w:r>
      <w:r w:rsidR="003331A6">
        <w:rPr>
          <w:bCs/>
          <w:sz w:val="22"/>
          <w:szCs w:val="22"/>
        </w:rPr>
        <w:t>.</w:t>
      </w:r>
    </w:p>
    <w:p w:rsidR="0041428B" w:rsidRPr="0041428B" w:rsidRDefault="0041428B" w:rsidP="00A50FB2">
      <w:pPr>
        <w:jc w:val="both"/>
        <w:rPr>
          <w:rFonts w:ascii="Arial Narrow" w:hAnsi="Arial Narrow"/>
          <w:b/>
          <w:bCs/>
          <w:i/>
          <w:sz w:val="22"/>
          <w:szCs w:val="22"/>
        </w:rPr>
      </w:pPr>
    </w:p>
    <w:p w:rsidR="00A50FB2" w:rsidRPr="00EA0964" w:rsidRDefault="00A50FB2" w:rsidP="00A50FB2">
      <w:pPr>
        <w:jc w:val="both"/>
        <w:rPr>
          <w:rFonts w:ascii="Arial Narrow" w:hAnsi="Arial Narrow"/>
          <w:b/>
          <w:bCs/>
          <w:i/>
          <w:sz w:val="22"/>
          <w:szCs w:val="22"/>
        </w:rPr>
      </w:pPr>
      <w:r w:rsidRPr="00EA0964">
        <w:rPr>
          <w:rFonts w:ascii="Arial Narrow" w:hAnsi="Arial Narrow"/>
          <w:b/>
          <w:bCs/>
          <w:i/>
          <w:sz w:val="22"/>
          <w:szCs w:val="22"/>
        </w:rPr>
        <w:t>Μη φορολογικά έσοδα</w:t>
      </w:r>
    </w:p>
    <w:p w:rsidR="00A50FB2" w:rsidRPr="00EA0964" w:rsidRDefault="00A50FB2" w:rsidP="00A50FB2">
      <w:pPr>
        <w:jc w:val="both"/>
        <w:rPr>
          <w:bCs/>
          <w:sz w:val="22"/>
          <w:szCs w:val="22"/>
        </w:rPr>
      </w:pPr>
    </w:p>
    <w:p w:rsidR="00A50FB2" w:rsidRPr="005978FE" w:rsidRDefault="00A50FB2" w:rsidP="00A50FB2">
      <w:pPr>
        <w:jc w:val="both"/>
        <w:rPr>
          <w:bCs/>
          <w:sz w:val="22"/>
          <w:szCs w:val="22"/>
        </w:rPr>
      </w:pPr>
      <w:r w:rsidRPr="00EA0964">
        <w:rPr>
          <w:bCs/>
          <w:sz w:val="22"/>
          <w:szCs w:val="22"/>
        </w:rPr>
        <w:t>Τα</w:t>
      </w:r>
      <w:r w:rsidR="000A6210">
        <w:rPr>
          <w:bCs/>
          <w:sz w:val="22"/>
          <w:szCs w:val="22"/>
        </w:rPr>
        <w:t xml:space="preserve"> λοιπά</w:t>
      </w:r>
      <w:r w:rsidRPr="00EA0964">
        <w:rPr>
          <w:bCs/>
          <w:sz w:val="22"/>
          <w:szCs w:val="22"/>
        </w:rPr>
        <w:t xml:space="preserve"> μη φορολογικά έσοδα εκτιμάται ότι θα διαμορφωθούν στα 4.</w:t>
      </w:r>
      <w:r>
        <w:rPr>
          <w:bCs/>
          <w:sz w:val="22"/>
          <w:szCs w:val="22"/>
        </w:rPr>
        <w:t>3</w:t>
      </w:r>
      <w:r w:rsidR="00F632B1">
        <w:rPr>
          <w:bCs/>
          <w:sz w:val="22"/>
          <w:szCs w:val="22"/>
        </w:rPr>
        <w:t>40</w:t>
      </w:r>
      <w:r w:rsidRPr="00EA0964">
        <w:rPr>
          <w:bCs/>
          <w:sz w:val="22"/>
          <w:szCs w:val="22"/>
        </w:rPr>
        <w:t xml:space="preserve"> εκατ. ευρώ, </w:t>
      </w:r>
      <w:r>
        <w:rPr>
          <w:bCs/>
          <w:sz w:val="22"/>
          <w:szCs w:val="22"/>
        </w:rPr>
        <w:t xml:space="preserve">αυξημένα </w:t>
      </w:r>
      <w:r w:rsidRPr="00EA0964">
        <w:rPr>
          <w:bCs/>
          <w:sz w:val="22"/>
          <w:szCs w:val="22"/>
        </w:rPr>
        <w:t xml:space="preserve">κατά </w:t>
      </w:r>
      <w:r w:rsidR="00F632B1">
        <w:rPr>
          <w:bCs/>
          <w:sz w:val="22"/>
          <w:szCs w:val="22"/>
        </w:rPr>
        <w:t>361</w:t>
      </w:r>
      <w:r w:rsidRPr="00EA0964">
        <w:rPr>
          <w:bCs/>
          <w:sz w:val="22"/>
          <w:szCs w:val="22"/>
        </w:rPr>
        <w:t xml:space="preserve"> εκατ</w:t>
      </w:r>
      <w:r w:rsidR="00F632B1">
        <w:rPr>
          <w:bCs/>
          <w:sz w:val="22"/>
          <w:szCs w:val="22"/>
        </w:rPr>
        <w:t xml:space="preserve">. ευρώ ή </w:t>
      </w:r>
      <w:r w:rsidR="005978FE">
        <w:rPr>
          <w:bCs/>
          <w:sz w:val="22"/>
          <w:szCs w:val="22"/>
        </w:rPr>
        <w:t>9</w:t>
      </w:r>
      <w:r w:rsidR="00F632B1">
        <w:rPr>
          <w:bCs/>
          <w:sz w:val="22"/>
          <w:szCs w:val="22"/>
        </w:rPr>
        <w:t>,1</w:t>
      </w:r>
      <w:r>
        <w:rPr>
          <w:bCs/>
          <w:sz w:val="22"/>
          <w:szCs w:val="22"/>
        </w:rPr>
        <w:t>% έναντι του στόχου του ΜΠΔΣ 2018-2021. Η αύξηση αυτή οφείλεται,</w:t>
      </w:r>
      <w:r w:rsidRPr="00EA0964">
        <w:rPr>
          <w:bCs/>
          <w:sz w:val="22"/>
          <w:szCs w:val="22"/>
        </w:rPr>
        <w:t xml:space="preserve"> κυρίως</w:t>
      </w:r>
      <w:r>
        <w:rPr>
          <w:bCs/>
          <w:sz w:val="22"/>
          <w:szCs w:val="22"/>
        </w:rPr>
        <w:t>, στους εξής παράγοντες</w:t>
      </w:r>
      <w:r w:rsidRPr="00EA0964">
        <w:rPr>
          <w:bCs/>
          <w:sz w:val="22"/>
          <w:szCs w:val="22"/>
        </w:rPr>
        <w:t xml:space="preserve">: </w:t>
      </w:r>
    </w:p>
    <w:p w:rsidR="001608F9" w:rsidRPr="005978FE" w:rsidRDefault="001608F9" w:rsidP="00A50FB2">
      <w:pPr>
        <w:jc w:val="both"/>
        <w:rPr>
          <w:bCs/>
          <w:sz w:val="22"/>
          <w:szCs w:val="22"/>
        </w:rPr>
      </w:pPr>
    </w:p>
    <w:p w:rsidR="00A50FB2" w:rsidRDefault="00A50FB2" w:rsidP="00A50FB2">
      <w:pPr>
        <w:pStyle w:val="Web"/>
        <w:numPr>
          <w:ilvl w:val="0"/>
          <w:numId w:val="24"/>
        </w:numPr>
        <w:spacing w:before="0" w:beforeAutospacing="0" w:after="0" w:line="228" w:lineRule="auto"/>
        <w:ind w:left="284" w:hanging="284"/>
        <w:jc w:val="both"/>
        <w:rPr>
          <w:sz w:val="22"/>
          <w:szCs w:val="22"/>
        </w:rPr>
      </w:pPr>
      <w:r w:rsidRPr="004A26E5">
        <w:rPr>
          <w:sz w:val="22"/>
          <w:szCs w:val="22"/>
        </w:rPr>
        <w:t>στα αυξημένα, κατά 1</w:t>
      </w:r>
      <w:r>
        <w:rPr>
          <w:sz w:val="22"/>
          <w:szCs w:val="22"/>
        </w:rPr>
        <w:t>37</w:t>
      </w:r>
      <w:r w:rsidRPr="004A26E5">
        <w:rPr>
          <w:sz w:val="22"/>
          <w:szCs w:val="22"/>
        </w:rPr>
        <w:t xml:space="preserve"> εκατ. ευρώ, έσοδα από μερίσματα λόγω της συμμετοχής του Δημοσίου στα κέρδη Δημοσίων Επιχειρήσεων και Οργανισμών,</w:t>
      </w:r>
    </w:p>
    <w:p w:rsidR="00A50FB2" w:rsidRPr="004A26E5" w:rsidRDefault="00A50FB2" w:rsidP="00A50FB2">
      <w:pPr>
        <w:pStyle w:val="Web"/>
        <w:numPr>
          <w:ilvl w:val="0"/>
          <w:numId w:val="24"/>
        </w:numPr>
        <w:spacing w:before="0" w:beforeAutospacing="0" w:after="0" w:line="228" w:lineRule="auto"/>
        <w:ind w:left="284" w:hanging="284"/>
        <w:jc w:val="both"/>
        <w:rPr>
          <w:sz w:val="22"/>
          <w:szCs w:val="22"/>
        </w:rPr>
      </w:pPr>
      <w:r>
        <w:rPr>
          <w:sz w:val="22"/>
          <w:szCs w:val="22"/>
        </w:rPr>
        <w:t>στα αυξημένα, κατά 100 εκατ. ευρώ, έσοδα από πρόστιμα</w:t>
      </w:r>
      <w:r w:rsidR="005978FE">
        <w:rPr>
          <w:sz w:val="22"/>
          <w:szCs w:val="22"/>
        </w:rPr>
        <w:t>,</w:t>
      </w:r>
      <w:r>
        <w:rPr>
          <w:sz w:val="22"/>
          <w:szCs w:val="22"/>
        </w:rPr>
        <w:t xml:space="preserve"> </w:t>
      </w:r>
    </w:p>
    <w:p w:rsidR="00A50FB2" w:rsidRDefault="00A50FB2" w:rsidP="00A50FB2">
      <w:pPr>
        <w:pStyle w:val="Web"/>
        <w:numPr>
          <w:ilvl w:val="0"/>
          <w:numId w:val="24"/>
        </w:numPr>
        <w:spacing w:before="0" w:beforeAutospacing="0" w:after="0" w:line="228" w:lineRule="auto"/>
        <w:ind w:left="284" w:hanging="284"/>
        <w:jc w:val="both"/>
        <w:rPr>
          <w:sz w:val="22"/>
          <w:szCs w:val="22"/>
        </w:rPr>
      </w:pPr>
      <w:r w:rsidRPr="004A26E5">
        <w:rPr>
          <w:sz w:val="22"/>
          <w:szCs w:val="22"/>
        </w:rPr>
        <w:t xml:space="preserve">στα αυξημένα, κατά </w:t>
      </w:r>
      <w:r>
        <w:rPr>
          <w:sz w:val="22"/>
          <w:szCs w:val="22"/>
        </w:rPr>
        <w:t>29</w:t>
      </w:r>
      <w:r w:rsidRPr="004A26E5">
        <w:rPr>
          <w:sz w:val="22"/>
          <w:szCs w:val="22"/>
        </w:rPr>
        <w:t xml:space="preserve"> εκατ. ευρώ, έσοδα από την είσπραξη φόρων με ταυτότητα οφειλής, μέσω πιστωτικών ιδρυμάτων, που καταχωρούνται προσωρινά</w:t>
      </w:r>
      <w:r>
        <w:rPr>
          <w:sz w:val="22"/>
          <w:szCs w:val="22"/>
        </w:rPr>
        <w:t xml:space="preserve"> σε μη φορολογικό κωδικό εσόδου, και</w:t>
      </w:r>
    </w:p>
    <w:p w:rsidR="00A50FB2" w:rsidRPr="004A26E5" w:rsidRDefault="00A50FB2" w:rsidP="00D84E1A">
      <w:pPr>
        <w:pStyle w:val="Web"/>
        <w:numPr>
          <w:ilvl w:val="0"/>
          <w:numId w:val="24"/>
        </w:numPr>
        <w:spacing w:before="0" w:beforeAutospacing="0" w:after="0" w:line="228" w:lineRule="auto"/>
        <w:ind w:left="284" w:hanging="284"/>
        <w:jc w:val="both"/>
        <w:rPr>
          <w:sz w:val="22"/>
          <w:szCs w:val="22"/>
        </w:rPr>
      </w:pPr>
      <w:r>
        <w:rPr>
          <w:sz w:val="22"/>
          <w:szCs w:val="22"/>
        </w:rPr>
        <w:t>στα έσοδα, ύψους 29 εκατ. ευρώ, από την καταβολή προμήθειας υπέρ του Ελληνικού Δημοσίου από τα πιστωτικά ιδρύματα, για την υπερβάλλουσα αναβαλλόμενη φορο</w:t>
      </w:r>
      <w:r w:rsidR="00D84E1A">
        <w:rPr>
          <w:sz w:val="22"/>
          <w:szCs w:val="22"/>
        </w:rPr>
        <w:t>λογική απαίτηση οικον</w:t>
      </w:r>
      <w:r w:rsidR="00D84E1A">
        <w:rPr>
          <w:sz w:val="22"/>
          <w:szCs w:val="22"/>
        </w:rPr>
        <w:t>ο</w:t>
      </w:r>
      <w:r w:rsidR="00D84E1A">
        <w:rPr>
          <w:sz w:val="22"/>
          <w:szCs w:val="22"/>
        </w:rPr>
        <w:t>μικού</w:t>
      </w:r>
      <w:r>
        <w:rPr>
          <w:sz w:val="22"/>
          <w:szCs w:val="22"/>
        </w:rPr>
        <w:t xml:space="preserve"> έτους 2016</w:t>
      </w:r>
      <w:r w:rsidRPr="004A7201">
        <w:rPr>
          <w:sz w:val="22"/>
          <w:szCs w:val="22"/>
        </w:rPr>
        <w:t>, που δεν ε</w:t>
      </w:r>
      <w:r>
        <w:rPr>
          <w:sz w:val="22"/>
          <w:szCs w:val="22"/>
        </w:rPr>
        <w:t>ίχαν προβλεφθεί στο ΜΠΔΣ.</w:t>
      </w:r>
    </w:p>
    <w:p w:rsidR="00A50FB2" w:rsidRPr="00301426" w:rsidRDefault="00A50FB2" w:rsidP="00A50FB2">
      <w:pPr>
        <w:jc w:val="both"/>
        <w:rPr>
          <w:bCs/>
          <w:sz w:val="22"/>
          <w:szCs w:val="22"/>
        </w:rPr>
      </w:pPr>
    </w:p>
    <w:p w:rsidR="00A50FB2" w:rsidRPr="00EA0964" w:rsidRDefault="00A50FB2" w:rsidP="00A50FB2">
      <w:pPr>
        <w:jc w:val="both"/>
        <w:rPr>
          <w:rFonts w:ascii="Arial Narrow" w:hAnsi="Arial Narrow"/>
          <w:b/>
          <w:bCs/>
          <w:i/>
          <w:sz w:val="22"/>
          <w:szCs w:val="22"/>
        </w:rPr>
      </w:pPr>
      <w:r w:rsidRPr="00EA0964">
        <w:rPr>
          <w:rFonts w:ascii="Arial Narrow" w:hAnsi="Arial Narrow"/>
          <w:b/>
          <w:bCs/>
          <w:i/>
          <w:sz w:val="22"/>
          <w:szCs w:val="22"/>
        </w:rPr>
        <w:t xml:space="preserve">Μη τακτικά έσοδα </w:t>
      </w:r>
    </w:p>
    <w:p w:rsidR="00A50FB2" w:rsidRPr="00EA0964" w:rsidRDefault="00A50FB2" w:rsidP="00A50FB2">
      <w:pPr>
        <w:jc w:val="both"/>
        <w:rPr>
          <w:bCs/>
          <w:sz w:val="22"/>
          <w:szCs w:val="22"/>
        </w:rPr>
      </w:pPr>
    </w:p>
    <w:p w:rsidR="00A50FB2" w:rsidRDefault="00A50FB2" w:rsidP="00A50FB2">
      <w:pPr>
        <w:pStyle w:val="Web"/>
        <w:spacing w:before="0" w:beforeAutospacing="0" w:after="0" w:line="228" w:lineRule="auto"/>
        <w:jc w:val="both"/>
        <w:rPr>
          <w:sz w:val="22"/>
          <w:szCs w:val="22"/>
        </w:rPr>
      </w:pPr>
      <w:r w:rsidRPr="00EA0964">
        <w:rPr>
          <w:bCs/>
          <w:sz w:val="22"/>
          <w:szCs w:val="22"/>
        </w:rPr>
        <w:t xml:space="preserve">Τα μη τακτικά έσοδα </w:t>
      </w:r>
      <w:r w:rsidR="005978FE">
        <w:rPr>
          <w:bCs/>
          <w:sz w:val="22"/>
          <w:szCs w:val="22"/>
        </w:rPr>
        <w:t>(</w:t>
      </w:r>
      <w:r w:rsidR="001C1C5C">
        <w:rPr>
          <w:bCs/>
          <w:sz w:val="22"/>
          <w:szCs w:val="22"/>
        </w:rPr>
        <w:t>εκτός</w:t>
      </w:r>
      <w:r w:rsidR="005978FE">
        <w:rPr>
          <w:bCs/>
          <w:sz w:val="22"/>
          <w:szCs w:val="22"/>
        </w:rPr>
        <w:t xml:space="preserve"> των εσόδων από </w:t>
      </w:r>
      <w:r w:rsidR="005978FE">
        <w:rPr>
          <w:bCs/>
          <w:sz w:val="22"/>
          <w:szCs w:val="22"/>
          <w:lang w:val="en-GB"/>
        </w:rPr>
        <w:t>ANFAs</w:t>
      </w:r>
      <w:r w:rsidR="005978FE" w:rsidRPr="005978FE">
        <w:rPr>
          <w:bCs/>
          <w:sz w:val="22"/>
          <w:szCs w:val="22"/>
        </w:rPr>
        <w:t xml:space="preserve"> </w:t>
      </w:r>
      <w:r w:rsidR="005978FE">
        <w:rPr>
          <w:bCs/>
          <w:sz w:val="22"/>
          <w:szCs w:val="22"/>
        </w:rPr>
        <w:t xml:space="preserve">και </w:t>
      </w:r>
      <w:r w:rsidR="005978FE">
        <w:rPr>
          <w:bCs/>
          <w:sz w:val="22"/>
          <w:szCs w:val="22"/>
          <w:lang w:val="en-GB"/>
        </w:rPr>
        <w:t>SMPs</w:t>
      </w:r>
      <w:r w:rsidR="005978FE">
        <w:rPr>
          <w:bCs/>
          <w:sz w:val="22"/>
          <w:szCs w:val="22"/>
        </w:rPr>
        <w:t xml:space="preserve">) </w:t>
      </w:r>
      <w:r w:rsidRPr="00EA0964">
        <w:rPr>
          <w:bCs/>
          <w:sz w:val="22"/>
          <w:szCs w:val="22"/>
        </w:rPr>
        <w:t xml:space="preserve">εκτιμάται ότι θα διαμορφωθούν στο ποσό των </w:t>
      </w:r>
      <w:r>
        <w:rPr>
          <w:bCs/>
          <w:sz w:val="22"/>
          <w:szCs w:val="22"/>
        </w:rPr>
        <w:t>350</w:t>
      </w:r>
      <w:r w:rsidRPr="00EA0964">
        <w:rPr>
          <w:bCs/>
          <w:sz w:val="22"/>
          <w:szCs w:val="22"/>
        </w:rPr>
        <w:t xml:space="preserve"> εκατ. ευρώ, παρουσιάζοντας </w:t>
      </w:r>
      <w:r>
        <w:rPr>
          <w:bCs/>
          <w:sz w:val="22"/>
          <w:szCs w:val="22"/>
        </w:rPr>
        <w:t>αύξηση κατά 4</w:t>
      </w:r>
      <w:r w:rsidRPr="00EA0964">
        <w:rPr>
          <w:bCs/>
          <w:sz w:val="22"/>
          <w:szCs w:val="22"/>
        </w:rPr>
        <w:t>3 εκατ. ευρώ</w:t>
      </w:r>
      <w:r w:rsidR="00C4086A">
        <w:rPr>
          <w:bCs/>
          <w:sz w:val="22"/>
          <w:szCs w:val="22"/>
        </w:rPr>
        <w:t>, ή 14,2</w:t>
      </w:r>
      <w:r>
        <w:rPr>
          <w:bCs/>
          <w:sz w:val="22"/>
          <w:szCs w:val="22"/>
        </w:rPr>
        <w:t>%</w:t>
      </w:r>
      <w:r w:rsidRPr="00EA0964">
        <w:rPr>
          <w:bCs/>
          <w:sz w:val="22"/>
          <w:szCs w:val="22"/>
        </w:rPr>
        <w:t xml:space="preserve"> έναντι του στόχου του </w:t>
      </w:r>
      <w:r>
        <w:rPr>
          <w:bCs/>
          <w:sz w:val="22"/>
          <w:szCs w:val="22"/>
        </w:rPr>
        <w:t xml:space="preserve">ΜΠΔΣ 2018-2021, </w:t>
      </w:r>
      <w:r w:rsidRPr="00046336">
        <w:rPr>
          <w:sz w:val="22"/>
          <w:szCs w:val="22"/>
        </w:rPr>
        <w:t>η οποία οφείλεται κυρίως στην αύξηση των εσόδων</w:t>
      </w:r>
      <w:r>
        <w:rPr>
          <w:sz w:val="22"/>
          <w:szCs w:val="22"/>
        </w:rPr>
        <w:t xml:space="preserve"> από</w:t>
      </w:r>
      <w:r w:rsidR="00885320">
        <w:rPr>
          <w:sz w:val="22"/>
          <w:szCs w:val="22"/>
        </w:rPr>
        <w:t>:</w:t>
      </w:r>
    </w:p>
    <w:p w:rsidR="00885320" w:rsidRPr="00046336" w:rsidRDefault="00885320" w:rsidP="00A50FB2">
      <w:pPr>
        <w:pStyle w:val="Web"/>
        <w:spacing w:before="0" w:beforeAutospacing="0" w:after="0" w:line="228" w:lineRule="auto"/>
        <w:jc w:val="both"/>
        <w:rPr>
          <w:sz w:val="22"/>
          <w:szCs w:val="22"/>
        </w:rPr>
      </w:pPr>
    </w:p>
    <w:p w:rsidR="00A50FB2" w:rsidRPr="00046336" w:rsidRDefault="00A50FB2" w:rsidP="00A50FB2">
      <w:pPr>
        <w:pStyle w:val="Web"/>
        <w:numPr>
          <w:ilvl w:val="0"/>
          <w:numId w:val="25"/>
        </w:numPr>
        <w:spacing w:before="0" w:beforeAutospacing="0" w:after="0" w:line="228" w:lineRule="auto"/>
        <w:jc w:val="both"/>
        <w:rPr>
          <w:sz w:val="22"/>
          <w:szCs w:val="22"/>
        </w:rPr>
      </w:pPr>
      <w:r>
        <w:rPr>
          <w:sz w:val="22"/>
          <w:szCs w:val="22"/>
        </w:rPr>
        <w:t>τους</w:t>
      </w:r>
      <w:r w:rsidRPr="00046336">
        <w:rPr>
          <w:sz w:val="22"/>
          <w:szCs w:val="22"/>
        </w:rPr>
        <w:t xml:space="preserve"> καταργηθέντες ειδικούς λογαριασμούς, κατά </w:t>
      </w:r>
      <w:r>
        <w:rPr>
          <w:sz w:val="22"/>
          <w:szCs w:val="22"/>
        </w:rPr>
        <w:t>24</w:t>
      </w:r>
      <w:r w:rsidRPr="00046336">
        <w:rPr>
          <w:sz w:val="22"/>
          <w:szCs w:val="22"/>
        </w:rPr>
        <w:t xml:space="preserve"> εκατ. ευρώ,</w:t>
      </w:r>
    </w:p>
    <w:p w:rsidR="00A50FB2" w:rsidRPr="00046336" w:rsidRDefault="00A50FB2" w:rsidP="00A50FB2">
      <w:pPr>
        <w:pStyle w:val="Web"/>
        <w:numPr>
          <w:ilvl w:val="0"/>
          <w:numId w:val="25"/>
        </w:numPr>
        <w:spacing w:before="0" w:beforeAutospacing="0" w:after="0" w:line="228" w:lineRule="auto"/>
        <w:jc w:val="both"/>
        <w:rPr>
          <w:bCs/>
          <w:sz w:val="22"/>
          <w:szCs w:val="22"/>
        </w:rPr>
      </w:pPr>
      <w:r w:rsidRPr="00046336">
        <w:rPr>
          <w:sz w:val="22"/>
          <w:szCs w:val="22"/>
        </w:rPr>
        <w:lastRenderedPageBreak/>
        <w:t>τα πιστωτικά ιδρύματα, στο πλαίσιο του προγράμματος ενίσχυσης της ρευστότητας λόγω της χρηματοπιστωτικής κρίσης</w:t>
      </w:r>
      <w:r>
        <w:rPr>
          <w:sz w:val="22"/>
          <w:szCs w:val="22"/>
        </w:rPr>
        <w:t>, κατά 12 εκατ. ευρώ.</w:t>
      </w:r>
    </w:p>
    <w:p w:rsidR="00A50FB2" w:rsidRPr="00EA0964" w:rsidRDefault="00A50FB2" w:rsidP="00A50FB2">
      <w:pPr>
        <w:jc w:val="both"/>
        <w:rPr>
          <w:bCs/>
          <w:sz w:val="22"/>
          <w:szCs w:val="22"/>
        </w:rPr>
      </w:pPr>
    </w:p>
    <w:p w:rsidR="00A50FB2" w:rsidRPr="00EA0964" w:rsidRDefault="00A50FB2" w:rsidP="00A50FB2">
      <w:pPr>
        <w:jc w:val="both"/>
        <w:rPr>
          <w:rFonts w:ascii="Arial Narrow" w:hAnsi="Arial Narrow"/>
          <w:b/>
          <w:bCs/>
          <w:i/>
          <w:sz w:val="22"/>
          <w:szCs w:val="22"/>
        </w:rPr>
      </w:pPr>
      <w:r w:rsidRPr="00EA0964">
        <w:rPr>
          <w:rFonts w:ascii="Arial Narrow" w:hAnsi="Arial Narrow"/>
          <w:b/>
          <w:bCs/>
          <w:i/>
          <w:sz w:val="22"/>
          <w:szCs w:val="22"/>
        </w:rPr>
        <w:t>Μεταφορά αποδόσεων από τη διακράτηση ομολόγων του Ελληνικού Δημοσίου στα χαρτοφυλάκια Κ</w:t>
      </w:r>
      <w:r w:rsidRPr="00EA0964">
        <w:rPr>
          <w:rFonts w:ascii="Arial Narrow" w:hAnsi="Arial Narrow"/>
          <w:b/>
          <w:bCs/>
          <w:i/>
          <w:sz w:val="22"/>
          <w:szCs w:val="22"/>
        </w:rPr>
        <w:t>ε</w:t>
      </w:r>
      <w:r w:rsidRPr="00EA0964">
        <w:rPr>
          <w:rFonts w:ascii="Arial Narrow" w:hAnsi="Arial Narrow"/>
          <w:b/>
          <w:bCs/>
          <w:i/>
          <w:sz w:val="22"/>
          <w:szCs w:val="22"/>
        </w:rPr>
        <w:t>ντρικών Τραπεζών του Ευρωσυστήματος (ANFA)</w:t>
      </w:r>
    </w:p>
    <w:p w:rsidR="00A50FB2" w:rsidRPr="00EA0964" w:rsidRDefault="00A50FB2" w:rsidP="00A50FB2">
      <w:pPr>
        <w:jc w:val="both"/>
        <w:rPr>
          <w:bCs/>
          <w:sz w:val="22"/>
          <w:szCs w:val="22"/>
        </w:rPr>
      </w:pPr>
    </w:p>
    <w:p w:rsidR="00A50FB2" w:rsidRPr="00EA0964" w:rsidRDefault="00A50FB2" w:rsidP="00A50FB2">
      <w:pPr>
        <w:jc w:val="both"/>
        <w:rPr>
          <w:bCs/>
          <w:sz w:val="22"/>
          <w:szCs w:val="22"/>
        </w:rPr>
      </w:pPr>
      <w:r w:rsidRPr="00EA0964">
        <w:rPr>
          <w:bCs/>
          <w:sz w:val="22"/>
          <w:szCs w:val="22"/>
        </w:rPr>
        <w:t xml:space="preserve">Από τη μεταφορά αποδόσεων </w:t>
      </w:r>
      <w:r>
        <w:rPr>
          <w:bCs/>
          <w:sz w:val="22"/>
          <w:szCs w:val="22"/>
        </w:rPr>
        <w:t>λόγω</w:t>
      </w:r>
      <w:r w:rsidRPr="00EA0964">
        <w:rPr>
          <w:bCs/>
          <w:sz w:val="22"/>
          <w:szCs w:val="22"/>
        </w:rPr>
        <w:t xml:space="preserve"> τη</w:t>
      </w:r>
      <w:r>
        <w:rPr>
          <w:bCs/>
          <w:sz w:val="22"/>
          <w:szCs w:val="22"/>
        </w:rPr>
        <w:t>ς</w:t>
      </w:r>
      <w:r w:rsidRPr="00EA0964">
        <w:rPr>
          <w:bCs/>
          <w:sz w:val="22"/>
          <w:szCs w:val="22"/>
        </w:rPr>
        <w:t xml:space="preserve"> διακράτηση</w:t>
      </w:r>
      <w:r>
        <w:rPr>
          <w:bCs/>
          <w:sz w:val="22"/>
          <w:szCs w:val="22"/>
        </w:rPr>
        <w:t>ς</w:t>
      </w:r>
      <w:r w:rsidRPr="00EA0964">
        <w:rPr>
          <w:bCs/>
          <w:sz w:val="22"/>
          <w:szCs w:val="22"/>
        </w:rPr>
        <w:t xml:space="preserve"> ομολόγων του Ελληνικού Δημοσίου στα χαρτ</w:t>
      </w:r>
      <w:r w:rsidRPr="00EA0964">
        <w:rPr>
          <w:bCs/>
          <w:sz w:val="22"/>
          <w:szCs w:val="22"/>
        </w:rPr>
        <w:t>ο</w:t>
      </w:r>
      <w:r w:rsidRPr="00EA0964">
        <w:rPr>
          <w:bCs/>
          <w:sz w:val="22"/>
          <w:szCs w:val="22"/>
        </w:rPr>
        <w:t>φυλάκια των Κεντρικών Τραπεζών του Ευρωσυστήματος (ANFAs), καθώς και από το Πρόγραμμα Αγοράς Ομολόγων (SMPs), της Ευρωπαϊκής Κεντρικής Τράπεζας (Ε</w:t>
      </w:r>
      <w:r>
        <w:rPr>
          <w:bCs/>
          <w:sz w:val="22"/>
          <w:szCs w:val="22"/>
        </w:rPr>
        <w:t>ΚΤ), προβλέπονται έσοδα ύψους 34</w:t>
      </w:r>
      <w:r w:rsidRPr="00EA0964">
        <w:rPr>
          <w:bCs/>
          <w:sz w:val="22"/>
          <w:szCs w:val="22"/>
        </w:rPr>
        <w:t>5 εκατ. ευρώ. Σημειώνεται ότι</w:t>
      </w:r>
      <w:r>
        <w:rPr>
          <w:bCs/>
          <w:sz w:val="22"/>
          <w:szCs w:val="22"/>
        </w:rPr>
        <w:t>,</w:t>
      </w:r>
      <w:r w:rsidRPr="00EA0964">
        <w:rPr>
          <w:bCs/>
          <w:sz w:val="22"/>
          <w:szCs w:val="22"/>
        </w:rPr>
        <w:t xml:space="preserve"> τα έσοδα αυτά κατατίθενται απευθείας στον ειδικό λογαριασμό εξ</w:t>
      </w:r>
      <w:r w:rsidRPr="00EA0964">
        <w:rPr>
          <w:bCs/>
          <w:sz w:val="22"/>
          <w:szCs w:val="22"/>
        </w:rPr>
        <w:t>υ</w:t>
      </w:r>
      <w:r w:rsidRPr="00EA0964">
        <w:rPr>
          <w:bCs/>
          <w:sz w:val="22"/>
          <w:szCs w:val="22"/>
        </w:rPr>
        <w:t xml:space="preserve">πηρέτησης του δημόσιου χρέους (Segregated </w:t>
      </w:r>
      <w:r w:rsidRPr="00EA0964">
        <w:rPr>
          <w:bCs/>
          <w:sz w:val="22"/>
          <w:szCs w:val="22"/>
          <w:lang w:val="en-US"/>
        </w:rPr>
        <w:t>A</w:t>
      </w:r>
      <w:r w:rsidRPr="00EA0964">
        <w:rPr>
          <w:bCs/>
          <w:sz w:val="22"/>
          <w:szCs w:val="22"/>
        </w:rPr>
        <w:t>ccount) και δεν υπολογίζονται στο αποτέλεσμα της Γενικής Κυβέρνησης, σύμφωνα με τους όρους της Σύμβασης Χρηματοδοτικής Διευκόλυνσης.</w:t>
      </w:r>
    </w:p>
    <w:p w:rsidR="00A50FB2" w:rsidRPr="00EA0964" w:rsidRDefault="00A50FB2" w:rsidP="00A50FB2">
      <w:pPr>
        <w:jc w:val="both"/>
        <w:rPr>
          <w:bCs/>
          <w:sz w:val="22"/>
          <w:szCs w:val="22"/>
        </w:rPr>
      </w:pPr>
    </w:p>
    <w:p w:rsidR="00A50FB2" w:rsidRPr="00EA0964" w:rsidRDefault="00A50FB2" w:rsidP="00A50FB2">
      <w:pPr>
        <w:jc w:val="both"/>
        <w:rPr>
          <w:rFonts w:ascii="Arial Narrow" w:hAnsi="Arial Narrow"/>
          <w:b/>
          <w:bCs/>
          <w:i/>
          <w:sz w:val="22"/>
          <w:szCs w:val="22"/>
        </w:rPr>
      </w:pPr>
      <w:r w:rsidRPr="00EA0964">
        <w:rPr>
          <w:rFonts w:ascii="Arial Narrow" w:hAnsi="Arial Narrow"/>
          <w:b/>
          <w:bCs/>
          <w:i/>
          <w:sz w:val="22"/>
          <w:szCs w:val="22"/>
        </w:rPr>
        <w:t>Επιστροφές αχρεωστήτως εισπραχθέντων εσόδων</w:t>
      </w:r>
    </w:p>
    <w:p w:rsidR="00A50FB2" w:rsidRPr="00EA0964" w:rsidRDefault="00A50FB2" w:rsidP="00A50FB2">
      <w:pPr>
        <w:jc w:val="both"/>
        <w:rPr>
          <w:bCs/>
          <w:sz w:val="22"/>
          <w:szCs w:val="22"/>
        </w:rPr>
      </w:pPr>
    </w:p>
    <w:p w:rsidR="00A50FB2" w:rsidRPr="00046336" w:rsidRDefault="00A50FB2" w:rsidP="00A50FB2">
      <w:pPr>
        <w:pStyle w:val="Web"/>
        <w:spacing w:before="0" w:beforeAutospacing="0" w:after="0" w:line="228" w:lineRule="auto"/>
        <w:jc w:val="both"/>
        <w:rPr>
          <w:sz w:val="22"/>
          <w:szCs w:val="22"/>
        </w:rPr>
      </w:pPr>
      <w:r w:rsidRPr="00046336">
        <w:rPr>
          <w:sz w:val="22"/>
          <w:szCs w:val="22"/>
        </w:rPr>
        <w:t xml:space="preserve">Οι ταμειακές επιστροφές αχρεωστήτως εισπραχθέντων εσόδων αναμένεται να διαμορφωθούν στα 5.577 εκατ. ευρώ, αυξημένες κατά </w:t>
      </w:r>
      <w:r>
        <w:rPr>
          <w:sz w:val="22"/>
          <w:szCs w:val="22"/>
        </w:rPr>
        <w:t>2.253</w:t>
      </w:r>
      <w:r w:rsidRPr="00046336">
        <w:rPr>
          <w:sz w:val="22"/>
          <w:szCs w:val="22"/>
        </w:rPr>
        <w:t xml:space="preserve"> εκατ. ευρώ ή </w:t>
      </w:r>
      <w:r>
        <w:rPr>
          <w:sz w:val="22"/>
          <w:szCs w:val="22"/>
        </w:rPr>
        <w:t>67,8</w:t>
      </w:r>
      <w:r w:rsidRPr="00046336">
        <w:rPr>
          <w:sz w:val="22"/>
          <w:szCs w:val="22"/>
        </w:rPr>
        <w:t>% έναντι των προβλέψεων του ΜΠΔΣ 2018-2021. Ωστόσο σε δημοσιονομική βάση η υπέρβα</w:t>
      </w:r>
      <w:r>
        <w:rPr>
          <w:sz w:val="22"/>
          <w:szCs w:val="22"/>
        </w:rPr>
        <w:t>ση θα περιοριστεί στο ποσό των 5</w:t>
      </w:r>
      <w:r w:rsidRPr="00046336">
        <w:rPr>
          <w:sz w:val="22"/>
          <w:szCs w:val="22"/>
        </w:rPr>
        <w:t>06 εκατ. ε</w:t>
      </w:r>
      <w:r w:rsidRPr="00046336">
        <w:rPr>
          <w:sz w:val="22"/>
          <w:szCs w:val="22"/>
        </w:rPr>
        <w:t>υ</w:t>
      </w:r>
      <w:r w:rsidRPr="00046336">
        <w:rPr>
          <w:sz w:val="22"/>
          <w:szCs w:val="22"/>
        </w:rPr>
        <w:t>ρώ,</w:t>
      </w:r>
      <w:r>
        <w:rPr>
          <w:sz w:val="22"/>
          <w:szCs w:val="22"/>
        </w:rPr>
        <w:t xml:space="preserve"> </w:t>
      </w:r>
      <w:r w:rsidRPr="00046336">
        <w:rPr>
          <w:sz w:val="22"/>
          <w:szCs w:val="22"/>
        </w:rPr>
        <w:t>εκ των οποίων ποσό ύψους 296 εκατ. ευρώ αφορά την επιστροφή φόρου για την παραχώρηση των περιφερειακών αεροδρομίων, το οποίο έχει εμφανιστεί στα έσοδα από ΦΠΑ, όπως προαναφέρθηκε.</w:t>
      </w:r>
    </w:p>
    <w:p w:rsidR="00A50FB2" w:rsidRPr="00EA0964" w:rsidRDefault="00A50FB2" w:rsidP="00A50FB2">
      <w:pPr>
        <w:jc w:val="both"/>
        <w:rPr>
          <w:bCs/>
          <w:sz w:val="22"/>
          <w:szCs w:val="22"/>
        </w:rPr>
      </w:pPr>
    </w:p>
    <w:p w:rsidR="00A50FB2" w:rsidRPr="00EA0964" w:rsidRDefault="00A50FB2" w:rsidP="00A50FB2">
      <w:pPr>
        <w:jc w:val="both"/>
        <w:rPr>
          <w:rFonts w:ascii="Arial Narrow" w:hAnsi="Arial Narrow"/>
          <w:b/>
          <w:bCs/>
          <w:i/>
          <w:sz w:val="22"/>
          <w:szCs w:val="22"/>
        </w:rPr>
      </w:pPr>
      <w:r w:rsidRPr="00EA0964">
        <w:rPr>
          <w:rFonts w:ascii="Arial Narrow" w:hAnsi="Arial Narrow"/>
          <w:b/>
          <w:bCs/>
          <w:i/>
          <w:sz w:val="22"/>
          <w:szCs w:val="22"/>
        </w:rPr>
        <w:t>Έσοδα ΠΔΕ</w:t>
      </w:r>
    </w:p>
    <w:p w:rsidR="00A50FB2" w:rsidRPr="00EA0964" w:rsidRDefault="00A50FB2" w:rsidP="00A50FB2">
      <w:pPr>
        <w:jc w:val="both"/>
        <w:rPr>
          <w:bCs/>
          <w:sz w:val="22"/>
          <w:szCs w:val="22"/>
        </w:rPr>
      </w:pPr>
    </w:p>
    <w:p w:rsidR="00A50FB2" w:rsidRPr="00046336" w:rsidRDefault="00A50FB2" w:rsidP="00A50FB2">
      <w:pPr>
        <w:spacing w:line="228" w:lineRule="auto"/>
        <w:jc w:val="both"/>
        <w:rPr>
          <w:sz w:val="22"/>
          <w:szCs w:val="22"/>
        </w:rPr>
      </w:pPr>
      <w:r w:rsidRPr="00046336">
        <w:rPr>
          <w:sz w:val="22"/>
          <w:szCs w:val="22"/>
        </w:rPr>
        <w:t>Τα έσοδα του ΠΔΕ, σε ταμειακή βάση, εκτιμάται ότι θα φθάσουν στα 3.427 εκατ. ευρώ, μει</w:t>
      </w:r>
      <w:r>
        <w:rPr>
          <w:sz w:val="22"/>
          <w:szCs w:val="22"/>
        </w:rPr>
        <w:t>ωμένα κ</w:t>
      </w:r>
      <w:r>
        <w:rPr>
          <w:sz w:val="22"/>
          <w:szCs w:val="22"/>
        </w:rPr>
        <w:t>α</w:t>
      </w:r>
      <w:r>
        <w:rPr>
          <w:sz w:val="22"/>
          <w:szCs w:val="22"/>
        </w:rPr>
        <w:t>τά 190 εκατ. ευρώ ή 5,3</w:t>
      </w:r>
      <w:r w:rsidRPr="00046336">
        <w:rPr>
          <w:sz w:val="22"/>
          <w:szCs w:val="22"/>
        </w:rPr>
        <w:t>% σε σχέση με το στόχο του ΜΠΔΣ 2018-2021. Ωστόσο, σε δεδουλευμένη βάση τα έσοδα θα διαμορφωθούν στα 3.500 εκατ. ευρώ, χωρίς να παρουσιάζουν απόκλιση έναντι του στόχου.</w:t>
      </w:r>
    </w:p>
    <w:p w:rsidR="00A50FB2" w:rsidRPr="000346C2" w:rsidRDefault="00A50FB2" w:rsidP="00A50FB2">
      <w:pPr>
        <w:jc w:val="both"/>
        <w:rPr>
          <w:rFonts w:ascii="Arial Narrow" w:hAnsi="Arial Narrow"/>
          <w:b/>
          <w:color w:val="000080"/>
          <w:szCs w:val="22"/>
        </w:rPr>
      </w:pPr>
    </w:p>
    <w:p w:rsidR="00B64187" w:rsidRPr="002B63E6" w:rsidRDefault="00B64187" w:rsidP="00B64187">
      <w:pPr>
        <w:jc w:val="both"/>
        <w:rPr>
          <w:rFonts w:ascii="Arial Narrow" w:hAnsi="Arial Narrow"/>
          <w:b/>
          <w:color w:val="000080"/>
          <w:szCs w:val="22"/>
        </w:rPr>
      </w:pPr>
      <w:r w:rsidRPr="002B63E6">
        <w:rPr>
          <w:rFonts w:ascii="Arial Narrow" w:hAnsi="Arial Narrow"/>
          <w:b/>
          <w:color w:val="000080"/>
          <w:szCs w:val="22"/>
        </w:rPr>
        <w:t>Δαπάνες</w:t>
      </w:r>
    </w:p>
    <w:p w:rsidR="00B64187" w:rsidRPr="00DD7D7F" w:rsidRDefault="00B64187" w:rsidP="00B64187">
      <w:pPr>
        <w:jc w:val="both"/>
        <w:rPr>
          <w:sz w:val="22"/>
          <w:szCs w:val="22"/>
          <w:lang w:eastAsia="en-US"/>
        </w:rPr>
      </w:pPr>
    </w:p>
    <w:p w:rsidR="00706087" w:rsidRPr="00706087" w:rsidRDefault="00706087" w:rsidP="00706087">
      <w:pPr>
        <w:jc w:val="both"/>
        <w:rPr>
          <w:bCs/>
          <w:sz w:val="22"/>
          <w:szCs w:val="22"/>
        </w:rPr>
      </w:pPr>
      <w:r w:rsidRPr="00706087">
        <w:rPr>
          <w:bCs/>
          <w:sz w:val="22"/>
          <w:szCs w:val="22"/>
        </w:rPr>
        <w:t>Οι συνολικές δαπάνες του Τακτικού Προϋπολογισμού για το έτος 2017 εκτιμάται ότι θα διαμορφ</w:t>
      </w:r>
      <w:r w:rsidRPr="00706087">
        <w:rPr>
          <w:bCs/>
          <w:sz w:val="22"/>
          <w:szCs w:val="22"/>
        </w:rPr>
        <w:t>ω</w:t>
      </w:r>
      <w:r w:rsidRPr="00706087">
        <w:rPr>
          <w:bCs/>
          <w:sz w:val="22"/>
          <w:szCs w:val="22"/>
        </w:rPr>
        <w:t>θούν (σε ταμειακή βάση) στα 50.515 εκατ. ευρώ, αυξημένες κατά 670 εκατ. ευρώ σε σχέση με το στόχο του ΜΠΔΣ 2018-2021 και μειωμένες κατά 151 εκατ. ευρώ σε σχέση με το 2016, εάν δεν λη</w:t>
      </w:r>
      <w:r w:rsidRPr="00706087">
        <w:rPr>
          <w:bCs/>
          <w:sz w:val="22"/>
          <w:szCs w:val="22"/>
        </w:rPr>
        <w:t>φ</w:t>
      </w:r>
      <w:r w:rsidRPr="00706087">
        <w:rPr>
          <w:bCs/>
          <w:sz w:val="22"/>
          <w:szCs w:val="22"/>
        </w:rPr>
        <w:t>θούν υπόψη οι δαπάνες για την υλοποίηση του προγράμματος εξόφλησης ληξιπρόθεσμων υποχρε</w:t>
      </w:r>
      <w:r w:rsidRPr="00706087">
        <w:rPr>
          <w:bCs/>
          <w:sz w:val="22"/>
          <w:szCs w:val="22"/>
        </w:rPr>
        <w:t>ώ</w:t>
      </w:r>
      <w:r w:rsidRPr="00706087">
        <w:rPr>
          <w:bCs/>
          <w:sz w:val="22"/>
          <w:szCs w:val="22"/>
        </w:rPr>
        <w:t xml:space="preserve">σεων του 2016, ύψους 2.824 εκατ. ευρώ. </w:t>
      </w:r>
    </w:p>
    <w:p w:rsidR="00706087" w:rsidRDefault="00706087" w:rsidP="00706087">
      <w:pPr>
        <w:jc w:val="both"/>
        <w:rPr>
          <w:bCs/>
          <w:sz w:val="22"/>
          <w:szCs w:val="22"/>
        </w:rPr>
      </w:pPr>
    </w:p>
    <w:p w:rsidR="00706087" w:rsidRPr="00706087" w:rsidRDefault="00706087" w:rsidP="00706087">
      <w:pPr>
        <w:jc w:val="both"/>
        <w:rPr>
          <w:bCs/>
          <w:sz w:val="22"/>
          <w:szCs w:val="22"/>
        </w:rPr>
      </w:pPr>
      <w:r w:rsidRPr="00706087">
        <w:rPr>
          <w:bCs/>
          <w:sz w:val="22"/>
          <w:szCs w:val="22"/>
        </w:rPr>
        <w:t>Οι πρωτογενείς δαπάνες του Τακτικού Προϋπολογισμού εκτιμάται ότι θα διαμορφωθούν στα 44.514 εκατ. ευρώ, αυξημένες κατά 320 εκατ. ευρώ έναντι του στόχου του ΜΠΔΣ 2018-2021.</w:t>
      </w:r>
    </w:p>
    <w:p w:rsidR="00B64187" w:rsidRPr="00DD7D7F" w:rsidRDefault="00B64187" w:rsidP="00706087">
      <w:pPr>
        <w:jc w:val="both"/>
        <w:rPr>
          <w:sz w:val="22"/>
          <w:szCs w:val="22"/>
          <w:lang w:eastAsia="en-US"/>
        </w:rPr>
      </w:pPr>
    </w:p>
    <w:p w:rsidR="00706087" w:rsidRPr="00393103" w:rsidRDefault="00706087" w:rsidP="00706087">
      <w:pPr>
        <w:jc w:val="both"/>
        <w:rPr>
          <w:rFonts w:ascii="Arial Narrow" w:hAnsi="Arial Narrow"/>
          <w:b/>
          <w:bCs/>
          <w:i/>
          <w:sz w:val="22"/>
          <w:szCs w:val="22"/>
        </w:rPr>
      </w:pPr>
      <w:r w:rsidRPr="00393103">
        <w:rPr>
          <w:rFonts w:ascii="Arial Narrow" w:hAnsi="Arial Narrow"/>
          <w:b/>
          <w:bCs/>
          <w:i/>
          <w:sz w:val="22"/>
          <w:szCs w:val="22"/>
        </w:rPr>
        <w:t>Ανάλυση δαπανών κατά μείζονα κατηγορία</w:t>
      </w:r>
    </w:p>
    <w:p w:rsidR="00706087" w:rsidRPr="00393103" w:rsidRDefault="00706087" w:rsidP="00706087">
      <w:pPr>
        <w:jc w:val="both"/>
        <w:rPr>
          <w:bCs/>
          <w:sz w:val="22"/>
          <w:szCs w:val="22"/>
        </w:rPr>
      </w:pPr>
    </w:p>
    <w:p w:rsidR="00706087" w:rsidRPr="00393103" w:rsidRDefault="00706087" w:rsidP="00706087">
      <w:pPr>
        <w:jc w:val="both"/>
        <w:rPr>
          <w:rFonts w:ascii="Arial Narrow" w:hAnsi="Arial Narrow"/>
          <w:b/>
          <w:bCs/>
          <w:sz w:val="22"/>
          <w:szCs w:val="22"/>
        </w:rPr>
      </w:pPr>
      <w:r w:rsidRPr="00393103">
        <w:rPr>
          <w:rFonts w:ascii="Arial Narrow" w:hAnsi="Arial Narrow"/>
          <w:b/>
          <w:bCs/>
          <w:sz w:val="22"/>
          <w:szCs w:val="22"/>
        </w:rPr>
        <w:t>Αποδοχές και συντάξεις</w:t>
      </w:r>
    </w:p>
    <w:p w:rsidR="00706087" w:rsidRPr="00393103" w:rsidRDefault="00706087" w:rsidP="00706087">
      <w:pPr>
        <w:jc w:val="both"/>
        <w:rPr>
          <w:sz w:val="22"/>
          <w:szCs w:val="22"/>
          <w:lang w:eastAsia="en-US"/>
        </w:rPr>
      </w:pPr>
    </w:p>
    <w:p w:rsidR="00706087" w:rsidRPr="00393103" w:rsidRDefault="00706087" w:rsidP="00706087">
      <w:pPr>
        <w:jc w:val="both"/>
        <w:rPr>
          <w:bCs/>
          <w:sz w:val="22"/>
          <w:szCs w:val="22"/>
        </w:rPr>
      </w:pPr>
      <w:r w:rsidRPr="00393103">
        <w:rPr>
          <w:sz w:val="22"/>
          <w:szCs w:val="22"/>
          <w:lang w:eastAsia="en-US"/>
        </w:rPr>
        <w:t>Οι δαπάνες αποδοχών και συντάξεων εκτιμάται ότι θα διαμορφωθούν στα 11.927 εκατ. ευρώ, μειωμ</w:t>
      </w:r>
      <w:r w:rsidRPr="00393103">
        <w:rPr>
          <w:sz w:val="22"/>
          <w:szCs w:val="22"/>
          <w:lang w:eastAsia="en-US"/>
        </w:rPr>
        <w:t>έ</w:t>
      </w:r>
      <w:r w:rsidRPr="00393103">
        <w:rPr>
          <w:sz w:val="22"/>
          <w:szCs w:val="22"/>
          <w:lang w:eastAsia="en-US"/>
        </w:rPr>
        <w:t xml:space="preserve">νες κατά 160 εκατ. ευρώ ή 1,3% έναντι του στόχου του </w:t>
      </w:r>
      <w:r w:rsidRPr="00393103">
        <w:rPr>
          <w:bCs/>
          <w:sz w:val="22"/>
          <w:szCs w:val="22"/>
        </w:rPr>
        <w:t xml:space="preserve">ΜΠΔΣ 2018-2021, κυρίως λόγω της μη </w:t>
      </w:r>
      <w:r w:rsidR="00F47005">
        <w:rPr>
          <w:bCs/>
          <w:sz w:val="22"/>
          <w:szCs w:val="22"/>
        </w:rPr>
        <w:t>υλ</w:t>
      </w:r>
      <w:r w:rsidR="00F47005">
        <w:rPr>
          <w:bCs/>
          <w:sz w:val="22"/>
          <w:szCs w:val="22"/>
        </w:rPr>
        <w:t>ο</w:t>
      </w:r>
      <w:r w:rsidR="00F47005">
        <w:rPr>
          <w:bCs/>
          <w:sz w:val="22"/>
          <w:szCs w:val="22"/>
        </w:rPr>
        <w:t xml:space="preserve">ποίησης </w:t>
      </w:r>
      <w:r w:rsidRPr="00393103">
        <w:rPr>
          <w:bCs/>
          <w:sz w:val="22"/>
          <w:szCs w:val="22"/>
        </w:rPr>
        <w:t>της διάταξης του άρθρου 17 του ν.4354/2015.</w:t>
      </w:r>
    </w:p>
    <w:p w:rsidR="00706087" w:rsidRDefault="00706087" w:rsidP="00706087">
      <w:pPr>
        <w:jc w:val="both"/>
        <w:rPr>
          <w:sz w:val="22"/>
          <w:szCs w:val="22"/>
          <w:lang w:eastAsia="en-US"/>
        </w:rPr>
      </w:pPr>
    </w:p>
    <w:p w:rsidR="00F47005" w:rsidRDefault="00706087" w:rsidP="00706087">
      <w:pPr>
        <w:jc w:val="both"/>
        <w:rPr>
          <w:sz w:val="22"/>
          <w:szCs w:val="22"/>
          <w:lang w:eastAsia="en-US"/>
        </w:rPr>
      </w:pPr>
      <w:r w:rsidRPr="00393103">
        <w:rPr>
          <w:sz w:val="22"/>
          <w:szCs w:val="22"/>
          <w:lang w:eastAsia="en-US"/>
        </w:rPr>
        <w:t xml:space="preserve">Οι δαπάνες </w:t>
      </w:r>
      <w:r w:rsidR="00F47005">
        <w:rPr>
          <w:sz w:val="22"/>
          <w:szCs w:val="22"/>
          <w:lang w:eastAsia="en-US"/>
        </w:rPr>
        <w:t xml:space="preserve">αυτές </w:t>
      </w:r>
      <w:r w:rsidRPr="00393103">
        <w:rPr>
          <w:sz w:val="22"/>
          <w:szCs w:val="22"/>
          <w:lang w:eastAsia="en-US"/>
        </w:rPr>
        <w:t>είναι μειωμένες κατά 5.837 εκατ. ευρώ σε σχέση με το 2016, κυρίως λόγω του γ</w:t>
      </w:r>
      <w:r w:rsidRPr="00393103">
        <w:rPr>
          <w:sz w:val="22"/>
          <w:szCs w:val="22"/>
          <w:lang w:eastAsia="en-US"/>
        </w:rPr>
        <w:t>ε</w:t>
      </w:r>
      <w:r w:rsidRPr="00393103">
        <w:rPr>
          <w:sz w:val="22"/>
          <w:szCs w:val="22"/>
          <w:lang w:eastAsia="en-US"/>
        </w:rPr>
        <w:t xml:space="preserve">γονότος ότι το σύνολο σχεδόν των συντάξεων Δημοσίου καταβάλλεται </w:t>
      </w:r>
      <w:r w:rsidR="006D22C9">
        <w:rPr>
          <w:sz w:val="22"/>
          <w:szCs w:val="22"/>
          <w:lang w:eastAsia="en-US"/>
        </w:rPr>
        <w:t xml:space="preserve">πλέον </w:t>
      </w:r>
      <w:r w:rsidRPr="00393103">
        <w:rPr>
          <w:sz w:val="22"/>
          <w:szCs w:val="22"/>
          <w:lang w:eastAsia="en-US"/>
        </w:rPr>
        <w:t xml:space="preserve">από 1/1/2017 από τον Ενιαίο Φορέα Κοινωνικής Ασφάλισης (ΕΦΚΑ), ο οποίος επιχορηγείται για τον σκοπό αυτό από τον </w:t>
      </w:r>
      <w:r w:rsidR="00F47005">
        <w:rPr>
          <w:sz w:val="22"/>
          <w:szCs w:val="22"/>
          <w:lang w:eastAsia="en-US"/>
        </w:rPr>
        <w:t>τακτικό</w:t>
      </w:r>
      <w:r w:rsidRPr="00393103">
        <w:rPr>
          <w:sz w:val="22"/>
          <w:szCs w:val="22"/>
          <w:lang w:eastAsia="en-US"/>
        </w:rPr>
        <w:t xml:space="preserve"> προϋπολογισμό. </w:t>
      </w:r>
    </w:p>
    <w:p w:rsidR="008A60CC" w:rsidRDefault="008A60CC">
      <w:pPr>
        <w:rPr>
          <w:sz w:val="22"/>
          <w:szCs w:val="22"/>
          <w:lang w:eastAsia="en-US"/>
        </w:rPr>
      </w:pPr>
      <w:r>
        <w:rPr>
          <w:sz w:val="22"/>
          <w:szCs w:val="22"/>
          <w:lang w:eastAsia="en-US"/>
        </w:rPr>
        <w:br w:type="page"/>
      </w:r>
    </w:p>
    <w:p w:rsidR="008A60CC" w:rsidRPr="00D16A56" w:rsidRDefault="008A60CC" w:rsidP="008A60CC">
      <w:pPr>
        <w:rPr>
          <w:sz w:val="22"/>
          <w:szCs w:val="22"/>
        </w:rPr>
      </w:pPr>
    </w:p>
    <w:tbl>
      <w:tblPr>
        <w:tblW w:w="9969" w:type="dxa"/>
        <w:jc w:val="center"/>
        <w:tblLayout w:type="fixed"/>
        <w:tblCellMar>
          <w:left w:w="28" w:type="dxa"/>
          <w:right w:w="28" w:type="dxa"/>
        </w:tblCellMar>
        <w:tblLook w:val="0000" w:firstRow="0" w:lastRow="0" w:firstColumn="0" w:lastColumn="0" w:noHBand="0" w:noVBand="0"/>
      </w:tblPr>
      <w:tblGrid>
        <w:gridCol w:w="4236"/>
        <w:gridCol w:w="1024"/>
        <w:gridCol w:w="1079"/>
        <w:gridCol w:w="1094"/>
        <w:gridCol w:w="1006"/>
        <w:gridCol w:w="744"/>
        <w:gridCol w:w="786"/>
      </w:tblGrid>
      <w:tr w:rsidR="008A60CC" w:rsidRPr="006F24D6" w:rsidTr="003237FC">
        <w:trPr>
          <w:cantSplit/>
          <w:jc w:val="center"/>
        </w:trPr>
        <w:tc>
          <w:tcPr>
            <w:tcW w:w="9969" w:type="dxa"/>
            <w:gridSpan w:val="7"/>
            <w:tcBorders>
              <w:top w:val="single" w:sz="4" w:space="0" w:color="auto"/>
              <w:left w:val="single" w:sz="4" w:space="0" w:color="auto"/>
              <w:right w:val="single" w:sz="4" w:space="0" w:color="auto"/>
            </w:tcBorders>
            <w:shd w:val="clear" w:color="auto" w:fill="404040" w:themeFill="text1" w:themeFillTint="BF"/>
          </w:tcPr>
          <w:p w:rsidR="008A60CC" w:rsidRPr="006F24D6" w:rsidRDefault="008A60CC" w:rsidP="003237FC">
            <w:pPr>
              <w:spacing w:before="120"/>
              <w:jc w:val="center"/>
              <w:rPr>
                <w:rFonts w:ascii="Arial Narrow" w:hAnsi="Arial Narrow"/>
                <w:b/>
                <w:color w:val="FFFFFF"/>
                <w:szCs w:val="20"/>
              </w:rPr>
            </w:pPr>
            <w:r w:rsidRPr="006F24D6">
              <w:rPr>
                <w:b/>
                <w:bCs/>
                <w:i/>
                <w:sz w:val="22"/>
                <w:szCs w:val="22"/>
              </w:rPr>
              <w:br w:type="page"/>
            </w:r>
            <w:r w:rsidRPr="006F24D6">
              <w:rPr>
                <w:dstrike/>
                <w:sz w:val="20"/>
                <w:szCs w:val="22"/>
              </w:rPr>
              <w:br w:type="page"/>
            </w:r>
            <w:r w:rsidRPr="006F24D6">
              <w:rPr>
                <w:rFonts w:ascii="Arial Narrow" w:hAnsi="Arial Narrow"/>
                <w:b/>
                <w:color w:val="FFFFFF"/>
                <w:szCs w:val="20"/>
              </w:rPr>
              <w:t>Πίνακας 3</w:t>
            </w:r>
            <w:r w:rsidR="003A6110">
              <w:rPr>
                <w:rFonts w:ascii="Arial Narrow" w:hAnsi="Arial Narrow"/>
                <w:b/>
                <w:color w:val="FFFFFF"/>
                <w:szCs w:val="20"/>
              </w:rPr>
              <w:t>.7</w:t>
            </w:r>
            <w:r w:rsidRPr="006F24D6">
              <w:rPr>
                <w:rFonts w:ascii="Arial Narrow" w:hAnsi="Arial Narrow"/>
                <w:b/>
                <w:color w:val="FFFFFF"/>
                <w:szCs w:val="20"/>
              </w:rPr>
              <w:t xml:space="preserve">  Δαπάνες Τακτικού Προϋπολογισμού κατά μείζονα κατηγορία</w:t>
            </w:r>
          </w:p>
          <w:p w:rsidR="008A60CC" w:rsidRPr="006F24D6" w:rsidRDefault="008A60CC" w:rsidP="003237FC">
            <w:pPr>
              <w:spacing w:after="120"/>
              <w:jc w:val="center"/>
              <w:rPr>
                <w:rFonts w:ascii="Arial Narrow" w:hAnsi="Arial Narrow"/>
                <w:b/>
                <w:color w:val="FFFFFF"/>
                <w:sz w:val="14"/>
                <w:szCs w:val="16"/>
              </w:rPr>
            </w:pPr>
            <w:r w:rsidRPr="006F24D6">
              <w:rPr>
                <w:rFonts w:ascii="Arial Narrow" w:hAnsi="Arial Narrow"/>
                <w:b/>
                <w:color w:val="FFFFFF"/>
                <w:szCs w:val="20"/>
              </w:rPr>
              <w:t>(σε εκατ. ευρώ)</w:t>
            </w:r>
          </w:p>
        </w:tc>
      </w:tr>
      <w:tr w:rsidR="008A60CC" w:rsidRPr="006F24D6" w:rsidTr="003237FC">
        <w:trPr>
          <w:cantSplit/>
          <w:jc w:val="center"/>
        </w:trPr>
        <w:tc>
          <w:tcPr>
            <w:tcW w:w="9969" w:type="dxa"/>
            <w:gridSpan w:val="7"/>
            <w:tcBorders>
              <w:left w:val="single" w:sz="4" w:space="0" w:color="auto"/>
              <w:bottom w:val="single" w:sz="4" w:space="0" w:color="auto"/>
              <w:right w:val="single" w:sz="4" w:space="0" w:color="auto"/>
            </w:tcBorders>
          </w:tcPr>
          <w:p w:rsidR="008A60CC" w:rsidRPr="006F24D6" w:rsidRDefault="008A60CC" w:rsidP="003237FC">
            <w:pPr>
              <w:jc w:val="center"/>
              <w:rPr>
                <w:rFonts w:ascii="Arial Narrow" w:hAnsi="Arial Narrow"/>
                <w:b/>
                <w:color w:val="C0C0C0"/>
                <w:sz w:val="16"/>
                <w:szCs w:val="16"/>
              </w:rPr>
            </w:pPr>
          </w:p>
        </w:tc>
      </w:tr>
      <w:tr w:rsidR="008A60CC" w:rsidRPr="006F24D6" w:rsidTr="003237FC">
        <w:trPr>
          <w:cantSplit/>
          <w:trHeight w:val="161"/>
          <w:jc w:val="center"/>
        </w:trPr>
        <w:tc>
          <w:tcPr>
            <w:tcW w:w="4236" w:type="dxa"/>
            <w:vMerge w:val="restart"/>
            <w:tcBorders>
              <w:top w:val="single" w:sz="4" w:space="0" w:color="auto"/>
              <w:left w:val="single" w:sz="4" w:space="0" w:color="auto"/>
              <w:bottom w:val="nil"/>
              <w:right w:val="single" w:sz="4" w:space="0" w:color="auto"/>
            </w:tcBorders>
            <w:shd w:val="clear" w:color="auto" w:fill="auto"/>
            <w:vAlign w:val="center"/>
          </w:tcPr>
          <w:p w:rsidR="008A60CC" w:rsidRPr="006F24D6" w:rsidRDefault="008A60CC" w:rsidP="003237FC">
            <w:pPr>
              <w:tabs>
                <w:tab w:val="left" w:pos="227"/>
                <w:tab w:val="left" w:pos="465"/>
                <w:tab w:val="left" w:pos="660"/>
              </w:tabs>
              <w:jc w:val="center"/>
              <w:outlineLvl w:val="4"/>
              <w:rPr>
                <w:rFonts w:ascii="Arial Narrow" w:hAnsi="Arial Narrow"/>
                <w:b/>
                <w:sz w:val="16"/>
                <w:szCs w:val="16"/>
              </w:rPr>
            </w:pPr>
            <w:r w:rsidRPr="006F24D6">
              <w:rPr>
                <w:rFonts w:ascii="Arial Narrow" w:hAnsi="Arial Narrow"/>
                <w:b/>
                <w:sz w:val="16"/>
                <w:szCs w:val="16"/>
              </w:rPr>
              <w:t>Κατηγορία  δαπάνης</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A60CC" w:rsidRPr="006F24D6" w:rsidRDefault="008A60CC" w:rsidP="003237FC">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6</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8A60CC" w:rsidRPr="006F24D6" w:rsidRDefault="008A60CC" w:rsidP="003237FC">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7</w:t>
            </w:r>
          </w:p>
        </w:tc>
        <w:tc>
          <w:tcPr>
            <w:tcW w:w="1006" w:type="dxa"/>
            <w:tcBorders>
              <w:top w:val="single" w:sz="4" w:space="0" w:color="auto"/>
              <w:left w:val="single" w:sz="4" w:space="0" w:color="auto"/>
              <w:bottom w:val="single" w:sz="4" w:space="0" w:color="auto"/>
              <w:right w:val="single" w:sz="4" w:space="0" w:color="auto"/>
            </w:tcBorders>
            <w:vAlign w:val="center"/>
          </w:tcPr>
          <w:p w:rsidR="008A60CC" w:rsidRPr="006F24D6" w:rsidRDefault="008A60CC" w:rsidP="003237FC">
            <w:pPr>
              <w:spacing w:before="60" w:after="60"/>
              <w:jc w:val="center"/>
              <w:rPr>
                <w:rFonts w:ascii="Arial Narrow" w:hAnsi="Arial Narrow"/>
                <w:b/>
                <w:sz w:val="16"/>
                <w:szCs w:val="16"/>
              </w:rPr>
            </w:pPr>
            <w:r w:rsidRPr="006F24D6">
              <w:rPr>
                <w:rFonts w:ascii="Arial Narrow" w:hAnsi="Arial Narrow"/>
                <w:b/>
                <w:sz w:val="16"/>
                <w:szCs w:val="16"/>
              </w:rPr>
              <w:t>201</w:t>
            </w:r>
            <w:r>
              <w:rPr>
                <w:rFonts w:ascii="Arial Narrow" w:hAnsi="Arial Narrow"/>
                <w:b/>
                <w:sz w:val="16"/>
                <w:szCs w:val="16"/>
              </w:rPr>
              <w:t>8</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A60CC" w:rsidRPr="006F24D6" w:rsidRDefault="008A60CC" w:rsidP="003237FC">
            <w:pPr>
              <w:spacing w:before="60" w:after="60"/>
              <w:jc w:val="center"/>
              <w:rPr>
                <w:rFonts w:ascii="Arial Narrow" w:hAnsi="Arial Narrow"/>
                <w:b/>
                <w:sz w:val="16"/>
                <w:szCs w:val="16"/>
              </w:rPr>
            </w:pPr>
            <w:r w:rsidRPr="006F24D6">
              <w:rPr>
                <w:rFonts w:ascii="Arial Narrow" w:hAnsi="Arial Narrow"/>
                <w:b/>
                <w:sz w:val="16"/>
                <w:szCs w:val="16"/>
              </w:rPr>
              <w:t>Μεταβολή %</w:t>
            </w:r>
          </w:p>
        </w:tc>
      </w:tr>
      <w:tr w:rsidR="008A60CC" w:rsidRPr="006F24D6" w:rsidTr="003237FC">
        <w:trPr>
          <w:cantSplit/>
          <w:trHeight w:val="172"/>
          <w:jc w:val="center"/>
        </w:trPr>
        <w:tc>
          <w:tcPr>
            <w:tcW w:w="4236" w:type="dxa"/>
            <w:vMerge/>
            <w:tcBorders>
              <w:top w:val="nil"/>
              <w:left w:val="single" w:sz="4" w:space="0" w:color="auto"/>
              <w:bottom w:val="single" w:sz="4" w:space="0" w:color="auto"/>
              <w:right w:val="single" w:sz="4" w:space="0" w:color="auto"/>
            </w:tcBorders>
            <w:shd w:val="clear" w:color="auto" w:fill="auto"/>
          </w:tcPr>
          <w:p w:rsidR="008A60CC" w:rsidRPr="006F24D6" w:rsidRDefault="008A60CC" w:rsidP="003237FC">
            <w:pPr>
              <w:tabs>
                <w:tab w:val="left" w:pos="227"/>
                <w:tab w:val="left" w:pos="465"/>
                <w:tab w:val="left" w:pos="660"/>
              </w:tabs>
              <w:jc w:val="center"/>
              <w:rPr>
                <w:rFonts w:ascii="Arial Narrow" w:hAnsi="Arial Narrow"/>
                <w:b/>
                <w:sz w:val="16"/>
                <w:szCs w:val="16"/>
              </w:rPr>
            </w:pPr>
          </w:p>
        </w:tc>
        <w:tc>
          <w:tcPr>
            <w:tcW w:w="1024" w:type="dxa"/>
            <w:tcBorders>
              <w:left w:val="single" w:sz="4" w:space="0" w:color="auto"/>
              <w:bottom w:val="single" w:sz="4" w:space="0" w:color="auto"/>
              <w:right w:val="single" w:sz="4" w:space="0" w:color="auto"/>
            </w:tcBorders>
            <w:shd w:val="clear" w:color="auto" w:fill="auto"/>
            <w:vAlign w:val="center"/>
          </w:tcPr>
          <w:p w:rsidR="008A60CC" w:rsidRPr="006F24D6" w:rsidRDefault="008A60CC" w:rsidP="003237FC">
            <w:pPr>
              <w:spacing w:before="60" w:after="60"/>
              <w:jc w:val="center"/>
              <w:rPr>
                <w:rFonts w:ascii="Arial Narrow" w:hAnsi="Arial Narrow"/>
                <w:b/>
                <w:sz w:val="16"/>
                <w:szCs w:val="16"/>
              </w:rPr>
            </w:pPr>
            <w:r>
              <w:rPr>
                <w:rFonts w:ascii="Arial Narrow" w:hAnsi="Arial Narrow"/>
                <w:b/>
                <w:sz w:val="16"/>
                <w:szCs w:val="16"/>
              </w:rPr>
              <w:t>Πραγματ</w:t>
            </w:r>
            <w:r>
              <w:rPr>
                <w:rFonts w:ascii="Arial Narrow" w:hAnsi="Arial Narrow"/>
                <w:b/>
                <w:sz w:val="16"/>
                <w:szCs w:val="16"/>
              </w:rPr>
              <w:t>ο</w:t>
            </w:r>
            <w:r>
              <w:rPr>
                <w:rFonts w:ascii="Arial Narrow" w:hAnsi="Arial Narrow"/>
                <w:b/>
                <w:sz w:val="16"/>
                <w:szCs w:val="16"/>
              </w:rPr>
              <w:t>ποιήσε</w:t>
            </w:r>
            <w:r w:rsidRPr="006F24D6">
              <w:rPr>
                <w:rFonts w:ascii="Arial Narrow" w:hAnsi="Arial Narrow"/>
                <w:b/>
                <w:sz w:val="16"/>
                <w:szCs w:val="16"/>
              </w:rPr>
              <w:t>ις</w:t>
            </w:r>
          </w:p>
        </w:tc>
        <w:tc>
          <w:tcPr>
            <w:tcW w:w="1079" w:type="dxa"/>
            <w:tcBorders>
              <w:left w:val="single" w:sz="4" w:space="0" w:color="auto"/>
              <w:bottom w:val="single" w:sz="4" w:space="0" w:color="auto"/>
              <w:right w:val="single" w:sz="4" w:space="0" w:color="auto"/>
            </w:tcBorders>
            <w:vAlign w:val="center"/>
          </w:tcPr>
          <w:p w:rsidR="008A60CC" w:rsidRPr="00273242" w:rsidRDefault="008A60CC" w:rsidP="003237FC">
            <w:pPr>
              <w:spacing w:before="60" w:after="60"/>
              <w:jc w:val="center"/>
              <w:rPr>
                <w:rFonts w:ascii="Arial Narrow" w:hAnsi="Arial Narrow"/>
                <w:b/>
                <w:sz w:val="16"/>
                <w:szCs w:val="16"/>
                <w:vertAlign w:val="superscript"/>
              </w:rPr>
            </w:pPr>
            <w:r>
              <w:rPr>
                <w:rFonts w:ascii="Arial Narrow" w:hAnsi="Arial Narrow"/>
                <w:b/>
                <w:sz w:val="16"/>
                <w:szCs w:val="16"/>
              </w:rPr>
              <w:t>ΜΠΔΣ</w:t>
            </w:r>
          </w:p>
        </w:tc>
        <w:tc>
          <w:tcPr>
            <w:tcW w:w="1094" w:type="dxa"/>
            <w:tcBorders>
              <w:left w:val="single" w:sz="4" w:space="0" w:color="auto"/>
              <w:bottom w:val="single" w:sz="4" w:space="0" w:color="auto"/>
              <w:right w:val="single" w:sz="4" w:space="0" w:color="auto"/>
            </w:tcBorders>
            <w:vAlign w:val="center"/>
          </w:tcPr>
          <w:p w:rsidR="008A60CC" w:rsidRPr="006F24D6" w:rsidRDefault="008A60CC" w:rsidP="003237FC">
            <w:pPr>
              <w:spacing w:before="60" w:after="60"/>
              <w:jc w:val="center"/>
              <w:rPr>
                <w:rFonts w:ascii="Arial Narrow" w:hAnsi="Arial Narrow"/>
                <w:b/>
                <w:sz w:val="16"/>
                <w:szCs w:val="16"/>
              </w:rPr>
            </w:pPr>
            <w:r w:rsidRPr="006F24D6">
              <w:rPr>
                <w:rFonts w:ascii="Arial Narrow" w:hAnsi="Arial Narrow"/>
                <w:b/>
                <w:sz w:val="16"/>
                <w:szCs w:val="16"/>
              </w:rPr>
              <w:t>Εκτιμήσεις</w:t>
            </w:r>
          </w:p>
        </w:tc>
        <w:tc>
          <w:tcPr>
            <w:tcW w:w="1006" w:type="dxa"/>
            <w:tcBorders>
              <w:left w:val="single" w:sz="4" w:space="0" w:color="auto"/>
              <w:bottom w:val="single" w:sz="4" w:space="0" w:color="auto"/>
              <w:right w:val="single" w:sz="4" w:space="0" w:color="auto"/>
            </w:tcBorders>
            <w:shd w:val="clear" w:color="auto" w:fill="auto"/>
            <w:vAlign w:val="center"/>
          </w:tcPr>
          <w:p w:rsidR="008A60CC" w:rsidRPr="006A7C4F" w:rsidRDefault="008A60CC" w:rsidP="003237FC">
            <w:pPr>
              <w:spacing w:before="60" w:after="60"/>
              <w:jc w:val="center"/>
              <w:rPr>
                <w:rFonts w:ascii="Arial Narrow" w:hAnsi="Arial Narrow"/>
                <w:b/>
                <w:sz w:val="16"/>
                <w:szCs w:val="16"/>
                <w:vertAlign w:val="superscript"/>
              </w:rPr>
            </w:pPr>
            <w:r w:rsidRPr="006F24D6">
              <w:rPr>
                <w:rFonts w:ascii="Arial Narrow" w:hAnsi="Arial Narrow"/>
                <w:b/>
                <w:sz w:val="16"/>
                <w:szCs w:val="16"/>
              </w:rPr>
              <w:t>Προβλέψεις</w:t>
            </w:r>
          </w:p>
        </w:tc>
        <w:tc>
          <w:tcPr>
            <w:tcW w:w="744" w:type="dxa"/>
            <w:tcBorders>
              <w:left w:val="single" w:sz="4" w:space="0" w:color="auto"/>
              <w:bottom w:val="single" w:sz="4" w:space="0" w:color="auto"/>
              <w:right w:val="single" w:sz="4" w:space="0" w:color="auto"/>
            </w:tcBorders>
            <w:vAlign w:val="center"/>
          </w:tcPr>
          <w:p w:rsidR="008A60CC" w:rsidRPr="006F24D6" w:rsidRDefault="008A60CC" w:rsidP="003237FC">
            <w:pPr>
              <w:spacing w:before="60" w:after="60"/>
              <w:jc w:val="center"/>
              <w:rPr>
                <w:rFonts w:ascii="Arial Narrow" w:hAnsi="Arial Narrow"/>
                <w:b/>
                <w:sz w:val="16"/>
                <w:szCs w:val="16"/>
              </w:rPr>
            </w:pPr>
            <w:r>
              <w:rPr>
                <w:rFonts w:ascii="Arial Narrow" w:hAnsi="Arial Narrow"/>
                <w:b/>
                <w:sz w:val="16"/>
                <w:szCs w:val="16"/>
              </w:rPr>
              <w:t>2017</w:t>
            </w:r>
            <w:r w:rsidRPr="006F24D6">
              <w:rPr>
                <w:rFonts w:ascii="Arial Narrow" w:hAnsi="Arial Narrow"/>
                <w:b/>
                <w:sz w:val="16"/>
                <w:szCs w:val="16"/>
              </w:rPr>
              <w:t>/1</w:t>
            </w:r>
            <w:r>
              <w:rPr>
                <w:rFonts w:ascii="Arial Narrow" w:hAnsi="Arial Narrow"/>
                <w:b/>
                <w:sz w:val="16"/>
                <w:szCs w:val="16"/>
              </w:rPr>
              <w:t>6</w:t>
            </w:r>
          </w:p>
        </w:tc>
        <w:tc>
          <w:tcPr>
            <w:tcW w:w="786" w:type="dxa"/>
            <w:tcBorders>
              <w:left w:val="single" w:sz="4" w:space="0" w:color="auto"/>
              <w:bottom w:val="single" w:sz="4" w:space="0" w:color="auto"/>
              <w:right w:val="single" w:sz="4" w:space="0" w:color="auto"/>
            </w:tcBorders>
            <w:shd w:val="clear" w:color="auto" w:fill="auto"/>
            <w:vAlign w:val="center"/>
          </w:tcPr>
          <w:p w:rsidR="008A60CC" w:rsidRPr="006F24D6" w:rsidRDefault="008A60CC" w:rsidP="003237FC">
            <w:pPr>
              <w:spacing w:before="60" w:after="60"/>
              <w:jc w:val="center"/>
              <w:rPr>
                <w:rFonts w:ascii="Arial Narrow" w:hAnsi="Arial Narrow"/>
                <w:b/>
                <w:sz w:val="16"/>
                <w:szCs w:val="16"/>
              </w:rPr>
            </w:pPr>
            <w:r>
              <w:rPr>
                <w:rFonts w:ascii="Arial Narrow" w:hAnsi="Arial Narrow"/>
                <w:b/>
                <w:sz w:val="16"/>
                <w:szCs w:val="16"/>
              </w:rPr>
              <w:t>2018</w:t>
            </w:r>
            <w:r w:rsidRPr="006F24D6">
              <w:rPr>
                <w:rFonts w:ascii="Arial Narrow" w:hAnsi="Arial Narrow"/>
                <w:b/>
                <w:sz w:val="16"/>
                <w:szCs w:val="16"/>
              </w:rPr>
              <w:t>/1</w:t>
            </w:r>
            <w:r>
              <w:rPr>
                <w:rFonts w:ascii="Arial Narrow" w:hAnsi="Arial Narrow"/>
                <w:b/>
                <w:sz w:val="16"/>
                <w:szCs w:val="16"/>
              </w:rPr>
              <w:t>7</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22201B">
              <w:rPr>
                <w:rFonts w:ascii="Arial Narrow" w:hAnsi="Arial Narrow" w:cs="Arial"/>
                <w:sz w:val="15"/>
                <w:szCs w:val="15"/>
              </w:rPr>
              <w:t>1.</w:t>
            </w:r>
            <w:r w:rsidRPr="0022201B">
              <w:rPr>
                <w:rFonts w:ascii="Arial Narrow" w:hAnsi="Arial Narrow" w:cs="Arial"/>
                <w:sz w:val="15"/>
                <w:szCs w:val="15"/>
              </w:rPr>
              <w:tab/>
              <w:t>Αποδοχές και Συντάξεις (</w:t>
            </w:r>
            <w:r>
              <w:rPr>
                <w:rFonts w:ascii="Arial Narrow" w:hAnsi="Arial Narrow" w:cs="Arial"/>
                <w:sz w:val="15"/>
                <w:szCs w:val="15"/>
              </w:rPr>
              <w:t>0100, 0200, 0300, 0400, 0600, 09</w:t>
            </w:r>
            <w:r w:rsidRPr="0022201B">
              <w:rPr>
                <w:rFonts w:ascii="Arial Narrow" w:hAnsi="Arial Narrow" w:cs="Arial"/>
                <w:sz w:val="15"/>
                <w:szCs w:val="15"/>
              </w:rPr>
              <w:t>00)</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17.764</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12.087</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11.927</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12.298</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-32,9</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3,1</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22201B">
              <w:rPr>
                <w:rFonts w:ascii="Arial Narrow" w:hAnsi="Arial Narrow" w:cs="Arial"/>
                <w:sz w:val="15"/>
                <w:szCs w:val="15"/>
              </w:rPr>
              <w:t>2.</w:t>
            </w:r>
            <w:r w:rsidRPr="0022201B">
              <w:rPr>
                <w:rFonts w:ascii="Arial Narrow" w:hAnsi="Arial Narrow" w:cs="Arial"/>
                <w:sz w:val="15"/>
                <w:szCs w:val="15"/>
              </w:rPr>
              <w:tab/>
              <w:t>Πρόσθετες και παρεπόμενες παροχές (0500)</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359</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336</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348</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417</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-3,1</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19,9</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8A60CC">
              <w:rPr>
                <w:rFonts w:ascii="Arial Narrow" w:hAnsi="Arial Narrow" w:cs="Arial"/>
                <w:sz w:val="15"/>
                <w:szCs w:val="15"/>
              </w:rPr>
              <w:t>3.</w:t>
            </w:r>
            <w:r w:rsidRPr="0022201B">
              <w:rPr>
                <w:rFonts w:ascii="Arial Narrow" w:hAnsi="Arial Narrow" w:cs="Arial"/>
                <w:sz w:val="15"/>
                <w:szCs w:val="15"/>
              </w:rPr>
              <w:tab/>
              <w:t>Καταναλωτικές και σύνθετες δαπάνες (0700, 0800, 1000, 5000) πλην αποθεματικού</w:t>
            </w:r>
            <w:r w:rsidRPr="00301426">
              <w:rPr>
                <w:rFonts w:ascii="Arial Narrow" w:hAnsi="Arial Narrow" w:cs="Arial"/>
                <w:sz w:val="15"/>
                <w:szCs w:val="15"/>
              </w:rPr>
              <w:t xml:space="preserve"> </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1.548</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2.025</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2.338</w:t>
            </w:r>
          </w:p>
        </w:tc>
        <w:tc>
          <w:tcPr>
            <w:tcW w:w="1006" w:type="dxa"/>
            <w:shd w:val="clear" w:color="auto" w:fill="auto"/>
            <w:vAlign w:val="center"/>
          </w:tcPr>
          <w:p w:rsidR="008A60CC" w:rsidRPr="003635E5" w:rsidRDefault="008A60CC" w:rsidP="003237FC">
            <w:pPr>
              <w:ind w:right="227"/>
              <w:jc w:val="right"/>
              <w:rPr>
                <w:rFonts w:ascii="Arial Narrow" w:hAnsi="Arial Narrow"/>
                <w:bCs/>
                <w:sz w:val="16"/>
                <w:szCs w:val="16"/>
              </w:rPr>
            </w:pPr>
            <w:r w:rsidRPr="003635E5">
              <w:rPr>
                <w:rFonts w:ascii="Arial Narrow" w:hAnsi="Arial Narrow"/>
                <w:bCs/>
                <w:sz w:val="16"/>
                <w:szCs w:val="16"/>
              </w:rPr>
              <w:t>1.951</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51,0</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-16,6</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22201B">
              <w:rPr>
                <w:rFonts w:ascii="Arial Narrow" w:hAnsi="Arial Narrow" w:cs="Arial"/>
                <w:sz w:val="15"/>
                <w:szCs w:val="15"/>
              </w:rPr>
              <w:t>3.</w:t>
            </w:r>
            <w:r w:rsidRPr="0022201B">
              <w:rPr>
                <w:rFonts w:ascii="Arial Narrow" w:hAnsi="Arial Narrow" w:cs="Arial"/>
                <w:sz w:val="15"/>
                <w:szCs w:val="15"/>
                <w:lang w:val="en-GB"/>
              </w:rPr>
              <w:t>i.</w:t>
            </w:r>
            <w:r w:rsidRPr="0022201B">
              <w:rPr>
                <w:rFonts w:ascii="Arial Narrow" w:hAnsi="Arial Narrow" w:cs="Arial"/>
                <w:sz w:val="15"/>
                <w:szCs w:val="15"/>
                <w:lang w:val="en-GB"/>
              </w:rPr>
              <w:tab/>
            </w:r>
            <w:r w:rsidRPr="0022201B">
              <w:rPr>
                <w:rFonts w:ascii="Arial Narrow" w:hAnsi="Arial Narrow" w:cs="Arial"/>
                <w:sz w:val="15"/>
                <w:szCs w:val="15"/>
              </w:rPr>
              <w:t>Aποθεματικό</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0</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1.000</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346</w:t>
            </w:r>
          </w:p>
        </w:tc>
        <w:tc>
          <w:tcPr>
            <w:tcW w:w="1006" w:type="dxa"/>
            <w:shd w:val="clear" w:color="auto" w:fill="auto"/>
            <w:vAlign w:val="center"/>
          </w:tcPr>
          <w:p w:rsidR="008A60CC" w:rsidRPr="003635E5" w:rsidRDefault="008A60CC" w:rsidP="003237FC">
            <w:pPr>
              <w:ind w:right="227"/>
              <w:jc w:val="right"/>
              <w:rPr>
                <w:rFonts w:ascii="Arial Narrow" w:hAnsi="Arial Narrow"/>
                <w:bCs/>
                <w:sz w:val="16"/>
                <w:szCs w:val="16"/>
              </w:rPr>
            </w:pPr>
            <w:r w:rsidRPr="003635E5">
              <w:rPr>
                <w:rFonts w:ascii="Arial Narrow" w:hAnsi="Arial Narrow"/>
                <w:bCs/>
                <w:sz w:val="16"/>
                <w:szCs w:val="16"/>
              </w:rPr>
              <w:t>1.000</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189,0</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22201B">
              <w:rPr>
                <w:rFonts w:ascii="Arial Narrow" w:hAnsi="Arial Narrow" w:cs="Arial"/>
                <w:sz w:val="15"/>
                <w:szCs w:val="15"/>
                <w:lang w:val="en-GB"/>
              </w:rPr>
              <w:t>4.</w:t>
            </w:r>
            <w:r w:rsidRPr="0022201B">
              <w:rPr>
                <w:rFonts w:ascii="Arial Narrow" w:hAnsi="Arial Narrow" w:cs="Arial"/>
                <w:sz w:val="15"/>
                <w:szCs w:val="15"/>
                <w:lang w:val="en-GB"/>
              </w:rPr>
              <w:tab/>
            </w:r>
            <w:r w:rsidRPr="0022201B">
              <w:rPr>
                <w:rFonts w:ascii="Arial Narrow" w:hAnsi="Arial Narrow" w:cs="Arial"/>
                <w:sz w:val="15"/>
                <w:szCs w:val="15"/>
              </w:rPr>
              <w:t>Μεταβιβαστικές πληρωμές (2000)</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16.837</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21.363</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22.292</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20.272</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32,4</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-9,1</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301426">
              <w:rPr>
                <w:rFonts w:ascii="Arial Narrow" w:hAnsi="Arial Narrow" w:cs="Arial"/>
                <w:sz w:val="15"/>
                <w:szCs w:val="15"/>
              </w:rPr>
              <w:t>5.</w:t>
            </w:r>
            <w:r w:rsidRPr="00301426">
              <w:rPr>
                <w:rFonts w:ascii="Arial Narrow" w:hAnsi="Arial Narrow" w:cs="Arial"/>
                <w:sz w:val="15"/>
                <w:szCs w:val="15"/>
              </w:rPr>
              <w:tab/>
            </w:r>
            <w:r w:rsidRPr="0022201B">
              <w:rPr>
                <w:rFonts w:ascii="Arial Narrow" w:hAnsi="Arial Narrow" w:cs="Arial"/>
                <w:sz w:val="15"/>
                <w:szCs w:val="15"/>
              </w:rPr>
              <w:t>Πληρωμές που αντικρίζονται από πραγματοποιούμενα έσοδα (3000)</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4.866</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5.028</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4.989</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5.138</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2,5</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3,0</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22201B">
              <w:rPr>
                <w:rFonts w:ascii="Arial Narrow" w:hAnsi="Arial Narrow" w:cs="Arial"/>
                <w:sz w:val="15"/>
                <w:szCs w:val="15"/>
              </w:rPr>
              <w:t>6.</w:t>
            </w:r>
            <w:r w:rsidRPr="0022201B">
              <w:rPr>
                <w:rFonts w:ascii="Arial Narrow" w:hAnsi="Arial Narrow" w:cs="Arial"/>
                <w:sz w:val="15"/>
                <w:szCs w:val="15"/>
              </w:rPr>
              <w:tab/>
              <w:t>Δαπάνες ΝΑΤΟ (4000)</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69</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36</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62</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36</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-9,8</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-41,2</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22201B">
              <w:rPr>
                <w:rFonts w:ascii="Arial Narrow" w:hAnsi="Arial Narrow" w:cs="Arial"/>
                <w:sz w:val="15"/>
                <w:szCs w:val="15"/>
              </w:rPr>
              <w:t>7.</w:t>
            </w:r>
            <w:r w:rsidRPr="0022201B">
              <w:rPr>
                <w:rFonts w:ascii="Arial Narrow" w:hAnsi="Arial Narrow" w:cs="Arial"/>
                <w:sz w:val="15"/>
                <w:szCs w:val="15"/>
              </w:rPr>
              <w:tab/>
              <w:t xml:space="preserve">Δαπάνες εξυπηρέτησης της Δημόσιας πίστης (6000) </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 </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 </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 </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 </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 </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 </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22201B">
              <w:rPr>
                <w:rFonts w:ascii="Arial Narrow" w:hAnsi="Arial Narrow" w:cs="Arial"/>
                <w:sz w:val="15"/>
                <w:szCs w:val="15"/>
              </w:rPr>
              <w:t>7</w:t>
            </w:r>
            <w:r w:rsidRPr="00301426">
              <w:rPr>
                <w:rFonts w:ascii="Arial Narrow" w:hAnsi="Arial Narrow" w:cs="Arial"/>
                <w:sz w:val="15"/>
                <w:szCs w:val="15"/>
              </w:rPr>
              <w:t>.</w:t>
            </w:r>
            <w:r w:rsidRPr="0022201B">
              <w:rPr>
                <w:rFonts w:ascii="Arial Narrow" w:hAnsi="Arial Narrow" w:cs="Arial"/>
                <w:sz w:val="15"/>
                <w:szCs w:val="15"/>
                <w:lang w:val="en-GB"/>
              </w:rPr>
              <w:t>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 πλην τόκων, χρ</w:t>
            </w:r>
            <w:r w:rsidRPr="0022201B">
              <w:rPr>
                <w:rFonts w:ascii="Arial Narrow" w:hAnsi="Arial Narrow" w:cs="Arial"/>
                <w:sz w:val="15"/>
                <w:szCs w:val="15"/>
              </w:rPr>
              <w:t>ε</w:t>
            </w:r>
            <w:r w:rsidRPr="0022201B">
              <w:rPr>
                <w:rFonts w:ascii="Arial Narrow" w:hAnsi="Arial Narrow" w:cs="Arial"/>
                <w:sz w:val="15"/>
                <w:szCs w:val="15"/>
              </w:rPr>
              <w:t>ολυσίων, προμηθειών τραπεζών και λοιπών δαπανών δημοσίου χρ</w:t>
            </w:r>
            <w:r w:rsidRPr="0022201B">
              <w:rPr>
                <w:rFonts w:ascii="Arial Narrow" w:hAnsi="Arial Narrow" w:cs="Arial"/>
                <w:sz w:val="15"/>
                <w:szCs w:val="15"/>
              </w:rPr>
              <w:t>έ</w:t>
            </w:r>
            <w:r w:rsidRPr="0022201B">
              <w:rPr>
                <w:rFonts w:ascii="Arial Narrow" w:hAnsi="Arial Narrow" w:cs="Arial"/>
                <w:sz w:val="15"/>
                <w:szCs w:val="15"/>
              </w:rPr>
              <w:t>ους, καταπτώσεων εγγυήσεων, ανάληψης χρεών φορέων Γενικής Κ</w:t>
            </w:r>
            <w:r w:rsidRPr="0022201B">
              <w:rPr>
                <w:rFonts w:ascii="Arial Narrow" w:hAnsi="Arial Narrow" w:cs="Arial"/>
                <w:sz w:val="15"/>
                <w:szCs w:val="15"/>
              </w:rPr>
              <w:t>υ</w:t>
            </w:r>
            <w:r w:rsidRPr="0022201B">
              <w:rPr>
                <w:rFonts w:ascii="Arial Narrow" w:hAnsi="Arial Narrow" w:cs="Arial"/>
                <w:sz w:val="15"/>
                <w:szCs w:val="15"/>
              </w:rPr>
              <w:t>βέρνησης, εξοπλιστικών προγραμμάτων και τακτοποίησης υποχρε</w:t>
            </w:r>
            <w:r w:rsidRPr="0022201B">
              <w:rPr>
                <w:rFonts w:ascii="Arial Narrow" w:hAnsi="Arial Narrow" w:cs="Arial"/>
                <w:sz w:val="15"/>
                <w:szCs w:val="15"/>
              </w:rPr>
              <w:t>ώ</w:t>
            </w:r>
            <w:r w:rsidRPr="0022201B">
              <w:rPr>
                <w:rFonts w:ascii="Arial Narrow" w:hAnsi="Arial Narrow" w:cs="Arial"/>
                <w:sz w:val="15"/>
                <w:szCs w:val="15"/>
              </w:rPr>
              <w:t>σεων ΠΟΕ φορέων Γενικής Κυβέρνησης</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214</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-99,5</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-28,5</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ii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 xml:space="preserve">Δαπάνες εξυπηρέτησης της Δημόσιας πίστης (6000)-Καταπτώσεις εγγυήσεων (ακαθάριστη βάση) </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1.651</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995</w:t>
            </w:r>
          </w:p>
        </w:tc>
        <w:tc>
          <w:tcPr>
            <w:tcW w:w="109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890</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970</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-46,1</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9,0</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iii</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(6000)-Προμήθειες τρ</w:t>
            </w:r>
            <w:r w:rsidRPr="0022201B">
              <w:rPr>
                <w:rFonts w:ascii="Arial Narrow" w:hAnsi="Arial Narrow" w:cs="Arial"/>
                <w:sz w:val="15"/>
                <w:szCs w:val="15"/>
              </w:rPr>
              <w:t>α</w:t>
            </w:r>
            <w:r w:rsidRPr="0022201B">
              <w:rPr>
                <w:rFonts w:ascii="Arial Narrow" w:hAnsi="Arial Narrow" w:cs="Arial"/>
                <w:sz w:val="15"/>
                <w:szCs w:val="15"/>
              </w:rPr>
              <w:t>πεζών, προμήθειες EFSF και λοιπές δαπάνες δημοσίου χρέους</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65</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75</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75</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65</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15,0</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-13,3</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22201B">
              <w:rPr>
                <w:rFonts w:ascii="Arial Narrow" w:hAnsi="Arial Narrow" w:cs="Arial"/>
                <w:sz w:val="15"/>
                <w:szCs w:val="15"/>
                <w:lang w:val="en-GB"/>
              </w:rPr>
              <w:t>7.iv.</w:t>
            </w:r>
            <w:r w:rsidRPr="0022201B">
              <w:rPr>
                <w:rFonts w:ascii="Arial Narrow" w:hAnsi="Arial Narrow" w:cs="Arial"/>
                <w:sz w:val="15"/>
                <w:szCs w:val="15"/>
                <w:lang w:val="en-GB"/>
              </w:rPr>
              <w:tab/>
            </w:r>
            <w:r w:rsidRPr="0022201B">
              <w:rPr>
                <w:rFonts w:ascii="Arial Narrow" w:hAnsi="Arial Narrow" w:cs="Arial"/>
                <w:sz w:val="15"/>
                <w:szCs w:val="15"/>
              </w:rPr>
              <w:t>Εξοπλιστικά προγράμματα (6910)</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584</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475</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475</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510</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-18,7</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7,5</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301426">
              <w:rPr>
                <w:rFonts w:ascii="Arial Narrow" w:hAnsi="Arial Narrow" w:cs="Arial"/>
                <w:sz w:val="15"/>
                <w:szCs w:val="15"/>
              </w:rPr>
              <w:t>7.</w:t>
            </w:r>
            <w:r w:rsidRPr="0022201B">
              <w:rPr>
                <w:rFonts w:ascii="Arial Narrow" w:hAnsi="Arial Narrow" w:cs="Arial"/>
                <w:sz w:val="15"/>
                <w:szCs w:val="15"/>
                <w:lang w:val="en-GB"/>
              </w:rPr>
              <w:t>v</w:t>
            </w:r>
            <w:r w:rsidRPr="00301426">
              <w:rPr>
                <w:rFonts w:ascii="Arial Narrow" w:hAnsi="Arial Narrow" w:cs="Arial"/>
                <w:sz w:val="15"/>
                <w:szCs w:val="15"/>
              </w:rPr>
              <w:t>.</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 -Aνάληψη χρέους φορέων Γενικής Κυβέρνησης</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553</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193</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193</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0</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-65,1</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-100,0</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301426">
              <w:rPr>
                <w:rFonts w:ascii="Arial Narrow" w:hAnsi="Arial Narrow" w:cs="Arial"/>
                <w:sz w:val="15"/>
                <w:szCs w:val="15"/>
              </w:rPr>
              <w:t>8.</w:t>
            </w:r>
            <w:r w:rsidRPr="00301426">
              <w:rPr>
                <w:rFonts w:ascii="Arial Narrow" w:hAnsi="Arial Narrow" w:cs="Arial"/>
                <w:sz w:val="15"/>
                <w:szCs w:val="15"/>
              </w:rPr>
              <w:tab/>
            </w:r>
            <w:r w:rsidRPr="0022201B">
              <w:rPr>
                <w:rFonts w:ascii="Arial Narrow" w:hAnsi="Arial Narrow" w:cs="Arial"/>
                <w:sz w:val="15"/>
                <w:szCs w:val="15"/>
              </w:rPr>
              <w:t>Απαλλοτριώσεις, αγορές ακινήτων, κατασκευές, συμμετοχές (7000) πλην συμμετοχής σε αύξηση ΜΚ.</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579</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581</w:t>
            </w:r>
          </w:p>
        </w:tc>
        <w:tc>
          <w:tcPr>
            <w:tcW w:w="109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580</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580</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0,1</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0,0</w:t>
            </w:r>
          </w:p>
        </w:tc>
      </w:tr>
      <w:tr w:rsidR="008A60CC" w:rsidRPr="003635E5" w:rsidTr="003237FC">
        <w:trPr>
          <w:cantSplit/>
          <w:trHeight w:val="227"/>
          <w:jc w:val="center"/>
        </w:trPr>
        <w:tc>
          <w:tcPr>
            <w:tcW w:w="4236" w:type="dxa"/>
            <w:tcBorders>
              <w:left w:val="single" w:sz="4" w:space="0" w:color="auto"/>
            </w:tcBorders>
            <w:shd w:val="clear" w:color="auto" w:fill="D9D9D9" w:themeFill="background1" w:themeFillShade="D9"/>
            <w:vAlign w:val="center"/>
          </w:tcPr>
          <w:p w:rsidR="008A60CC" w:rsidRPr="003635E5" w:rsidRDefault="008A60CC" w:rsidP="003237FC">
            <w:pPr>
              <w:ind w:left="279" w:hanging="279"/>
              <w:rPr>
                <w:rFonts w:ascii="Arial Narrow" w:hAnsi="Arial Narrow" w:cs="Arial"/>
                <w:b/>
                <w:bCs/>
                <w:sz w:val="15"/>
                <w:szCs w:val="15"/>
                <w:vertAlign w:val="superscript"/>
              </w:rPr>
            </w:pPr>
            <w:r w:rsidRPr="003635E5">
              <w:rPr>
                <w:rFonts w:ascii="Arial Narrow" w:hAnsi="Arial Narrow" w:cs="Arial"/>
                <w:b/>
                <w:bCs/>
                <w:sz w:val="15"/>
                <w:szCs w:val="15"/>
              </w:rPr>
              <w:t xml:space="preserve"> </w:t>
            </w:r>
            <w:r w:rsidRPr="003635E5">
              <w:rPr>
                <w:rFonts w:ascii="Arial Narrow" w:hAnsi="Arial Narrow" w:cs="Arial"/>
                <w:b/>
                <w:bCs/>
                <w:sz w:val="15"/>
                <w:szCs w:val="15"/>
                <w:lang w:val="en-GB"/>
              </w:rPr>
              <w:t>I</w:t>
            </w:r>
            <w:r w:rsidRPr="003635E5">
              <w:rPr>
                <w:rFonts w:ascii="Arial Narrow" w:hAnsi="Arial Narrow" w:cs="Arial"/>
                <w:b/>
                <w:bCs/>
                <w:sz w:val="15"/>
                <w:szCs w:val="15"/>
              </w:rPr>
              <w:t>.</w:t>
            </w:r>
            <w:r w:rsidRPr="003635E5">
              <w:rPr>
                <w:rFonts w:ascii="Arial Narrow" w:hAnsi="Arial Narrow" w:cs="Arial"/>
                <w:b/>
                <w:bCs/>
                <w:sz w:val="15"/>
                <w:szCs w:val="15"/>
              </w:rPr>
              <w:tab/>
              <w:t xml:space="preserve">Σύνολο πρωτογενών δαπανών τακτικού προϋπολογισμού (1+2+3+3i+4+5+6+7i+7ii+7iii+7iv+7v+8) </w:t>
            </w:r>
            <w:r>
              <w:rPr>
                <w:rFonts w:ascii="Arial Narrow" w:hAnsi="Arial Narrow" w:cs="Arial"/>
                <w:b/>
                <w:bCs/>
                <w:sz w:val="15"/>
                <w:szCs w:val="15"/>
                <w:vertAlign w:val="superscript"/>
              </w:rPr>
              <w:t>1</w:t>
            </w:r>
          </w:p>
        </w:tc>
        <w:tc>
          <w:tcPr>
            <w:tcW w:w="1024" w:type="dxa"/>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45.089</w:t>
            </w:r>
          </w:p>
        </w:tc>
        <w:tc>
          <w:tcPr>
            <w:tcW w:w="1079" w:type="dxa"/>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44.194</w:t>
            </w:r>
          </w:p>
        </w:tc>
        <w:tc>
          <w:tcPr>
            <w:tcW w:w="1094" w:type="dxa"/>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44.514</w:t>
            </w:r>
          </w:p>
        </w:tc>
        <w:tc>
          <w:tcPr>
            <w:tcW w:w="1006" w:type="dxa"/>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43.238</w:t>
            </w:r>
          </w:p>
        </w:tc>
        <w:tc>
          <w:tcPr>
            <w:tcW w:w="744" w:type="dxa"/>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-1,3</w:t>
            </w:r>
          </w:p>
        </w:tc>
        <w:tc>
          <w:tcPr>
            <w:tcW w:w="786" w:type="dxa"/>
            <w:tcBorders>
              <w:right w:val="single" w:sz="4" w:space="0" w:color="auto"/>
            </w:tcBorders>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-2,9</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301426">
              <w:rPr>
                <w:rFonts w:ascii="Arial Narrow" w:hAnsi="Arial Narrow" w:cs="Arial"/>
                <w:sz w:val="15"/>
                <w:szCs w:val="15"/>
              </w:rPr>
              <w:t>9.</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(6000)-Tόκοι (καθαρή βάση)</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5.577</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5.650</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6.000</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5.200</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7,6</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-13,3</w:t>
            </w:r>
          </w:p>
        </w:tc>
      </w:tr>
      <w:tr w:rsidR="008A60CC" w:rsidRPr="003635E5" w:rsidTr="003237FC">
        <w:trPr>
          <w:cantSplit/>
          <w:trHeight w:val="227"/>
          <w:jc w:val="center"/>
        </w:trPr>
        <w:tc>
          <w:tcPr>
            <w:tcW w:w="4236" w:type="dxa"/>
            <w:tcBorders>
              <w:left w:val="single" w:sz="4" w:space="0" w:color="auto"/>
            </w:tcBorders>
            <w:shd w:val="clear" w:color="auto" w:fill="D9D9D9" w:themeFill="background1" w:themeFillShade="D9"/>
            <w:vAlign w:val="center"/>
          </w:tcPr>
          <w:p w:rsidR="008A60CC" w:rsidRPr="003635E5" w:rsidRDefault="008A60CC" w:rsidP="003237FC">
            <w:pPr>
              <w:ind w:left="279" w:hanging="279"/>
              <w:rPr>
                <w:rFonts w:ascii="Arial Narrow" w:hAnsi="Arial Narrow" w:cs="Arial"/>
                <w:b/>
                <w:bCs/>
                <w:sz w:val="15"/>
                <w:szCs w:val="15"/>
              </w:rPr>
            </w:pPr>
            <w:r w:rsidRPr="003635E5">
              <w:rPr>
                <w:rFonts w:ascii="Arial Narrow" w:hAnsi="Arial Narrow" w:cs="Arial"/>
                <w:b/>
                <w:bCs/>
                <w:sz w:val="15"/>
                <w:szCs w:val="15"/>
              </w:rPr>
              <w:t xml:space="preserve"> </w:t>
            </w:r>
            <w:r w:rsidRPr="003635E5">
              <w:rPr>
                <w:rFonts w:ascii="Arial Narrow" w:hAnsi="Arial Narrow" w:cs="Arial"/>
                <w:b/>
                <w:bCs/>
                <w:sz w:val="15"/>
                <w:szCs w:val="15"/>
                <w:lang w:val="en-GB"/>
              </w:rPr>
              <w:t>II</w:t>
            </w:r>
            <w:r w:rsidRPr="003635E5">
              <w:rPr>
                <w:rFonts w:ascii="Arial Narrow" w:hAnsi="Arial Narrow" w:cs="Arial"/>
                <w:b/>
                <w:bCs/>
                <w:sz w:val="15"/>
                <w:szCs w:val="15"/>
              </w:rPr>
              <w:t>.</w:t>
            </w:r>
            <w:r w:rsidRPr="003635E5">
              <w:rPr>
                <w:rFonts w:ascii="Arial Narrow" w:hAnsi="Arial Narrow" w:cs="Arial"/>
                <w:b/>
                <w:bCs/>
                <w:sz w:val="15"/>
                <w:szCs w:val="15"/>
              </w:rPr>
              <w:tab/>
              <w:t>Σύνολο δαπανών τακτικού προϋπολογισμού πλην χρεολυσίων και συμμετοχών (Ι+9)</w:t>
            </w:r>
          </w:p>
        </w:tc>
        <w:tc>
          <w:tcPr>
            <w:tcW w:w="1024" w:type="dxa"/>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50.666</w:t>
            </w:r>
          </w:p>
        </w:tc>
        <w:tc>
          <w:tcPr>
            <w:tcW w:w="1079" w:type="dxa"/>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49.844</w:t>
            </w:r>
          </w:p>
        </w:tc>
        <w:tc>
          <w:tcPr>
            <w:tcW w:w="1094" w:type="dxa"/>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50.515</w:t>
            </w:r>
          </w:p>
        </w:tc>
        <w:tc>
          <w:tcPr>
            <w:tcW w:w="1006" w:type="dxa"/>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48.438</w:t>
            </w:r>
          </w:p>
        </w:tc>
        <w:tc>
          <w:tcPr>
            <w:tcW w:w="744" w:type="dxa"/>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-0,3</w:t>
            </w:r>
          </w:p>
        </w:tc>
        <w:tc>
          <w:tcPr>
            <w:tcW w:w="786" w:type="dxa"/>
            <w:tcBorders>
              <w:right w:val="single" w:sz="4" w:space="0" w:color="auto"/>
            </w:tcBorders>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-4,1</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301426">
              <w:rPr>
                <w:rFonts w:ascii="Arial Narrow" w:hAnsi="Arial Narrow" w:cs="Arial"/>
                <w:sz w:val="15"/>
                <w:szCs w:val="15"/>
              </w:rPr>
              <w:t>10.</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(6000)-Χρεολύσια μεσ</w:t>
            </w:r>
            <w:r w:rsidRPr="0022201B">
              <w:rPr>
                <w:rFonts w:ascii="Arial Narrow" w:hAnsi="Arial Narrow" w:cs="Arial"/>
                <w:sz w:val="15"/>
                <w:szCs w:val="15"/>
              </w:rPr>
              <w:t>ο</w:t>
            </w:r>
            <w:r w:rsidRPr="0022201B">
              <w:rPr>
                <w:rFonts w:ascii="Arial Narrow" w:hAnsi="Arial Narrow" w:cs="Arial"/>
                <w:sz w:val="15"/>
                <w:szCs w:val="15"/>
              </w:rPr>
              <w:t>μακροπρόθεσμου δανεισμού (</w:t>
            </w:r>
            <w:r>
              <w:rPr>
                <w:rFonts w:ascii="Arial Narrow" w:hAnsi="Arial Narrow" w:cs="Arial"/>
                <w:sz w:val="15"/>
                <w:szCs w:val="15"/>
              </w:rPr>
              <w:t>ακαθάριστη</w:t>
            </w:r>
            <w:r w:rsidRPr="0022201B">
              <w:rPr>
                <w:rFonts w:ascii="Arial Narrow" w:hAnsi="Arial Narrow" w:cs="Arial"/>
                <w:sz w:val="15"/>
                <w:szCs w:val="15"/>
              </w:rPr>
              <w:t xml:space="preserve"> βάση)</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10.588</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9.920</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80.000</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4.580</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655,5</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-94,3</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301426">
              <w:rPr>
                <w:rFonts w:ascii="Arial Narrow" w:hAnsi="Arial Narrow" w:cs="Arial"/>
                <w:sz w:val="15"/>
                <w:szCs w:val="15"/>
              </w:rPr>
              <w:t>11.</w:t>
            </w:r>
            <w:r w:rsidRPr="00301426">
              <w:rPr>
                <w:rFonts w:ascii="Arial Narrow" w:hAnsi="Arial Narrow" w:cs="Arial"/>
                <w:sz w:val="15"/>
                <w:szCs w:val="15"/>
              </w:rPr>
              <w:tab/>
            </w:r>
            <w:r w:rsidRPr="0022201B">
              <w:rPr>
                <w:rFonts w:ascii="Arial Narrow" w:hAnsi="Arial Narrow" w:cs="Arial"/>
                <w:sz w:val="15"/>
                <w:szCs w:val="15"/>
              </w:rPr>
              <w:t>Δαπάνες εξυπηρέτησης της Δημόσιας πίστης (6000)-Χρεολύσια βρ</w:t>
            </w:r>
            <w:r w:rsidRPr="0022201B">
              <w:rPr>
                <w:rFonts w:ascii="Arial Narrow" w:hAnsi="Arial Narrow" w:cs="Arial"/>
                <w:sz w:val="15"/>
                <w:szCs w:val="15"/>
              </w:rPr>
              <w:t>α</w:t>
            </w:r>
            <w:r w:rsidRPr="0022201B">
              <w:rPr>
                <w:rFonts w:ascii="Arial Narrow" w:hAnsi="Arial Narrow" w:cs="Arial"/>
                <w:sz w:val="15"/>
                <w:szCs w:val="15"/>
              </w:rPr>
              <w:t>χυπρόθεσμου δανεισμού</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531.311</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550.000</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541.100</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550.000</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1,8</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1,6</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6D2AEB">
            <w:pPr>
              <w:ind w:left="279" w:hanging="279"/>
              <w:rPr>
                <w:rFonts w:ascii="Arial Narrow" w:hAnsi="Arial Narrow" w:cs="Arial"/>
                <w:sz w:val="15"/>
                <w:szCs w:val="15"/>
              </w:rPr>
            </w:pPr>
            <w:r w:rsidRPr="00301426">
              <w:rPr>
                <w:rFonts w:ascii="Arial Narrow" w:hAnsi="Arial Narrow" w:cs="Arial"/>
                <w:sz w:val="15"/>
                <w:szCs w:val="15"/>
              </w:rPr>
              <w:t>12.</w:t>
            </w:r>
            <w:r w:rsidRPr="00301426">
              <w:rPr>
                <w:rFonts w:ascii="Arial Narrow" w:hAnsi="Arial Narrow" w:cs="Arial"/>
                <w:sz w:val="15"/>
                <w:szCs w:val="15"/>
              </w:rPr>
              <w:tab/>
            </w:r>
            <w:r w:rsidRPr="0022201B">
              <w:rPr>
                <w:rFonts w:ascii="Arial Narrow" w:hAnsi="Arial Narrow" w:cs="Arial"/>
                <w:sz w:val="15"/>
                <w:szCs w:val="15"/>
              </w:rPr>
              <w:t xml:space="preserve">Απαλλοτριώσεις, αγορές ακινήτων, κατασκευές, συμμετοχές (7000)-Συμμετοχή στο ΜΚ </w:t>
            </w:r>
            <w:r w:rsidR="006D2AEB">
              <w:rPr>
                <w:rFonts w:ascii="Arial Narrow" w:hAnsi="Arial Narrow" w:cs="Arial"/>
                <w:sz w:val="15"/>
                <w:szCs w:val="15"/>
              </w:rPr>
              <w:t>λοιπών εταιρειών κ.λπ.</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25</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112</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350</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112</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1.301,9</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-68,0</w:t>
            </w:r>
          </w:p>
        </w:tc>
      </w:tr>
      <w:tr w:rsidR="008A60CC" w:rsidRPr="006F24D6" w:rsidTr="003237FC">
        <w:trPr>
          <w:cantSplit/>
          <w:trHeight w:val="227"/>
          <w:jc w:val="center"/>
        </w:trPr>
        <w:tc>
          <w:tcPr>
            <w:tcW w:w="4236" w:type="dxa"/>
            <w:tcBorders>
              <w:left w:val="single" w:sz="4" w:space="0" w:color="auto"/>
            </w:tcBorders>
            <w:shd w:val="clear" w:color="auto" w:fill="auto"/>
            <w:vAlign w:val="center"/>
          </w:tcPr>
          <w:p w:rsidR="008A60CC" w:rsidRPr="0022201B" w:rsidRDefault="008A60CC" w:rsidP="003237FC">
            <w:pPr>
              <w:ind w:left="279" w:hanging="279"/>
              <w:rPr>
                <w:rFonts w:ascii="Arial Narrow" w:hAnsi="Arial Narrow" w:cs="Arial"/>
                <w:sz w:val="15"/>
                <w:szCs w:val="15"/>
              </w:rPr>
            </w:pPr>
            <w:r w:rsidRPr="00301426">
              <w:rPr>
                <w:rFonts w:ascii="Arial Narrow" w:hAnsi="Arial Narrow" w:cs="Arial"/>
                <w:sz w:val="15"/>
                <w:szCs w:val="15"/>
              </w:rPr>
              <w:t>13.</w:t>
            </w:r>
            <w:r w:rsidRPr="00301426">
              <w:rPr>
                <w:rFonts w:ascii="Arial Narrow" w:hAnsi="Arial Narrow" w:cs="Arial"/>
                <w:sz w:val="15"/>
                <w:szCs w:val="15"/>
              </w:rPr>
              <w:tab/>
            </w:r>
            <w:r>
              <w:rPr>
                <w:rFonts w:ascii="Arial Narrow" w:hAnsi="Arial Narrow" w:cs="Arial"/>
                <w:sz w:val="15"/>
                <w:szCs w:val="15"/>
              </w:rPr>
              <w:t>Δαπάνες εξυπηρέτησης της δημόσιας πίστης (6000) – Τακτοποίηση υποχρεώσεων ΠΟΕ φορέων Γενικής Κυβέρνησης</w:t>
            </w:r>
          </w:p>
        </w:tc>
        <w:tc>
          <w:tcPr>
            <w:tcW w:w="102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2.824</w:t>
            </w:r>
          </w:p>
        </w:tc>
        <w:tc>
          <w:tcPr>
            <w:tcW w:w="1079"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4.500</w:t>
            </w:r>
          </w:p>
        </w:tc>
        <w:tc>
          <w:tcPr>
            <w:tcW w:w="1094" w:type="dxa"/>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1.500</w:t>
            </w:r>
          </w:p>
        </w:tc>
        <w:tc>
          <w:tcPr>
            <w:tcW w:w="1006"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2.200</w:t>
            </w:r>
          </w:p>
        </w:tc>
        <w:tc>
          <w:tcPr>
            <w:tcW w:w="744" w:type="dxa"/>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-46,9</w:t>
            </w:r>
          </w:p>
        </w:tc>
        <w:tc>
          <w:tcPr>
            <w:tcW w:w="786" w:type="dxa"/>
            <w:tcBorders>
              <w:right w:val="single" w:sz="4" w:space="0" w:color="auto"/>
            </w:tcBorders>
            <w:shd w:val="clear" w:color="auto" w:fill="auto"/>
            <w:vAlign w:val="center"/>
          </w:tcPr>
          <w:p w:rsidR="008A60CC" w:rsidRPr="003635E5" w:rsidRDefault="008A60CC" w:rsidP="003237FC">
            <w:pPr>
              <w:ind w:right="227"/>
              <w:jc w:val="right"/>
              <w:rPr>
                <w:rFonts w:ascii="Arial Narrow" w:hAnsi="Arial Narrow"/>
                <w:bCs/>
                <w:color w:val="000000"/>
                <w:sz w:val="16"/>
                <w:szCs w:val="16"/>
              </w:rPr>
            </w:pPr>
            <w:r w:rsidRPr="003635E5">
              <w:rPr>
                <w:rFonts w:ascii="Arial Narrow" w:hAnsi="Arial Narrow"/>
                <w:bCs/>
                <w:color w:val="000000"/>
                <w:sz w:val="16"/>
                <w:szCs w:val="16"/>
              </w:rPr>
              <w:t>46,7</w:t>
            </w:r>
          </w:p>
        </w:tc>
      </w:tr>
      <w:tr w:rsidR="008A60CC" w:rsidRPr="003635E5" w:rsidTr="003237FC">
        <w:trPr>
          <w:cantSplit/>
          <w:trHeight w:val="227"/>
          <w:jc w:val="center"/>
        </w:trPr>
        <w:tc>
          <w:tcPr>
            <w:tcW w:w="4236" w:type="dxa"/>
            <w:tcBorders>
              <w:left w:val="single" w:sz="4" w:space="0" w:color="auto"/>
              <w:bottom w:val="single" w:sz="4" w:space="0" w:color="auto"/>
            </w:tcBorders>
            <w:shd w:val="clear" w:color="auto" w:fill="D9D9D9" w:themeFill="background1" w:themeFillShade="D9"/>
            <w:vAlign w:val="center"/>
          </w:tcPr>
          <w:p w:rsidR="008A60CC" w:rsidRPr="003635E5" w:rsidRDefault="008A60CC" w:rsidP="003237FC">
            <w:pPr>
              <w:ind w:left="279" w:hanging="279"/>
              <w:rPr>
                <w:rFonts w:ascii="Arial Narrow" w:hAnsi="Arial Narrow" w:cs="Arial"/>
                <w:b/>
                <w:sz w:val="15"/>
                <w:szCs w:val="15"/>
              </w:rPr>
            </w:pPr>
            <w:r w:rsidRPr="003635E5">
              <w:rPr>
                <w:rFonts w:ascii="Arial Narrow" w:hAnsi="Arial Narrow" w:cs="Arial"/>
                <w:b/>
                <w:bCs/>
                <w:sz w:val="15"/>
                <w:szCs w:val="15"/>
                <w:lang w:val="en-GB"/>
              </w:rPr>
              <w:t>III</w:t>
            </w:r>
            <w:r w:rsidRPr="003635E5">
              <w:rPr>
                <w:rFonts w:ascii="Arial Narrow" w:hAnsi="Arial Narrow" w:cs="Arial"/>
                <w:b/>
                <w:bCs/>
                <w:sz w:val="15"/>
                <w:szCs w:val="15"/>
              </w:rPr>
              <w:t>.</w:t>
            </w:r>
            <w:r w:rsidRPr="003635E5">
              <w:rPr>
                <w:rFonts w:ascii="Arial Narrow" w:hAnsi="Arial Narrow" w:cs="Arial"/>
                <w:b/>
                <w:bCs/>
                <w:sz w:val="15"/>
                <w:szCs w:val="15"/>
              </w:rPr>
              <w:tab/>
              <w:t>Σύνολο δαπανών τακτικού προϋπολογισμού (II+10+11+12+13)</w:t>
            </w:r>
          </w:p>
        </w:tc>
        <w:tc>
          <w:tcPr>
            <w:tcW w:w="1024" w:type="dxa"/>
            <w:tcBorders>
              <w:bottom w:val="single" w:sz="4" w:space="0" w:color="auto"/>
            </w:tcBorders>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595.415</w:t>
            </w:r>
          </w:p>
        </w:tc>
        <w:tc>
          <w:tcPr>
            <w:tcW w:w="1079" w:type="dxa"/>
            <w:tcBorders>
              <w:bottom w:val="single" w:sz="4" w:space="0" w:color="auto"/>
            </w:tcBorders>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614.377</w:t>
            </w:r>
          </w:p>
        </w:tc>
        <w:tc>
          <w:tcPr>
            <w:tcW w:w="1094" w:type="dxa"/>
            <w:tcBorders>
              <w:bottom w:val="single" w:sz="4" w:space="0" w:color="auto"/>
            </w:tcBorders>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673.465</w:t>
            </w:r>
          </w:p>
        </w:tc>
        <w:tc>
          <w:tcPr>
            <w:tcW w:w="1006" w:type="dxa"/>
            <w:tcBorders>
              <w:bottom w:val="single" w:sz="4" w:space="0" w:color="auto"/>
            </w:tcBorders>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605.330</w:t>
            </w:r>
          </w:p>
        </w:tc>
        <w:tc>
          <w:tcPr>
            <w:tcW w:w="744" w:type="dxa"/>
            <w:tcBorders>
              <w:bottom w:val="single" w:sz="4" w:space="0" w:color="auto"/>
            </w:tcBorders>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13,1</w:t>
            </w:r>
          </w:p>
        </w:tc>
        <w:tc>
          <w:tcPr>
            <w:tcW w:w="786" w:type="dxa"/>
            <w:tcBorders>
              <w:bottom w:val="single" w:sz="4" w:space="0" w:color="auto"/>
              <w:right w:val="single" w:sz="4" w:space="0" w:color="auto"/>
            </w:tcBorders>
            <w:shd w:val="clear" w:color="auto" w:fill="D9D9D9" w:themeFill="background1" w:themeFillShade="D9"/>
            <w:vAlign w:val="center"/>
          </w:tcPr>
          <w:p w:rsidR="008A60CC" w:rsidRPr="003635E5" w:rsidRDefault="008A60CC" w:rsidP="003237FC">
            <w:pPr>
              <w:ind w:right="227"/>
              <w:jc w:val="right"/>
              <w:rPr>
                <w:rFonts w:ascii="Arial Narrow" w:hAnsi="Arial Narrow"/>
                <w:b/>
                <w:bCs/>
                <w:color w:val="000000"/>
                <w:sz w:val="16"/>
                <w:szCs w:val="16"/>
              </w:rPr>
            </w:pPr>
            <w:r w:rsidRPr="003635E5">
              <w:rPr>
                <w:rFonts w:ascii="Arial Narrow" w:hAnsi="Arial Narrow"/>
                <w:b/>
                <w:bCs/>
                <w:color w:val="000000"/>
                <w:sz w:val="16"/>
                <w:szCs w:val="16"/>
              </w:rPr>
              <w:t>-10,1</w:t>
            </w:r>
          </w:p>
        </w:tc>
      </w:tr>
    </w:tbl>
    <w:p w:rsidR="008A60CC" w:rsidRPr="008A60CC" w:rsidRDefault="008A60CC" w:rsidP="008A60CC">
      <w:pPr>
        <w:ind w:left="-142" w:right="-427" w:hanging="142"/>
        <w:rPr>
          <w:rFonts w:ascii="Arial Narrow" w:hAnsi="Arial Narrow"/>
          <w:sz w:val="16"/>
          <w:szCs w:val="16"/>
        </w:rPr>
      </w:pPr>
      <w:r w:rsidRPr="008A60CC">
        <w:rPr>
          <w:rFonts w:ascii="Arial Narrow" w:hAnsi="Arial Narrow"/>
          <w:sz w:val="16"/>
          <w:szCs w:val="16"/>
          <w:vertAlign w:val="superscript"/>
        </w:rPr>
        <w:t>1</w:t>
      </w:r>
      <w:r w:rsidRPr="008A60CC">
        <w:rPr>
          <w:rFonts w:ascii="Arial Narrow" w:hAnsi="Arial Narrow"/>
          <w:sz w:val="16"/>
          <w:szCs w:val="16"/>
        </w:rPr>
        <w:tab/>
        <w:t>Για το 2016 ο πίνακας περιλαμβάνει τις δαπάνες για τακτοποίηση υποχρεώσεων ΠΟΕ φορέων Γενικής Κυβέρνησης εκτός των πρωτογενών δαπανών του τακτικού προϋπολογισμού</w:t>
      </w:r>
      <w:r w:rsidR="00983DD0">
        <w:rPr>
          <w:rFonts w:ascii="Arial Narrow" w:hAnsi="Arial Narrow"/>
          <w:sz w:val="16"/>
          <w:szCs w:val="16"/>
        </w:rPr>
        <w:t xml:space="preserve"> σε αντίθεση με τον πίνακα 3.2</w:t>
      </w:r>
      <w:r w:rsidRPr="008A60CC">
        <w:rPr>
          <w:rFonts w:ascii="Arial Narrow" w:hAnsi="Arial Narrow"/>
          <w:sz w:val="16"/>
          <w:szCs w:val="16"/>
        </w:rPr>
        <w:t>.</w:t>
      </w:r>
    </w:p>
    <w:p w:rsidR="008A60CC" w:rsidRPr="008A60CC" w:rsidRDefault="008A60CC" w:rsidP="008A60CC">
      <w:pPr>
        <w:ind w:right="-427" w:hanging="426"/>
        <w:rPr>
          <w:sz w:val="20"/>
          <w:szCs w:val="22"/>
        </w:rPr>
      </w:pPr>
    </w:p>
    <w:p w:rsidR="008A60CC" w:rsidRDefault="008A60CC">
      <w:pPr>
        <w:rPr>
          <w:sz w:val="22"/>
          <w:szCs w:val="22"/>
          <w:lang w:eastAsia="en-US"/>
        </w:rPr>
      </w:pPr>
    </w:p>
    <w:p w:rsidR="00F47005" w:rsidRDefault="00F47005" w:rsidP="00706087">
      <w:pPr>
        <w:jc w:val="both"/>
        <w:rPr>
          <w:sz w:val="22"/>
          <w:szCs w:val="22"/>
          <w:lang w:eastAsia="en-US"/>
        </w:rPr>
      </w:pPr>
    </w:p>
    <w:p w:rsidR="00706087" w:rsidRPr="00393103" w:rsidRDefault="00706087" w:rsidP="00706087">
      <w:pPr>
        <w:jc w:val="both"/>
        <w:rPr>
          <w:sz w:val="22"/>
          <w:szCs w:val="22"/>
          <w:lang w:eastAsia="en-US"/>
        </w:rPr>
      </w:pPr>
      <w:r w:rsidRPr="00393103">
        <w:rPr>
          <w:sz w:val="22"/>
          <w:szCs w:val="22"/>
          <w:lang w:eastAsia="en-US"/>
        </w:rPr>
        <w:t xml:space="preserve">Η μείωση </w:t>
      </w:r>
      <w:r w:rsidR="00F47005">
        <w:rPr>
          <w:sz w:val="22"/>
          <w:szCs w:val="22"/>
          <w:lang w:eastAsia="en-US"/>
        </w:rPr>
        <w:t xml:space="preserve">των δαπανών της κατηγορίας αυτής </w:t>
      </w:r>
      <w:r w:rsidRPr="00393103">
        <w:rPr>
          <w:sz w:val="22"/>
          <w:szCs w:val="22"/>
          <w:lang w:eastAsia="en-US"/>
        </w:rPr>
        <w:t>αντισταθμίστηκε μερικώς από την καταβολή από 1/1/2017 της δαπάνης για εργοδοτικές εισφορές από το κράτος ως εργοδότη υπέρ του ΕΦΚΑ, για τους υπαλλήλους με σύμβαση δημοσίου δικαίου, καθώς και από την αλλαγή του κανόνα προσλήψεων σε 1 προς 4 από 1 προς 5 που ίσχυε για το 2016.</w:t>
      </w:r>
    </w:p>
    <w:p w:rsidR="00706087" w:rsidRPr="00393103" w:rsidRDefault="00706087" w:rsidP="00706087">
      <w:pPr>
        <w:jc w:val="both"/>
        <w:rPr>
          <w:rFonts w:ascii="Arial Narrow" w:hAnsi="Arial Narrow"/>
          <w:b/>
          <w:bCs/>
          <w:sz w:val="22"/>
          <w:szCs w:val="22"/>
        </w:rPr>
      </w:pPr>
    </w:p>
    <w:p w:rsidR="00706087" w:rsidRPr="00393103" w:rsidRDefault="00706087" w:rsidP="00706087">
      <w:pPr>
        <w:jc w:val="both"/>
        <w:rPr>
          <w:rFonts w:ascii="Arial Narrow" w:hAnsi="Arial Narrow"/>
          <w:b/>
          <w:bCs/>
          <w:sz w:val="22"/>
          <w:szCs w:val="22"/>
        </w:rPr>
      </w:pPr>
      <w:r w:rsidRPr="00393103">
        <w:rPr>
          <w:rFonts w:ascii="Arial Narrow" w:hAnsi="Arial Narrow"/>
          <w:b/>
          <w:bCs/>
          <w:sz w:val="22"/>
          <w:szCs w:val="22"/>
        </w:rPr>
        <w:t>Πρόσθετες και παρεπόμενες παροχές</w:t>
      </w:r>
    </w:p>
    <w:p w:rsidR="00706087" w:rsidRPr="00393103" w:rsidRDefault="00706087" w:rsidP="00706087">
      <w:pPr>
        <w:jc w:val="both"/>
        <w:rPr>
          <w:sz w:val="22"/>
          <w:szCs w:val="22"/>
          <w:lang w:eastAsia="en-US"/>
        </w:rPr>
      </w:pPr>
    </w:p>
    <w:p w:rsidR="00706087" w:rsidRPr="00393103" w:rsidRDefault="00706087" w:rsidP="00706087">
      <w:pPr>
        <w:jc w:val="both"/>
        <w:rPr>
          <w:sz w:val="22"/>
          <w:szCs w:val="22"/>
          <w:lang w:eastAsia="en-US"/>
        </w:rPr>
      </w:pPr>
      <w:r w:rsidRPr="00393103">
        <w:rPr>
          <w:sz w:val="22"/>
          <w:szCs w:val="22"/>
          <w:lang w:eastAsia="en-US"/>
        </w:rPr>
        <w:t xml:space="preserve">Οι δαπάνες της κατηγορίας αυτής εκτιμάται ότι θα διαμορφωθούν στα 348 εκατ. ευρώ, έναντι 336 </w:t>
      </w:r>
      <w:r w:rsidRPr="00393103">
        <w:rPr>
          <w:sz w:val="22"/>
          <w:szCs w:val="22"/>
          <w:lang w:eastAsia="en-US"/>
        </w:rPr>
        <w:t>ε</w:t>
      </w:r>
      <w:r w:rsidRPr="00393103">
        <w:rPr>
          <w:sz w:val="22"/>
          <w:szCs w:val="22"/>
          <w:lang w:eastAsia="en-US"/>
        </w:rPr>
        <w:t xml:space="preserve">κατ. ευρώ του στόχου του </w:t>
      </w:r>
      <w:r w:rsidRPr="00393103">
        <w:rPr>
          <w:bCs/>
          <w:sz w:val="22"/>
          <w:szCs w:val="22"/>
        </w:rPr>
        <w:t>ΜΠΔΣ 2018-2021</w:t>
      </w:r>
      <w:r w:rsidRPr="00393103">
        <w:rPr>
          <w:sz w:val="22"/>
          <w:szCs w:val="22"/>
          <w:lang w:eastAsia="en-US"/>
        </w:rPr>
        <w:t>.</w:t>
      </w:r>
    </w:p>
    <w:p w:rsidR="00706087" w:rsidRPr="00393103" w:rsidRDefault="00706087" w:rsidP="00706087">
      <w:pPr>
        <w:jc w:val="both"/>
        <w:rPr>
          <w:sz w:val="22"/>
          <w:szCs w:val="22"/>
          <w:highlight w:val="yellow"/>
          <w:lang w:eastAsia="en-US"/>
        </w:rPr>
      </w:pPr>
    </w:p>
    <w:p w:rsidR="00706087" w:rsidRPr="00393103" w:rsidRDefault="00706087" w:rsidP="00706087">
      <w:pPr>
        <w:jc w:val="both"/>
        <w:rPr>
          <w:rFonts w:ascii="Arial Narrow" w:hAnsi="Arial Narrow"/>
          <w:b/>
          <w:bCs/>
          <w:sz w:val="22"/>
          <w:szCs w:val="22"/>
        </w:rPr>
      </w:pPr>
      <w:r w:rsidRPr="00393103">
        <w:rPr>
          <w:rFonts w:ascii="Arial Narrow" w:hAnsi="Arial Narrow"/>
          <w:b/>
          <w:bCs/>
          <w:sz w:val="22"/>
          <w:szCs w:val="22"/>
        </w:rPr>
        <w:t>Καταναλωτικές και σύνθετες δαπάνες (πλην αποθεματικού)</w:t>
      </w:r>
    </w:p>
    <w:p w:rsidR="00706087" w:rsidRPr="00393103" w:rsidRDefault="00706087" w:rsidP="00706087">
      <w:pPr>
        <w:jc w:val="both"/>
        <w:rPr>
          <w:sz w:val="22"/>
          <w:szCs w:val="22"/>
          <w:highlight w:val="yellow"/>
          <w:lang w:eastAsia="en-US"/>
        </w:rPr>
      </w:pPr>
    </w:p>
    <w:p w:rsidR="00CE2712" w:rsidRDefault="00706087" w:rsidP="00706087">
      <w:pPr>
        <w:jc w:val="both"/>
        <w:rPr>
          <w:sz w:val="22"/>
          <w:szCs w:val="22"/>
          <w:lang w:eastAsia="en-US"/>
        </w:rPr>
      </w:pPr>
      <w:r w:rsidRPr="00393103">
        <w:rPr>
          <w:sz w:val="22"/>
          <w:szCs w:val="22"/>
          <w:lang w:eastAsia="en-US"/>
        </w:rPr>
        <w:t>Οι δαπάνες αυτές εκτιμάται ότι θα δ</w:t>
      </w:r>
      <w:r w:rsidR="00CE2712">
        <w:rPr>
          <w:sz w:val="22"/>
          <w:szCs w:val="22"/>
          <w:lang w:eastAsia="en-US"/>
        </w:rPr>
        <w:t>ιαμορφωθούν σε 2.338 εκατ. ευρώ. Σημειώνεται ότι στο ποσό α</w:t>
      </w:r>
      <w:r w:rsidR="00CE2712">
        <w:rPr>
          <w:sz w:val="22"/>
          <w:szCs w:val="22"/>
          <w:lang w:eastAsia="en-US"/>
        </w:rPr>
        <w:t>υ</w:t>
      </w:r>
      <w:r w:rsidR="00CE2712">
        <w:rPr>
          <w:sz w:val="22"/>
          <w:szCs w:val="22"/>
          <w:lang w:eastAsia="en-US"/>
        </w:rPr>
        <w:t xml:space="preserve">τό περιλαμβάνονται και 360 εκατ. ευρώ για την κάλυψη του κόστους των </w:t>
      </w:r>
      <w:r w:rsidRPr="00393103">
        <w:rPr>
          <w:sz w:val="22"/>
          <w:szCs w:val="22"/>
          <w:lang w:eastAsia="en-US"/>
        </w:rPr>
        <w:t>Υπηρεσιών Κοινής Ωφελε</w:t>
      </w:r>
      <w:r w:rsidRPr="00393103">
        <w:rPr>
          <w:sz w:val="22"/>
          <w:szCs w:val="22"/>
          <w:lang w:eastAsia="en-US"/>
        </w:rPr>
        <w:t>ί</w:t>
      </w:r>
      <w:r w:rsidRPr="00393103">
        <w:rPr>
          <w:sz w:val="22"/>
          <w:szCs w:val="22"/>
          <w:lang w:eastAsia="en-US"/>
        </w:rPr>
        <w:lastRenderedPageBreak/>
        <w:t>ας (ΥΚΩ)</w:t>
      </w:r>
      <w:r w:rsidR="00CE2712">
        <w:rPr>
          <w:sz w:val="22"/>
          <w:szCs w:val="22"/>
          <w:lang w:eastAsia="en-US"/>
        </w:rPr>
        <w:t xml:space="preserve"> στον τομέα της ηλεκτρικής ενέργειας. Εάν δεν ληφθεί υπόψη το παραπάνω ποσό </w:t>
      </w:r>
      <w:r w:rsidR="00FA1B45">
        <w:rPr>
          <w:sz w:val="22"/>
          <w:szCs w:val="22"/>
          <w:lang w:eastAsia="en-US"/>
        </w:rPr>
        <w:t xml:space="preserve">τότε </w:t>
      </w:r>
      <w:r w:rsidR="00CE2712">
        <w:rPr>
          <w:sz w:val="22"/>
          <w:szCs w:val="22"/>
          <w:lang w:eastAsia="en-US"/>
        </w:rPr>
        <w:t>εκτ</w:t>
      </w:r>
      <w:r w:rsidR="00CE2712">
        <w:rPr>
          <w:sz w:val="22"/>
          <w:szCs w:val="22"/>
          <w:lang w:eastAsia="en-US"/>
        </w:rPr>
        <w:t>ι</w:t>
      </w:r>
      <w:r w:rsidR="00CE2712">
        <w:rPr>
          <w:sz w:val="22"/>
          <w:szCs w:val="22"/>
          <w:lang w:eastAsia="en-US"/>
        </w:rPr>
        <w:t>μάται ότι θα υπάρξει εξοικονόμηση ύψους 47 εκατ. ευρώ έναντι του στόχου.</w:t>
      </w:r>
    </w:p>
    <w:p w:rsidR="00706087" w:rsidRPr="00393103" w:rsidRDefault="00706087" w:rsidP="00706087">
      <w:pPr>
        <w:jc w:val="both"/>
        <w:rPr>
          <w:sz w:val="22"/>
          <w:szCs w:val="22"/>
          <w:lang w:eastAsia="en-US"/>
        </w:rPr>
      </w:pPr>
    </w:p>
    <w:p w:rsidR="00706087" w:rsidRPr="00393103" w:rsidRDefault="00706087" w:rsidP="00706087">
      <w:pPr>
        <w:jc w:val="both"/>
        <w:rPr>
          <w:rFonts w:ascii="Arial Narrow" w:hAnsi="Arial Narrow"/>
          <w:b/>
          <w:bCs/>
          <w:sz w:val="22"/>
          <w:szCs w:val="22"/>
        </w:rPr>
      </w:pPr>
      <w:r w:rsidRPr="00393103">
        <w:rPr>
          <w:rFonts w:ascii="Arial Narrow" w:hAnsi="Arial Narrow"/>
          <w:b/>
          <w:bCs/>
          <w:sz w:val="22"/>
          <w:szCs w:val="22"/>
        </w:rPr>
        <w:t xml:space="preserve">Αποθεματικό </w:t>
      </w:r>
    </w:p>
    <w:p w:rsidR="00706087" w:rsidRPr="00393103" w:rsidRDefault="00706087" w:rsidP="00706087">
      <w:pPr>
        <w:jc w:val="both"/>
        <w:rPr>
          <w:b/>
          <w:sz w:val="22"/>
          <w:szCs w:val="22"/>
          <w:lang w:eastAsia="en-US"/>
        </w:rPr>
      </w:pPr>
    </w:p>
    <w:p w:rsidR="00706087" w:rsidRPr="00393103" w:rsidRDefault="00706087" w:rsidP="00706087">
      <w:pPr>
        <w:jc w:val="both"/>
        <w:rPr>
          <w:sz w:val="22"/>
          <w:szCs w:val="22"/>
          <w:lang w:eastAsia="en-US"/>
        </w:rPr>
      </w:pPr>
      <w:r w:rsidRPr="00393103">
        <w:rPr>
          <w:sz w:val="22"/>
          <w:szCs w:val="22"/>
          <w:lang w:eastAsia="en-US"/>
        </w:rPr>
        <w:t>Στο 2017 είχαν προβλεφθεί πιστώσεις ύψους 1 δισ. ευρώ για την αντιμετώπιση έκτακτων και επειγο</w:t>
      </w:r>
      <w:r w:rsidRPr="00393103">
        <w:rPr>
          <w:sz w:val="22"/>
          <w:szCs w:val="22"/>
          <w:lang w:eastAsia="en-US"/>
        </w:rPr>
        <w:t>υ</w:t>
      </w:r>
      <w:r w:rsidRPr="00393103">
        <w:rPr>
          <w:sz w:val="22"/>
          <w:szCs w:val="22"/>
          <w:lang w:eastAsia="en-US"/>
        </w:rPr>
        <w:t xml:space="preserve">σών δαπανών, από τις οποίες μέχρι και τα τέλη Σεπτεμβρίου είχαν κατανεμηθεί πιστώσεις ύψους 654 εκατ. ευρώ. Η χρήση του </w:t>
      </w:r>
      <w:r w:rsidR="00027FDC">
        <w:rPr>
          <w:sz w:val="22"/>
          <w:szCs w:val="22"/>
          <w:lang w:eastAsia="en-US"/>
        </w:rPr>
        <w:t>ποσού αυτού</w:t>
      </w:r>
      <w:r w:rsidRPr="00393103">
        <w:rPr>
          <w:sz w:val="22"/>
          <w:szCs w:val="22"/>
          <w:lang w:eastAsia="en-US"/>
        </w:rPr>
        <w:t xml:space="preserve"> έγινε κυρίως για:</w:t>
      </w:r>
    </w:p>
    <w:p w:rsidR="00706087" w:rsidRPr="00393103" w:rsidRDefault="00706087" w:rsidP="00706087">
      <w:pPr>
        <w:jc w:val="both"/>
        <w:rPr>
          <w:sz w:val="22"/>
          <w:szCs w:val="22"/>
          <w:highlight w:val="yellow"/>
          <w:lang w:eastAsia="en-US"/>
        </w:rPr>
      </w:pPr>
    </w:p>
    <w:p w:rsidR="00706087" w:rsidRPr="00393103" w:rsidRDefault="00706087" w:rsidP="00706087">
      <w:pPr>
        <w:numPr>
          <w:ilvl w:val="0"/>
          <w:numId w:val="9"/>
        </w:numPr>
        <w:ind w:left="346" w:hanging="346"/>
        <w:jc w:val="both"/>
        <w:rPr>
          <w:bCs/>
          <w:sz w:val="22"/>
          <w:szCs w:val="22"/>
        </w:rPr>
      </w:pPr>
      <w:r w:rsidRPr="00393103">
        <w:rPr>
          <w:bCs/>
          <w:sz w:val="22"/>
          <w:szCs w:val="22"/>
        </w:rPr>
        <w:t>την ενίσχυση με ποσό ύψους 220 εκατ. ευρώ για την κάλυψη μέρους της συμμετοχής στην αύξ</w:t>
      </w:r>
      <w:r w:rsidRPr="00393103">
        <w:rPr>
          <w:bCs/>
          <w:sz w:val="22"/>
          <w:szCs w:val="22"/>
        </w:rPr>
        <w:t>η</w:t>
      </w:r>
      <w:r w:rsidRPr="00393103">
        <w:rPr>
          <w:bCs/>
          <w:sz w:val="22"/>
          <w:szCs w:val="22"/>
        </w:rPr>
        <w:t>ση του μετοχικού κεφαλαίου της ΔΕΣ ΑΔΜΗΕ ΑΕ, της οποίας μοναδικός μέτοχος είναι το Ελλ</w:t>
      </w:r>
      <w:r w:rsidRPr="00393103">
        <w:rPr>
          <w:bCs/>
          <w:sz w:val="22"/>
          <w:szCs w:val="22"/>
        </w:rPr>
        <w:t>η</w:t>
      </w:r>
      <w:r w:rsidRPr="00393103">
        <w:rPr>
          <w:bCs/>
          <w:sz w:val="22"/>
          <w:szCs w:val="22"/>
        </w:rPr>
        <w:t>νικό Δημόσιο,</w:t>
      </w:r>
    </w:p>
    <w:p w:rsidR="00706087" w:rsidRPr="00393103" w:rsidRDefault="00706087" w:rsidP="00706087">
      <w:pPr>
        <w:numPr>
          <w:ilvl w:val="0"/>
          <w:numId w:val="9"/>
        </w:numPr>
        <w:ind w:left="346" w:hanging="346"/>
        <w:jc w:val="both"/>
        <w:rPr>
          <w:bCs/>
          <w:sz w:val="22"/>
          <w:szCs w:val="22"/>
        </w:rPr>
      </w:pPr>
      <w:r w:rsidRPr="00393103">
        <w:rPr>
          <w:bCs/>
          <w:sz w:val="22"/>
          <w:szCs w:val="22"/>
        </w:rPr>
        <w:t>την κάλυψη δαπανών σε εκτέλεση δικαστικών αποφάσεων,</w:t>
      </w:r>
    </w:p>
    <w:p w:rsidR="00706087" w:rsidRPr="00393103" w:rsidRDefault="00706087" w:rsidP="00706087">
      <w:pPr>
        <w:numPr>
          <w:ilvl w:val="0"/>
          <w:numId w:val="9"/>
        </w:numPr>
        <w:ind w:left="346" w:hanging="346"/>
        <w:jc w:val="both"/>
        <w:rPr>
          <w:bCs/>
          <w:sz w:val="22"/>
          <w:szCs w:val="22"/>
        </w:rPr>
      </w:pPr>
      <w:r w:rsidRPr="00393103">
        <w:rPr>
          <w:bCs/>
          <w:sz w:val="22"/>
          <w:szCs w:val="22"/>
        </w:rPr>
        <w:t>τις επιχορηγήσεις σε συγκοινωνιακούς φορείς,</w:t>
      </w:r>
    </w:p>
    <w:p w:rsidR="00706087" w:rsidRPr="00393103" w:rsidRDefault="00706087" w:rsidP="00706087">
      <w:pPr>
        <w:numPr>
          <w:ilvl w:val="0"/>
          <w:numId w:val="9"/>
        </w:numPr>
        <w:ind w:left="346" w:hanging="346"/>
        <w:jc w:val="both"/>
        <w:rPr>
          <w:bCs/>
          <w:sz w:val="22"/>
          <w:szCs w:val="22"/>
        </w:rPr>
      </w:pPr>
      <w:r w:rsidRPr="00393103">
        <w:rPr>
          <w:bCs/>
          <w:sz w:val="22"/>
          <w:szCs w:val="22"/>
        </w:rPr>
        <w:t>τις επιστροφές στην ΕΕ από ανεκτέλεστα συγχρηματοδοτούμενα προγράμματα, λόγω μη επιλέξ</w:t>
      </w:r>
      <w:r w:rsidRPr="00393103">
        <w:rPr>
          <w:bCs/>
          <w:sz w:val="22"/>
          <w:szCs w:val="22"/>
        </w:rPr>
        <w:t>ι</w:t>
      </w:r>
      <w:r w:rsidRPr="00393103">
        <w:rPr>
          <w:bCs/>
          <w:sz w:val="22"/>
          <w:szCs w:val="22"/>
        </w:rPr>
        <w:t>μων δαπανών, διορθώσεων, ανακτήσεων κλπ., και</w:t>
      </w:r>
    </w:p>
    <w:p w:rsidR="00706087" w:rsidRPr="00393103" w:rsidRDefault="00706087" w:rsidP="00706087">
      <w:pPr>
        <w:numPr>
          <w:ilvl w:val="0"/>
          <w:numId w:val="9"/>
        </w:numPr>
        <w:ind w:left="346" w:hanging="346"/>
        <w:jc w:val="both"/>
        <w:rPr>
          <w:bCs/>
          <w:sz w:val="22"/>
          <w:szCs w:val="22"/>
        </w:rPr>
      </w:pPr>
      <w:r w:rsidRPr="00393103">
        <w:rPr>
          <w:bCs/>
          <w:sz w:val="22"/>
          <w:szCs w:val="22"/>
        </w:rPr>
        <w:t>την καταβολή περιβαλλοντικών προστίμων που επιβάλλονται από το Ευρωπαϊκό Δικαστήριο, λ</w:t>
      </w:r>
      <w:r w:rsidRPr="00393103">
        <w:rPr>
          <w:bCs/>
          <w:sz w:val="22"/>
          <w:szCs w:val="22"/>
        </w:rPr>
        <w:t>ό</w:t>
      </w:r>
      <w:r w:rsidRPr="00393103">
        <w:rPr>
          <w:bCs/>
          <w:sz w:val="22"/>
          <w:szCs w:val="22"/>
        </w:rPr>
        <w:t>γω μη συμμόρφωσης του Ελληνικού Δημοσίου για τη δημιουργία σχετικών υποδομών για τους χώρους ανεξέλεγκτης διάθεσης αποβλήτων (ΧΑΔΑ) και τα συστήματα συλλογής και επεξεργασ</w:t>
      </w:r>
      <w:r w:rsidRPr="00393103">
        <w:rPr>
          <w:bCs/>
          <w:sz w:val="22"/>
          <w:szCs w:val="22"/>
        </w:rPr>
        <w:t>ί</w:t>
      </w:r>
      <w:r w:rsidRPr="00393103">
        <w:rPr>
          <w:bCs/>
          <w:sz w:val="22"/>
          <w:szCs w:val="22"/>
        </w:rPr>
        <w:t>ας των αστικών λυμάτων.</w:t>
      </w:r>
    </w:p>
    <w:p w:rsidR="00706087" w:rsidRPr="00393103" w:rsidRDefault="00706087" w:rsidP="00706087">
      <w:pPr>
        <w:jc w:val="both"/>
        <w:rPr>
          <w:sz w:val="22"/>
          <w:szCs w:val="22"/>
        </w:rPr>
      </w:pPr>
    </w:p>
    <w:p w:rsidR="00706087" w:rsidRPr="00393103" w:rsidRDefault="00706087" w:rsidP="00706087">
      <w:pPr>
        <w:jc w:val="both"/>
        <w:rPr>
          <w:sz w:val="22"/>
          <w:szCs w:val="22"/>
          <w:lang w:eastAsia="en-US"/>
        </w:rPr>
      </w:pPr>
      <w:r w:rsidRPr="00393103">
        <w:rPr>
          <w:sz w:val="22"/>
          <w:szCs w:val="22"/>
          <w:lang w:eastAsia="en-US"/>
        </w:rPr>
        <w:t>Οι πιστώσεις ύψους 346 εκατ. ευρώ που απομένουν</w:t>
      </w:r>
      <w:r w:rsidR="00027FDC">
        <w:rPr>
          <w:sz w:val="22"/>
          <w:szCs w:val="22"/>
          <w:lang w:eastAsia="en-US"/>
        </w:rPr>
        <w:t xml:space="preserve"> στο αποθεματικό</w:t>
      </w:r>
      <w:r w:rsidRPr="00393103">
        <w:rPr>
          <w:sz w:val="22"/>
          <w:szCs w:val="22"/>
          <w:lang w:eastAsia="en-US"/>
        </w:rPr>
        <w:t xml:space="preserve"> θα καλύψουν δαπάνες έκτακτου χαρακτήρα.</w:t>
      </w:r>
    </w:p>
    <w:p w:rsidR="00706087" w:rsidRPr="00393103" w:rsidRDefault="00706087" w:rsidP="00706087">
      <w:pPr>
        <w:jc w:val="both"/>
        <w:rPr>
          <w:sz w:val="22"/>
          <w:szCs w:val="22"/>
          <w:highlight w:val="yellow"/>
          <w:lang w:eastAsia="en-US"/>
        </w:rPr>
      </w:pPr>
    </w:p>
    <w:p w:rsidR="00706087" w:rsidRPr="00393103" w:rsidRDefault="00706087" w:rsidP="00706087">
      <w:pPr>
        <w:jc w:val="both"/>
        <w:rPr>
          <w:rFonts w:ascii="Arial Narrow" w:hAnsi="Arial Narrow"/>
          <w:b/>
          <w:bCs/>
          <w:sz w:val="22"/>
          <w:szCs w:val="22"/>
        </w:rPr>
      </w:pPr>
      <w:r w:rsidRPr="00393103">
        <w:rPr>
          <w:rFonts w:ascii="Arial Narrow" w:hAnsi="Arial Narrow"/>
          <w:b/>
          <w:bCs/>
          <w:sz w:val="22"/>
          <w:szCs w:val="22"/>
        </w:rPr>
        <w:t>Μεταβιβαστικές πληρωμές</w:t>
      </w:r>
    </w:p>
    <w:p w:rsidR="00706087" w:rsidRPr="00393103" w:rsidRDefault="00706087" w:rsidP="00706087">
      <w:pPr>
        <w:jc w:val="both"/>
        <w:rPr>
          <w:sz w:val="22"/>
          <w:szCs w:val="22"/>
          <w:lang w:eastAsia="en-US"/>
        </w:rPr>
      </w:pPr>
    </w:p>
    <w:p w:rsidR="00706087" w:rsidRDefault="00706087" w:rsidP="00706087">
      <w:pPr>
        <w:jc w:val="both"/>
        <w:rPr>
          <w:sz w:val="22"/>
          <w:szCs w:val="22"/>
          <w:lang w:eastAsia="en-US"/>
        </w:rPr>
      </w:pPr>
      <w:r w:rsidRPr="00393103">
        <w:rPr>
          <w:sz w:val="22"/>
          <w:szCs w:val="22"/>
          <w:lang w:eastAsia="en-US"/>
        </w:rPr>
        <w:t xml:space="preserve">Οι δαπάνες της κατηγορίας αυτής εκτιμάται ότι θα διαμορφωθούν στα 22.292 εκατ. ευρώ, αυξημένες κατά 929 εκατ. ευρώ, έναντι του στόχου ΜΠΔΣ 2018-2021. Η </w:t>
      </w:r>
      <w:r w:rsidR="00027FDC">
        <w:rPr>
          <w:sz w:val="22"/>
          <w:szCs w:val="22"/>
          <w:lang w:eastAsia="en-US"/>
        </w:rPr>
        <w:t>υπέρβαση</w:t>
      </w:r>
      <w:r w:rsidRPr="00393103">
        <w:rPr>
          <w:sz w:val="22"/>
          <w:szCs w:val="22"/>
          <w:lang w:eastAsia="en-US"/>
        </w:rPr>
        <w:t xml:space="preserve"> αυτή οφείλεται κυρίως</w:t>
      </w:r>
      <w:r w:rsidRPr="00393103">
        <w:rPr>
          <w:bCs/>
          <w:sz w:val="22"/>
          <w:szCs w:val="22"/>
        </w:rPr>
        <w:t xml:space="preserve"> στις εκτιμήσεις για</w:t>
      </w:r>
      <w:r w:rsidR="00CE2712">
        <w:rPr>
          <w:bCs/>
          <w:sz w:val="22"/>
          <w:szCs w:val="22"/>
        </w:rPr>
        <w:t xml:space="preserve"> την καταβολή</w:t>
      </w:r>
      <w:r w:rsidRPr="00393103">
        <w:rPr>
          <w:sz w:val="22"/>
          <w:szCs w:val="22"/>
          <w:lang w:eastAsia="en-US"/>
        </w:rPr>
        <w:t>:</w:t>
      </w:r>
    </w:p>
    <w:p w:rsidR="00706087" w:rsidRPr="00393103" w:rsidRDefault="00706087" w:rsidP="00706087">
      <w:pPr>
        <w:jc w:val="both"/>
        <w:rPr>
          <w:sz w:val="22"/>
          <w:szCs w:val="22"/>
          <w:lang w:eastAsia="en-US"/>
        </w:rPr>
      </w:pPr>
    </w:p>
    <w:p w:rsidR="00706087" w:rsidRPr="00393103" w:rsidRDefault="00CE2712" w:rsidP="00706087">
      <w:pPr>
        <w:numPr>
          <w:ilvl w:val="0"/>
          <w:numId w:val="9"/>
        </w:numPr>
        <w:jc w:val="both"/>
        <w:rPr>
          <w:bCs/>
          <w:sz w:val="22"/>
          <w:szCs w:val="22"/>
        </w:rPr>
      </w:pPr>
      <w:r>
        <w:rPr>
          <w:bCs/>
          <w:sz w:val="22"/>
          <w:szCs w:val="22"/>
        </w:rPr>
        <w:t>της</w:t>
      </w:r>
      <w:r w:rsidR="00706087" w:rsidRPr="00393103">
        <w:rPr>
          <w:bCs/>
          <w:sz w:val="22"/>
          <w:szCs w:val="22"/>
        </w:rPr>
        <w:t xml:space="preserve"> επιστροφή</w:t>
      </w:r>
      <w:r>
        <w:rPr>
          <w:bCs/>
          <w:sz w:val="22"/>
          <w:szCs w:val="22"/>
        </w:rPr>
        <w:t>ς</w:t>
      </w:r>
      <w:r w:rsidR="00706087" w:rsidRPr="00393103">
        <w:rPr>
          <w:bCs/>
          <w:sz w:val="22"/>
          <w:szCs w:val="22"/>
        </w:rPr>
        <w:t xml:space="preserve"> εισφορών υγειο</w:t>
      </w:r>
      <w:r w:rsidR="003900A4">
        <w:rPr>
          <w:bCs/>
          <w:sz w:val="22"/>
          <w:szCs w:val="22"/>
        </w:rPr>
        <w:t xml:space="preserve">νομικής περίθαλψης </w:t>
      </w:r>
      <w:r>
        <w:rPr>
          <w:bCs/>
          <w:sz w:val="22"/>
          <w:szCs w:val="22"/>
        </w:rPr>
        <w:t xml:space="preserve">στους </w:t>
      </w:r>
      <w:r w:rsidR="003900A4">
        <w:rPr>
          <w:bCs/>
          <w:sz w:val="22"/>
          <w:szCs w:val="22"/>
        </w:rPr>
        <w:t>συνταξιούχ</w:t>
      </w:r>
      <w:r>
        <w:rPr>
          <w:bCs/>
          <w:sz w:val="22"/>
          <w:szCs w:val="22"/>
        </w:rPr>
        <w:t>ους</w:t>
      </w:r>
      <w:r w:rsidR="00706087" w:rsidRPr="00393103">
        <w:rPr>
          <w:bCs/>
          <w:sz w:val="22"/>
          <w:szCs w:val="22"/>
        </w:rPr>
        <w:t xml:space="preserve"> και</w:t>
      </w:r>
    </w:p>
    <w:p w:rsidR="00706087" w:rsidRPr="00393103" w:rsidRDefault="00706087" w:rsidP="00706087">
      <w:pPr>
        <w:numPr>
          <w:ilvl w:val="0"/>
          <w:numId w:val="9"/>
        </w:numPr>
        <w:jc w:val="both"/>
        <w:rPr>
          <w:bCs/>
          <w:sz w:val="22"/>
          <w:szCs w:val="22"/>
        </w:rPr>
      </w:pPr>
      <w:r w:rsidRPr="00393103">
        <w:rPr>
          <w:bCs/>
          <w:sz w:val="22"/>
          <w:szCs w:val="22"/>
        </w:rPr>
        <w:t>τη</w:t>
      </w:r>
      <w:r w:rsidR="00CE2712">
        <w:rPr>
          <w:bCs/>
          <w:sz w:val="22"/>
          <w:szCs w:val="22"/>
        </w:rPr>
        <w:t>ς</w:t>
      </w:r>
      <w:r w:rsidRPr="00393103">
        <w:rPr>
          <w:bCs/>
          <w:sz w:val="22"/>
          <w:szCs w:val="22"/>
        </w:rPr>
        <w:t xml:space="preserve"> χορήγηση</w:t>
      </w:r>
      <w:r w:rsidR="00CE2712">
        <w:rPr>
          <w:bCs/>
          <w:sz w:val="22"/>
          <w:szCs w:val="22"/>
        </w:rPr>
        <w:t>ς</w:t>
      </w:r>
      <w:r w:rsidRPr="00393103">
        <w:rPr>
          <w:bCs/>
          <w:sz w:val="22"/>
          <w:szCs w:val="22"/>
        </w:rPr>
        <w:t xml:space="preserve"> κοινωνικού μερίσματος </w:t>
      </w:r>
      <w:r w:rsidR="003900A4">
        <w:rPr>
          <w:bCs/>
          <w:sz w:val="22"/>
          <w:szCs w:val="22"/>
        </w:rPr>
        <w:t>για τη</w:t>
      </w:r>
      <w:r w:rsidRPr="00393103">
        <w:rPr>
          <w:bCs/>
          <w:sz w:val="22"/>
          <w:szCs w:val="22"/>
        </w:rPr>
        <w:t xml:space="preserve"> στήριξη των οικονομικά ευάλωτων νοικοκυριών. </w:t>
      </w:r>
    </w:p>
    <w:p w:rsidR="00706087" w:rsidRPr="00393103" w:rsidRDefault="00706087" w:rsidP="00706087">
      <w:pPr>
        <w:jc w:val="both"/>
        <w:rPr>
          <w:bCs/>
          <w:sz w:val="22"/>
          <w:szCs w:val="22"/>
        </w:rPr>
      </w:pPr>
    </w:p>
    <w:p w:rsidR="00706087" w:rsidRPr="00393103" w:rsidRDefault="00706087" w:rsidP="00706087">
      <w:pPr>
        <w:jc w:val="both"/>
        <w:rPr>
          <w:rFonts w:ascii="Arial Narrow" w:hAnsi="Arial Narrow"/>
          <w:b/>
          <w:bCs/>
          <w:sz w:val="22"/>
          <w:szCs w:val="22"/>
        </w:rPr>
      </w:pPr>
      <w:r w:rsidRPr="00393103">
        <w:rPr>
          <w:rFonts w:ascii="Arial Narrow" w:hAnsi="Arial Narrow"/>
          <w:b/>
          <w:bCs/>
          <w:sz w:val="22"/>
          <w:szCs w:val="22"/>
        </w:rPr>
        <w:t>Πληρωμές που αντικρίζονται από πραγματοποιούμενα έσοδα</w:t>
      </w:r>
    </w:p>
    <w:p w:rsidR="00706087" w:rsidRPr="00393103" w:rsidRDefault="00706087" w:rsidP="00706087">
      <w:pPr>
        <w:jc w:val="both"/>
        <w:rPr>
          <w:bCs/>
          <w:sz w:val="22"/>
          <w:szCs w:val="22"/>
          <w:lang w:eastAsia="en-US"/>
        </w:rPr>
      </w:pPr>
    </w:p>
    <w:p w:rsidR="00706087" w:rsidRPr="00393103" w:rsidRDefault="00706087" w:rsidP="00706087">
      <w:pPr>
        <w:jc w:val="both"/>
        <w:rPr>
          <w:sz w:val="22"/>
          <w:szCs w:val="22"/>
          <w:lang w:eastAsia="en-US"/>
        </w:rPr>
      </w:pPr>
      <w:r w:rsidRPr="00393103">
        <w:rPr>
          <w:sz w:val="22"/>
          <w:szCs w:val="22"/>
          <w:lang w:eastAsia="en-US"/>
        </w:rPr>
        <w:t xml:space="preserve">Οι δαπάνες </w:t>
      </w:r>
      <w:r w:rsidR="003900A4">
        <w:rPr>
          <w:sz w:val="22"/>
          <w:szCs w:val="22"/>
          <w:lang w:eastAsia="en-US"/>
        </w:rPr>
        <w:t xml:space="preserve">αυτές </w:t>
      </w:r>
      <w:r w:rsidRPr="00393103">
        <w:rPr>
          <w:sz w:val="22"/>
          <w:szCs w:val="22"/>
          <w:lang w:eastAsia="en-US"/>
        </w:rPr>
        <w:t xml:space="preserve">εκτιμάται ότι θα ανέλθουν στα 4.989 εκατ. ευρώ, μειωμένες κατά 39 εκατ. ευρώ </w:t>
      </w:r>
      <w:r w:rsidRPr="00393103">
        <w:rPr>
          <w:sz w:val="22"/>
          <w:szCs w:val="22"/>
          <w:lang w:eastAsia="en-US"/>
        </w:rPr>
        <w:t>έ</w:t>
      </w:r>
      <w:r w:rsidRPr="00393103">
        <w:rPr>
          <w:sz w:val="22"/>
          <w:szCs w:val="22"/>
          <w:lang w:eastAsia="en-US"/>
        </w:rPr>
        <w:t>ναντι του στόχου, κυρίως λόγω αναθεώρησης των εκτιμήσεων των αποδόσεων προς την Ευρωπαϊκή Ένωση (ΕΕ).</w:t>
      </w:r>
    </w:p>
    <w:p w:rsidR="003900A4" w:rsidRPr="00393103" w:rsidRDefault="003900A4" w:rsidP="00706087">
      <w:pPr>
        <w:jc w:val="both"/>
        <w:rPr>
          <w:sz w:val="22"/>
          <w:szCs w:val="22"/>
          <w:lang w:eastAsia="en-US"/>
        </w:rPr>
      </w:pPr>
    </w:p>
    <w:p w:rsidR="00706087" w:rsidRPr="00393103" w:rsidRDefault="00706087" w:rsidP="00706087">
      <w:pPr>
        <w:jc w:val="both"/>
        <w:rPr>
          <w:rFonts w:ascii="Arial Narrow" w:hAnsi="Arial Narrow"/>
          <w:b/>
          <w:bCs/>
          <w:sz w:val="22"/>
          <w:szCs w:val="22"/>
        </w:rPr>
      </w:pPr>
      <w:r w:rsidRPr="00393103">
        <w:rPr>
          <w:rFonts w:ascii="Arial Narrow" w:hAnsi="Arial Narrow"/>
          <w:b/>
          <w:bCs/>
          <w:sz w:val="22"/>
          <w:szCs w:val="22"/>
        </w:rPr>
        <w:t>Καταπτώσεις εγγυήσεων</w:t>
      </w:r>
    </w:p>
    <w:p w:rsidR="00706087" w:rsidRPr="00393103" w:rsidRDefault="00706087" w:rsidP="00706087">
      <w:pPr>
        <w:jc w:val="both"/>
        <w:rPr>
          <w:sz w:val="22"/>
          <w:szCs w:val="22"/>
        </w:rPr>
      </w:pPr>
    </w:p>
    <w:p w:rsidR="00706087" w:rsidRPr="00393103" w:rsidRDefault="00706087" w:rsidP="00706087">
      <w:pPr>
        <w:jc w:val="both"/>
        <w:rPr>
          <w:sz w:val="22"/>
          <w:szCs w:val="22"/>
          <w:lang w:eastAsia="en-US"/>
        </w:rPr>
      </w:pPr>
      <w:r w:rsidRPr="00393103">
        <w:rPr>
          <w:sz w:val="22"/>
          <w:szCs w:val="22"/>
          <w:lang w:eastAsia="en-US"/>
        </w:rPr>
        <w:t xml:space="preserve">Το συνολικό ύψος των δαπανών για καταπτώσεις εγγυήσεων προς φορείς εντός και εκτός Γενικής Κυβέρνησης εκτιμάται ότι θα διαμορφωθεί στα 890 εκατ. ευρώ, μειωμένο κατά 105 εκατ. ευρώ σε σχέση με το στόχο, λόγω </w:t>
      </w:r>
      <w:r w:rsidR="003900A4">
        <w:rPr>
          <w:sz w:val="22"/>
          <w:szCs w:val="22"/>
          <w:lang w:eastAsia="en-US"/>
        </w:rPr>
        <w:t>μείωσης</w:t>
      </w:r>
      <w:r w:rsidRPr="00393103">
        <w:rPr>
          <w:sz w:val="22"/>
          <w:szCs w:val="22"/>
          <w:lang w:eastAsia="en-US"/>
        </w:rPr>
        <w:t xml:space="preserve"> των καταπτώσεων εγγυήσεων </w:t>
      </w:r>
      <w:r w:rsidR="003900A4">
        <w:rPr>
          <w:sz w:val="22"/>
          <w:szCs w:val="22"/>
          <w:lang w:eastAsia="en-US"/>
        </w:rPr>
        <w:t xml:space="preserve">σε </w:t>
      </w:r>
      <w:r w:rsidRPr="00393103">
        <w:rPr>
          <w:sz w:val="22"/>
          <w:szCs w:val="22"/>
          <w:lang w:eastAsia="en-US"/>
        </w:rPr>
        <w:t>φορείς εκτός της Γενικής Κυβέ</w:t>
      </w:r>
      <w:r w:rsidRPr="00393103">
        <w:rPr>
          <w:sz w:val="22"/>
          <w:szCs w:val="22"/>
          <w:lang w:eastAsia="en-US"/>
        </w:rPr>
        <w:t>ρ</w:t>
      </w:r>
      <w:r w:rsidRPr="00393103">
        <w:rPr>
          <w:sz w:val="22"/>
          <w:szCs w:val="22"/>
          <w:lang w:eastAsia="en-US"/>
        </w:rPr>
        <w:t>νησης.</w:t>
      </w:r>
    </w:p>
    <w:p w:rsidR="00706087" w:rsidRPr="00393103" w:rsidRDefault="00706087" w:rsidP="00706087">
      <w:pPr>
        <w:jc w:val="both"/>
        <w:rPr>
          <w:rFonts w:ascii="Arial Narrow" w:hAnsi="Arial Narrow"/>
          <w:b/>
          <w:bCs/>
          <w:sz w:val="22"/>
          <w:szCs w:val="22"/>
        </w:rPr>
      </w:pPr>
    </w:p>
    <w:p w:rsidR="00706087" w:rsidRPr="00393103" w:rsidRDefault="00706087" w:rsidP="00706087">
      <w:pPr>
        <w:jc w:val="both"/>
        <w:rPr>
          <w:rFonts w:ascii="Arial Narrow" w:hAnsi="Arial Narrow"/>
          <w:b/>
          <w:bCs/>
          <w:sz w:val="22"/>
          <w:szCs w:val="22"/>
        </w:rPr>
      </w:pPr>
      <w:r w:rsidRPr="00393103">
        <w:rPr>
          <w:rFonts w:ascii="Arial Narrow" w:hAnsi="Arial Narrow"/>
          <w:b/>
          <w:bCs/>
          <w:sz w:val="22"/>
          <w:szCs w:val="22"/>
        </w:rPr>
        <w:t>Δαπάνες ανάληψης δανείων από τον Ευρωπαϊκό Μηχανισμό Στήριξης (ΕΜΣ) και παράλληλες δαπάνες εξυπηρέτησης δημοσίου χρέους</w:t>
      </w:r>
    </w:p>
    <w:p w:rsidR="00706087" w:rsidRPr="00393103" w:rsidRDefault="00706087" w:rsidP="00706087">
      <w:pPr>
        <w:jc w:val="both"/>
        <w:rPr>
          <w:bCs/>
          <w:sz w:val="22"/>
          <w:szCs w:val="22"/>
        </w:rPr>
      </w:pPr>
    </w:p>
    <w:p w:rsidR="00706087" w:rsidRPr="00393103" w:rsidRDefault="00706087" w:rsidP="00706087">
      <w:pPr>
        <w:jc w:val="both"/>
        <w:rPr>
          <w:sz w:val="22"/>
          <w:szCs w:val="22"/>
          <w:lang w:eastAsia="en-US"/>
        </w:rPr>
      </w:pPr>
      <w:r w:rsidRPr="00393103">
        <w:rPr>
          <w:sz w:val="22"/>
          <w:szCs w:val="22"/>
          <w:lang w:eastAsia="en-US"/>
        </w:rPr>
        <w:t>Οι δαπάνες της κατηγορίας αυτής εκτιμάται ότι θα διαμορφωθούν σε 75 εκατ. ευρώ, στο ύψος του στόχου του ΜΠΔΣ 2018-2021</w:t>
      </w:r>
    </w:p>
    <w:p w:rsidR="00706087" w:rsidRDefault="00706087" w:rsidP="00706087">
      <w:pPr>
        <w:jc w:val="both"/>
        <w:rPr>
          <w:rFonts w:ascii="Arial Narrow" w:hAnsi="Arial Narrow"/>
          <w:b/>
          <w:bCs/>
          <w:sz w:val="22"/>
          <w:szCs w:val="22"/>
        </w:rPr>
      </w:pPr>
    </w:p>
    <w:p w:rsidR="00D16A56" w:rsidRDefault="00D16A56" w:rsidP="00706087">
      <w:pPr>
        <w:jc w:val="both"/>
        <w:rPr>
          <w:rFonts w:ascii="Arial Narrow" w:hAnsi="Arial Narrow"/>
          <w:b/>
          <w:bCs/>
          <w:sz w:val="22"/>
          <w:szCs w:val="22"/>
        </w:rPr>
      </w:pPr>
    </w:p>
    <w:p w:rsidR="00D16A56" w:rsidRPr="00393103" w:rsidRDefault="00D16A56" w:rsidP="00706087">
      <w:pPr>
        <w:jc w:val="both"/>
        <w:rPr>
          <w:rFonts w:ascii="Arial Narrow" w:hAnsi="Arial Narrow"/>
          <w:b/>
          <w:bCs/>
          <w:sz w:val="22"/>
          <w:szCs w:val="22"/>
        </w:rPr>
      </w:pPr>
    </w:p>
    <w:p w:rsidR="004F26BD" w:rsidRPr="00011674" w:rsidRDefault="004F26BD" w:rsidP="00AA61DA">
      <w:pPr>
        <w:jc w:val="both"/>
        <w:rPr>
          <w:bCs/>
          <w:sz w:val="22"/>
          <w:szCs w:val="22"/>
        </w:rPr>
      </w:pPr>
    </w:p>
    <w:tbl>
      <w:tblPr>
        <w:tblW w:w="8999" w:type="dxa"/>
        <w:tblInd w:w="101" w:type="dxa"/>
        <w:tblCellMar>
          <w:left w:w="28" w:type="dxa"/>
          <w:right w:w="28" w:type="dxa"/>
        </w:tblCellMar>
        <w:tblLook w:val="04A0" w:firstRow="1" w:lastRow="0" w:firstColumn="1" w:lastColumn="0" w:noHBand="0" w:noVBand="1"/>
      </w:tblPr>
      <w:tblGrid>
        <w:gridCol w:w="4180"/>
        <w:gridCol w:w="850"/>
        <w:gridCol w:w="851"/>
        <w:gridCol w:w="993"/>
        <w:gridCol w:w="900"/>
        <w:gridCol w:w="640"/>
        <w:gridCol w:w="585"/>
      </w:tblGrid>
      <w:tr w:rsidR="005A7E90" w:rsidRPr="00911867" w:rsidTr="00830B6F">
        <w:trPr>
          <w:trHeight w:val="825"/>
        </w:trPr>
        <w:tc>
          <w:tcPr>
            <w:tcW w:w="8999" w:type="dxa"/>
            <w:gridSpan w:val="7"/>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vAlign w:val="bottom"/>
            <w:hideMark/>
          </w:tcPr>
          <w:p w:rsidR="005A7E90" w:rsidRPr="00911867" w:rsidRDefault="003A6110" w:rsidP="0059472C">
            <w:pPr>
              <w:jc w:val="center"/>
              <w:rPr>
                <w:rFonts w:ascii="Arial Narrow" w:hAnsi="Arial Narrow"/>
                <w:b/>
                <w:bCs/>
                <w:color w:val="FFFFFF"/>
              </w:rPr>
            </w:pPr>
            <w:r>
              <w:rPr>
                <w:rFonts w:ascii="Arial Narrow" w:hAnsi="Arial Narrow"/>
                <w:b/>
                <w:bCs/>
                <w:color w:val="FFFFFF"/>
              </w:rPr>
              <w:t>Πίνακας 3.8</w:t>
            </w:r>
            <w:r w:rsidR="005A7E90" w:rsidRPr="00911867">
              <w:rPr>
                <w:rFonts w:ascii="Arial Narrow" w:hAnsi="Arial Narrow"/>
                <w:b/>
                <w:bCs/>
                <w:color w:val="FFFFFF"/>
              </w:rPr>
              <w:t xml:space="preserve">  Μεταβιβάσεις Τακτικού Προϋπολογισμού σε φορείς</w:t>
            </w:r>
          </w:p>
          <w:p w:rsidR="005A7E90" w:rsidRPr="00911867" w:rsidRDefault="005A7E90" w:rsidP="0059472C">
            <w:pPr>
              <w:jc w:val="center"/>
              <w:rPr>
                <w:rFonts w:ascii="Arial Narrow" w:hAnsi="Arial Narrow"/>
                <w:b/>
                <w:bCs/>
                <w:color w:val="FFFFFF"/>
              </w:rPr>
            </w:pPr>
            <w:r w:rsidRPr="00911867">
              <w:rPr>
                <w:rFonts w:ascii="Arial Narrow" w:hAnsi="Arial Narrow"/>
                <w:b/>
                <w:bCs/>
                <w:color w:val="FFFFFF"/>
              </w:rPr>
              <w:t>εντός και εκτός της Γενικής Κυβέρνησης</w:t>
            </w:r>
            <w:r w:rsidRPr="00911867">
              <w:rPr>
                <w:rFonts w:ascii="Arial Narrow" w:hAnsi="Arial Narrow"/>
                <w:b/>
                <w:bCs/>
                <w:color w:val="FFFFFF"/>
              </w:rPr>
              <w:br/>
              <w:t>(σε εκατ. ευρώ)</w:t>
            </w:r>
          </w:p>
        </w:tc>
      </w:tr>
      <w:tr w:rsidR="00830B6F" w:rsidRPr="00911867" w:rsidTr="00830B6F">
        <w:trPr>
          <w:trHeight w:val="113"/>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830B6F" w:rsidRPr="00911867" w:rsidRDefault="00830B6F" w:rsidP="0059472C">
            <w:pPr>
              <w:rPr>
                <w:rFonts w:ascii="Arial Narrow" w:hAnsi="Arial Narrow"/>
                <w:color w:val="FFFFFF"/>
                <w:sz w:val="14"/>
                <w:szCs w:val="20"/>
              </w:rPr>
            </w:pPr>
            <w:r w:rsidRPr="00911867">
              <w:rPr>
                <w:rFonts w:ascii="Arial Narrow" w:hAnsi="Arial Narrow"/>
                <w:color w:val="FFFFFF"/>
                <w:sz w:val="14"/>
                <w:szCs w:val="20"/>
              </w:rPr>
              <w:t> </w:t>
            </w:r>
          </w:p>
        </w:tc>
        <w:tc>
          <w:tcPr>
            <w:tcW w:w="850" w:type="dxa"/>
            <w:tcBorders>
              <w:top w:val="nil"/>
              <w:left w:val="nil"/>
              <w:bottom w:val="single" w:sz="4" w:space="0" w:color="auto"/>
            </w:tcBorders>
            <w:shd w:val="clear" w:color="auto" w:fill="auto"/>
            <w:noWrap/>
            <w:tcMar>
              <w:left w:w="28" w:type="dxa"/>
              <w:right w:w="28" w:type="dxa"/>
            </w:tcMar>
            <w:vAlign w:val="bottom"/>
            <w:hideMark/>
          </w:tcPr>
          <w:p w:rsidR="00830B6F" w:rsidRPr="00911867" w:rsidRDefault="00830B6F" w:rsidP="0059472C">
            <w:pPr>
              <w:rPr>
                <w:rFonts w:ascii="Arial Narrow" w:hAnsi="Arial Narrow"/>
                <w:color w:val="FFFFFF"/>
                <w:sz w:val="14"/>
                <w:szCs w:val="20"/>
              </w:rPr>
            </w:pPr>
          </w:p>
        </w:tc>
        <w:tc>
          <w:tcPr>
            <w:tcW w:w="851" w:type="dxa"/>
            <w:tcBorders>
              <w:top w:val="nil"/>
              <w:left w:val="nil"/>
              <w:bottom w:val="single" w:sz="4" w:space="0" w:color="auto"/>
              <w:right w:val="nil"/>
            </w:tcBorders>
            <w:shd w:val="clear" w:color="auto" w:fill="auto"/>
            <w:vAlign w:val="bottom"/>
          </w:tcPr>
          <w:p w:rsidR="00830B6F" w:rsidRPr="00911867" w:rsidRDefault="00830B6F" w:rsidP="0059472C">
            <w:pPr>
              <w:rPr>
                <w:rFonts w:ascii="Arial Narrow" w:hAnsi="Arial Narrow"/>
                <w:color w:val="FFFFFF"/>
                <w:sz w:val="14"/>
                <w:szCs w:val="20"/>
              </w:rPr>
            </w:pPr>
          </w:p>
        </w:tc>
        <w:tc>
          <w:tcPr>
            <w:tcW w:w="993" w:type="dxa"/>
            <w:tcBorders>
              <w:top w:val="nil"/>
              <w:left w:val="nil"/>
              <w:bottom w:val="nil"/>
              <w:right w:val="nil"/>
            </w:tcBorders>
            <w:shd w:val="clear" w:color="auto" w:fill="auto"/>
            <w:noWrap/>
            <w:tcMar>
              <w:left w:w="28" w:type="dxa"/>
              <w:right w:w="28" w:type="dxa"/>
            </w:tcMar>
            <w:vAlign w:val="bottom"/>
            <w:hideMark/>
          </w:tcPr>
          <w:p w:rsidR="00830B6F" w:rsidRPr="00911867" w:rsidRDefault="00830B6F" w:rsidP="0059472C">
            <w:pPr>
              <w:rPr>
                <w:rFonts w:ascii="Arial Narrow" w:hAnsi="Arial Narrow"/>
                <w:color w:val="FFFFFF"/>
                <w:sz w:val="14"/>
                <w:szCs w:val="20"/>
              </w:rPr>
            </w:pPr>
          </w:p>
        </w:tc>
        <w:tc>
          <w:tcPr>
            <w:tcW w:w="900" w:type="dxa"/>
            <w:tcBorders>
              <w:top w:val="nil"/>
              <w:left w:val="nil"/>
              <w:bottom w:val="nil"/>
              <w:right w:val="nil"/>
            </w:tcBorders>
            <w:shd w:val="clear" w:color="auto" w:fill="auto"/>
            <w:noWrap/>
            <w:tcMar>
              <w:left w:w="28" w:type="dxa"/>
              <w:right w:w="28" w:type="dxa"/>
            </w:tcMar>
            <w:vAlign w:val="bottom"/>
            <w:hideMark/>
          </w:tcPr>
          <w:p w:rsidR="00830B6F" w:rsidRPr="00911867" w:rsidRDefault="00830B6F" w:rsidP="0059472C">
            <w:pPr>
              <w:rPr>
                <w:rFonts w:ascii="Arial Narrow" w:hAnsi="Arial Narrow"/>
                <w:color w:val="FFFFFF"/>
                <w:sz w:val="14"/>
                <w:szCs w:val="20"/>
              </w:rPr>
            </w:pPr>
          </w:p>
        </w:tc>
        <w:tc>
          <w:tcPr>
            <w:tcW w:w="640" w:type="dxa"/>
            <w:tcBorders>
              <w:top w:val="nil"/>
              <w:left w:val="nil"/>
              <w:bottom w:val="single" w:sz="4" w:space="0" w:color="auto"/>
              <w:right w:val="nil"/>
            </w:tcBorders>
            <w:shd w:val="clear" w:color="auto" w:fill="auto"/>
            <w:noWrap/>
            <w:tcMar>
              <w:left w:w="28" w:type="dxa"/>
              <w:right w:w="28" w:type="dxa"/>
            </w:tcMar>
            <w:vAlign w:val="bottom"/>
            <w:hideMark/>
          </w:tcPr>
          <w:p w:rsidR="00830B6F" w:rsidRPr="00911867" w:rsidRDefault="00830B6F" w:rsidP="0059472C">
            <w:pPr>
              <w:rPr>
                <w:rFonts w:ascii="Arial Narrow" w:hAnsi="Arial Narrow"/>
                <w:color w:val="FFFFFF"/>
                <w:sz w:val="14"/>
                <w:szCs w:val="20"/>
              </w:rPr>
            </w:pPr>
          </w:p>
        </w:tc>
        <w:tc>
          <w:tcPr>
            <w:tcW w:w="58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830B6F" w:rsidRPr="00911867" w:rsidRDefault="00830B6F" w:rsidP="0059472C">
            <w:pPr>
              <w:rPr>
                <w:rFonts w:ascii="Arial Narrow" w:hAnsi="Arial Narrow"/>
                <w:color w:val="FFFFFF"/>
                <w:sz w:val="14"/>
                <w:szCs w:val="20"/>
              </w:rPr>
            </w:pPr>
            <w:r w:rsidRPr="00911867">
              <w:rPr>
                <w:rFonts w:ascii="Arial Narrow" w:hAnsi="Arial Narrow"/>
                <w:color w:val="FFFFFF"/>
                <w:sz w:val="14"/>
                <w:szCs w:val="20"/>
              </w:rPr>
              <w:t> </w:t>
            </w:r>
          </w:p>
        </w:tc>
      </w:tr>
      <w:tr w:rsidR="00830B6F" w:rsidRPr="00911867" w:rsidTr="0059472C">
        <w:trPr>
          <w:trHeight w:val="227"/>
        </w:trPr>
        <w:tc>
          <w:tcPr>
            <w:tcW w:w="4180" w:type="dxa"/>
            <w:tcBorders>
              <w:top w:val="single" w:sz="4" w:space="0" w:color="auto"/>
              <w:left w:val="single" w:sz="4" w:space="0" w:color="auto"/>
              <w:bottom w:val="nil"/>
              <w:right w:val="nil"/>
            </w:tcBorders>
            <w:shd w:val="clear" w:color="auto" w:fill="auto"/>
            <w:tcMar>
              <w:left w:w="28" w:type="dxa"/>
              <w:right w:w="28" w:type="dxa"/>
            </w:tcMar>
            <w:vAlign w:val="center"/>
            <w:hideMark/>
          </w:tcPr>
          <w:p w:rsidR="00830B6F" w:rsidRPr="00911867" w:rsidRDefault="00830B6F" w:rsidP="0059472C">
            <w:pPr>
              <w:jc w:val="center"/>
              <w:rPr>
                <w:rFonts w:ascii="Arial Narrow" w:hAnsi="Arial Narrow"/>
                <w:sz w:val="16"/>
                <w:szCs w:val="16"/>
              </w:rPr>
            </w:pPr>
            <w:r w:rsidRPr="00911867">
              <w:rPr>
                <w:rFonts w:ascii="Arial Narrow" w:hAnsi="Arial Narrow"/>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0B6F" w:rsidRPr="003A6110" w:rsidRDefault="00830B6F" w:rsidP="0059472C">
            <w:pPr>
              <w:jc w:val="center"/>
              <w:rPr>
                <w:rFonts w:ascii="Arial Narrow" w:hAnsi="Arial Narrow"/>
                <w:b/>
                <w:bCs/>
                <w:sz w:val="16"/>
                <w:szCs w:val="16"/>
              </w:rPr>
            </w:pPr>
            <w:r w:rsidRPr="00911867">
              <w:rPr>
                <w:rFonts w:ascii="Arial Narrow" w:hAnsi="Arial Narrow"/>
                <w:b/>
                <w:bCs/>
                <w:sz w:val="16"/>
                <w:szCs w:val="16"/>
              </w:rPr>
              <w:t>201</w:t>
            </w:r>
            <w:r w:rsidRPr="003A6110">
              <w:rPr>
                <w:rFonts w:ascii="Arial Narrow" w:hAnsi="Arial Narrow"/>
                <w:b/>
                <w:bCs/>
                <w:sz w:val="16"/>
                <w:szCs w:val="16"/>
              </w:rPr>
              <w:t>6</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B6F" w:rsidRPr="00911867" w:rsidRDefault="00830B6F" w:rsidP="00830B6F">
            <w:pPr>
              <w:jc w:val="center"/>
              <w:rPr>
                <w:rFonts w:ascii="Arial Narrow" w:hAnsi="Arial Narrow"/>
                <w:b/>
                <w:bCs/>
                <w:sz w:val="16"/>
                <w:szCs w:val="16"/>
              </w:rPr>
            </w:pPr>
            <w:r>
              <w:rPr>
                <w:rFonts w:ascii="Arial Narrow" w:hAnsi="Arial Narrow"/>
                <w:b/>
                <w:bCs/>
                <w:sz w:val="16"/>
                <w:szCs w:val="16"/>
              </w:rPr>
              <w:t>2017</w:t>
            </w:r>
          </w:p>
        </w:tc>
        <w:tc>
          <w:tcPr>
            <w:tcW w:w="90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0B6F" w:rsidRPr="00911867" w:rsidRDefault="00830B6F" w:rsidP="0059472C">
            <w:pPr>
              <w:jc w:val="center"/>
              <w:rPr>
                <w:rFonts w:ascii="Arial Narrow" w:hAnsi="Arial Narrow"/>
                <w:b/>
                <w:bCs/>
                <w:sz w:val="16"/>
                <w:szCs w:val="16"/>
              </w:rPr>
            </w:pPr>
            <w:r w:rsidRPr="00911867">
              <w:rPr>
                <w:rFonts w:ascii="Arial Narrow" w:hAnsi="Arial Narrow"/>
                <w:b/>
                <w:bCs/>
                <w:sz w:val="16"/>
                <w:szCs w:val="16"/>
              </w:rPr>
              <w:t>201</w:t>
            </w:r>
            <w:r>
              <w:rPr>
                <w:rFonts w:ascii="Arial Narrow" w:hAnsi="Arial Narrow"/>
                <w:b/>
                <w:bCs/>
                <w:sz w:val="16"/>
                <w:szCs w:val="16"/>
              </w:rPr>
              <w:t>8</w:t>
            </w:r>
          </w:p>
        </w:tc>
        <w:tc>
          <w:tcPr>
            <w:tcW w:w="1225"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30B6F" w:rsidRPr="00911867" w:rsidRDefault="00830B6F" w:rsidP="0059472C">
            <w:pPr>
              <w:jc w:val="center"/>
              <w:rPr>
                <w:rFonts w:ascii="Arial Narrow" w:hAnsi="Arial Narrow"/>
                <w:b/>
                <w:bCs/>
                <w:sz w:val="16"/>
                <w:szCs w:val="16"/>
              </w:rPr>
            </w:pPr>
            <w:r w:rsidRPr="00911867">
              <w:rPr>
                <w:rFonts w:ascii="Arial Narrow" w:hAnsi="Arial Narrow"/>
                <w:b/>
                <w:bCs/>
                <w:sz w:val="16"/>
                <w:szCs w:val="16"/>
              </w:rPr>
              <w:t>Μεταβολή %</w:t>
            </w:r>
          </w:p>
        </w:tc>
      </w:tr>
      <w:tr w:rsidR="00830B6F" w:rsidRPr="00911867" w:rsidTr="00830B6F">
        <w:trPr>
          <w:trHeight w:val="393"/>
        </w:trPr>
        <w:tc>
          <w:tcPr>
            <w:tcW w:w="4180" w:type="dxa"/>
            <w:tcBorders>
              <w:top w:val="nil"/>
              <w:left w:val="single" w:sz="4" w:space="0" w:color="auto"/>
              <w:bottom w:val="single" w:sz="4" w:space="0" w:color="auto"/>
              <w:right w:val="nil"/>
            </w:tcBorders>
            <w:shd w:val="clear" w:color="auto" w:fill="auto"/>
            <w:tcMar>
              <w:left w:w="28" w:type="dxa"/>
              <w:right w:w="28" w:type="dxa"/>
            </w:tcMar>
            <w:vAlign w:val="center"/>
            <w:hideMark/>
          </w:tcPr>
          <w:p w:rsidR="00830B6F" w:rsidRPr="003A6110" w:rsidRDefault="00830B6F" w:rsidP="0059472C">
            <w:pPr>
              <w:jc w:val="both"/>
              <w:rPr>
                <w:rFonts w:ascii="Arial Narrow" w:hAnsi="Arial Narro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0B6F" w:rsidRPr="00911867" w:rsidRDefault="00830B6F" w:rsidP="0059472C">
            <w:pPr>
              <w:jc w:val="center"/>
              <w:rPr>
                <w:rFonts w:ascii="Arial Narrow" w:hAnsi="Arial Narrow"/>
                <w:b/>
                <w:bCs/>
                <w:sz w:val="16"/>
                <w:szCs w:val="16"/>
              </w:rPr>
            </w:pPr>
            <w:r w:rsidRPr="00911867">
              <w:rPr>
                <w:rFonts w:ascii="Arial Narrow" w:hAnsi="Arial Narrow"/>
                <w:b/>
                <w:bCs/>
                <w:sz w:val="16"/>
                <w:szCs w:val="16"/>
              </w:rPr>
              <w:t>Πραγμ/σεις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0B6F" w:rsidRPr="00911867" w:rsidRDefault="00830B6F" w:rsidP="00830B6F">
            <w:pPr>
              <w:jc w:val="center"/>
              <w:rPr>
                <w:rFonts w:ascii="Arial Narrow" w:hAnsi="Arial Narrow"/>
                <w:b/>
                <w:bCs/>
                <w:sz w:val="16"/>
                <w:szCs w:val="16"/>
              </w:rPr>
            </w:pPr>
            <w:r>
              <w:rPr>
                <w:rFonts w:ascii="Arial Narrow" w:hAnsi="Arial Narrow"/>
                <w:b/>
                <w:bCs/>
                <w:sz w:val="16"/>
                <w:szCs w:val="16"/>
              </w:rPr>
              <w:t>Προβλέψεις ΜΠΔΣ</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30B6F" w:rsidRPr="00911867" w:rsidRDefault="00830B6F" w:rsidP="0059472C">
            <w:pPr>
              <w:jc w:val="center"/>
              <w:rPr>
                <w:rFonts w:ascii="Arial Narrow" w:hAnsi="Arial Narrow"/>
                <w:b/>
                <w:bCs/>
                <w:sz w:val="16"/>
                <w:szCs w:val="16"/>
              </w:rPr>
            </w:pPr>
            <w:r w:rsidRPr="00911867">
              <w:rPr>
                <w:rFonts w:ascii="Arial Narrow" w:hAnsi="Arial Narrow"/>
                <w:b/>
                <w:bCs/>
                <w:sz w:val="16"/>
                <w:szCs w:val="16"/>
              </w:rPr>
              <w:t>Εκτιμήσεις πραγματ/σεων</w:t>
            </w:r>
          </w:p>
        </w:tc>
        <w:tc>
          <w:tcPr>
            <w:tcW w:w="9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30B6F" w:rsidRPr="00911867" w:rsidRDefault="00830B6F" w:rsidP="0059472C">
            <w:pPr>
              <w:jc w:val="center"/>
              <w:rPr>
                <w:rFonts w:ascii="Arial Narrow" w:hAnsi="Arial Narrow"/>
                <w:b/>
                <w:bCs/>
                <w:sz w:val="16"/>
                <w:szCs w:val="16"/>
              </w:rPr>
            </w:pPr>
            <w:r w:rsidRPr="00911867">
              <w:rPr>
                <w:rFonts w:ascii="Arial Narrow" w:hAnsi="Arial Narrow"/>
                <w:b/>
                <w:bCs/>
                <w:sz w:val="16"/>
                <w:szCs w:val="16"/>
              </w:rPr>
              <w:t>Προβλέψεις</w:t>
            </w:r>
          </w:p>
        </w:tc>
        <w:tc>
          <w:tcPr>
            <w:tcW w:w="6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0B6F" w:rsidRPr="00911867" w:rsidRDefault="00830B6F" w:rsidP="0059472C">
            <w:pPr>
              <w:jc w:val="center"/>
              <w:rPr>
                <w:rFonts w:ascii="Arial Narrow" w:hAnsi="Arial Narrow"/>
                <w:b/>
                <w:bCs/>
                <w:sz w:val="16"/>
                <w:szCs w:val="16"/>
              </w:rPr>
            </w:pPr>
            <w:r>
              <w:rPr>
                <w:rFonts w:ascii="Arial Narrow" w:hAnsi="Arial Narrow"/>
                <w:b/>
                <w:bCs/>
                <w:sz w:val="16"/>
                <w:szCs w:val="16"/>
              </w:rPr>
              <w:t>2017</w:t>
            </w:r>
            <w:r w:rsidRPr="00911867">
              <w:rPr>
                <w:rFonts w:ascii="Arial Narrow" w:hAnsi="Arial Narrow"/>
                <w:b/>
                <w:bCs/>
                <w:sz w:val="16"/>
                <w:szCs w:val="16"/>
              </w:rPr>
              <w:t>/1</w:t>
            </w:r>
            <w:r>
              <w:rPr>
                <w:rFonts w:ascii="Arial Narrow" w:hAnsi="Arial Narrow"/>
                <w:b/>
                <w:bCs/>
                <w:sz w:val="16"/>
                <w:szCs w:val="16"/>
              </w:rPr>
              <w:t>6</w:t>
            </w:r>
          </w:p>
        </w:tc>
        <w:tc>
          <w:tcPr>
            <w:tcW w:w="5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0B6F" w:rsidRPr="00911867" w:rsidRDefault="00830B6F" w:rsidP="0059472C">
            <w:pPr>
              <w:jc w:val="center"/>
              <w:rPr>
                <w:rFonts w:ascii="Arial Narrow" w:hAnsi="Arial Narrow"/>
                <w:b/>
                <w:bCs/>
                <w:sz w:val="16"/>
                <w:szCs w:val="16"/>
              </w:rPr>
            </w:pPr>
            <w:r>
              <w:rPr>
                <w:rFonts w:ascii="Arial Narrow" w:hAnsi="Arial Narrow"/>
                <w:b/>
                <w:bCs/>
                <w:sz w:val="16"/>
                <w:szCs w:val="16"/>
              </w:rPr>
              <w:t>2018</w:t>
            </w:r>
            <w:r w:rsidRPr="00911867">
              <w:rPr>
                <w:rFonts w:ascii="Arial Narrow" w:hAnsi="Arial Narrow"/>
                <w:b/>
                <w:bCs/>
                <w:sz w:val="16"/>
                <w:szCs w:val="16"/>
              </w:rPr>
              <w:t>/1</w:t>
            </w:r>
            <w:r>
              <w:rPr>
                <w:rFonts w:ascii="Arial Narrow" w:hAnsi="Arial Narrow"/>
                <w:b/>
                <w:bCs/>
                <w:sz w:val="16"/>
                <w:szCs w:val="16"/>
              </w:rPr>
              <w:t>7</w:t>
            </w:r>
          </w:p>
        </w:tc>
      </w:tr>
      <w:tr w:rsidR="00830B6F" w:rsidRPr="00170BE6" w:rsidTr="0059472C">
        <w:trPr>
          <w:trHeight w:val="255"/>
        </w:trPr>
        <w:tc>
          <w:tcPr>
            <w:tcW w:w="8999" w:type="dxa"/>
            <w:gridSpan w:val="7"/>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bottom"/>
            <w:hideMark/>
          </w:tcPr>
          <w:p w:rsidR="00830B6F" w:rsidRPr="00170BE6" w:rsidRDefault="00830B6F" w:rsidP="0059472C">
            <w:pPr>
              <w:spacing w:before="60" w:after="60"/>
              <w:jc w:val="center"/>
              <w:rPr>
                <w:rFonts w:ascii="Arial Narrow" w:hAnsi="Arial Narrow"/>
                <w:b/>
                <w:bCs/>
                <w:sz w:val="16"/>
                <w:szCs w:val="16"/>
              </w:rPr>
            </w:pPr>
            <w:r>
              <w:rPr>
                <w:rFonts w:ascii="Arial Narrow" w:hAnsi="Arial Narrow"/>
                <w:b/>
                <w:bCs/>
                <w:sz w:val="16"/>
                <w:szCs w:val="16"/>
              </w:rPr>
              <w:t>ΕΠΙΧΟΡΗΓΗΣΕΙΣ ΦΟΡΕΩΝ από ΤΑΚΤΙΚΟ ΠΡΟΫΠΟΛΟΓΙΣΜΟ</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Default="0059472C" w:rsidP="0059472C">
            <w:pPr>
              <w:ind w:left="183" w:hanging="183"/>
              <w:rPr>
                <w:rFonts w:ascii="Arial Narrow" w:hAnsi="Arial Narrow"/>
                <w:color w:val="000000"/>
                <w:sz w:val="16"/>
                <w:szCs w:val="16"/>
              </w:rPr>
            </w:pPr>
            <w:r>
              <w:rPr>
                <w:rFonts w:ascii="Arial Narrow" w:hAnsi="Arial Narrow"/>
                <w:color w:val="000000"/>
                <w:sz w:val="16"/>
                <w:szCs w:val="16"/>
              </w:rPr>
              <w:t>1.</w:t>
            </w:r>
            <w:r>
              <w:rPr>
                <w:rFonts w:ascii="Arial Narrow" w:hAnsi="Arial Narrow"/>
                <w:color w:val="000000"/>
                <w:sz w:val="16"/>
                <w:szCs w:val="16"/>
              </w:rPr>
              <w:tab/>
              <w:t>Επιχορηγήσεις σε ΟΤΑ</w:t>
            </w:r>
          </w:p>
        </w:tc>
        <w:tc>
          <w:tcPr>
            <w:tcW w:w="850" w:type="dxa"/>
            <w:tcBorders>
              <w:top w:val="nil"/>
              <w:left w:val="nil"/>
              <w:bottom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71</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53</w:t>
            </w:r>
          </w:p>
        </w:tc>
        <w:tc>
          <w:tcPr>
            <w:tcW w:w="993"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38</w:t>
            </w:r>
          </w:p>
        </w:tc>
        <w:tc>
          <w:tcPr>
            <w:tcW w:w="900"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53</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-45,6</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37,4</w:t>
            </w:r>
          </w:p>
        </w:tc>
      </w:tr>
      <w:tr w:rsidR="0059472C" w:rsidRPr="00937544" w:rsidTr="0059472C">
        <w:trPr>
          <w:trHeight w:val="20"/>
        </w:trPr>
        <w:tc>
          <w:tcPr>
            <w:tcW w:w="4180" w:type="dxa"/>
            <w:tcBorders>
              <w:top w:val="nil"/>
              <w:left w:val="single" w:sz="4" w:space="0" w:color="auto"/>
              <w:bottom w:val="nil"/>
              <w:right w:val="nil"/>
            </w:tcBorders>
            <w:shd w:val="clear" w:color="auto" w:fill="auto"/>
            <w:tcMar>
              <w:left w:w="28" w:type="dxa"/>
              <w:right w:w="28" w:type="dxa"/>
            </w:tcMar>
            <w:vAlign w:val="center"/>
            <w:hideMark/>
          </w:tcPr>
          <w:p w:rsidR="0059472C" w:rsidRPr="005A7E90" w:rsidRDefault="0059472C" w:rsidP="0059472C">
            <w:pPr>
              <w:ind w:left="183" w:hanging="183"/>
              <w:rPr>
                <w:rFonts w:ascii="Arial Narrow" w:hAnsi="Arial Narrow"/>
                <w:color w:val="000000"/>
                <w:sz w:val="16"/>
                <w:szCs w:val="16"/>
              </w:rPr>
            </w:pPr>
            <w:r>
              <w:rPr>
                <w:rFonts w:ascii="Arial Narrow" w:hAnsi="Arial Narrow"/>
                <w:color w:val="000000"/>
                <w:sz w:val="16"/>
                <w:szCs w:val="16"/>
              </w:rPr>
              <w:t>2.</w:t>
            </w:r>
            <w:r>
              <w:rPr>
                <w:rFonts w:ascii="Arial Narrow" w:hAnsi="Arial Narrow"/>
                <w:color w:val="000000"/>
                <w:sz w:val="16"/>
                <w:szCs w:val="16"/>
              </w:rPr>
              <w:tab/>
              <w:t>Επιχορηγήσεις σε ΕΦΚΑ και λοιπούς ασφαλιστικούς οργανισμούς</w:t>
            </w:r>
          </w:p>
        </w:tc>
        <w:tc>
          <w:tcPr>
            <w:tcW w:w="850" w:type="dxa"/>
            <w:tcBorders>
              <w:top w:val="nil"/>
              <w:left w:val="nil"/>
              <w:bottom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11.787</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16.047</w:t>
            </w:r>
          </w:p>
        </w:tc>
        <w:tc>
          <w:tcPr>
            <w:tcW w:w="993"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15.943</w:t>
            </w:r>
          </w:p>
        </w:tc>
        <w:tc>
          <w:tcPr>
            <w:tcW w:w="90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15.882</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35,3</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-0,4</w:t>
            </w:r>
          </w:p>
        </w:tc>
      </w:tr>
      <w:tr w:rsidR="0059472C" w:rsidRPr="00937544" w:rsidTr="0059472C">
        <w:trPr>
          <w:trHeight w:val="20"/>
        </w:trPr>
        <w:tc>
          <w:tcPr>
            <w:tcW w:w="4180" w:type="dxa"/>
            <w:tcBorders>
              <w:top w:val="nil"/>
              <w:left w:val="single" w:sz="4" w:space="0" w:color="auto"/>
              <w:bottom w:val="nil"/>
              <w:right w:val="nil"/>
            </w:tcBorders>
            <w:shd w:val="clear" w:color="auto" w:fill="auto"/>
            <w:tcMar>
              <w:left w:w="28" w:type="dxa"/>
              <w:right w:w="28" w:type="dxa"/>
            </w:tcMar>
            <w:vAlign w:val="center"/>
            <w:hideMark/>
          </w:tcPr>
          <w:p w:rsidR="0059472C" w:rsidRDefault="0059472C" w:rsidP="0059472C">
            <w:pPr>
              <w:ind w:left="183" w:hanging="183"/>
              <w:rPr>
                <w:rFonts w:ascii="Arial Narrow" w:hAnsi="Arial Narrow"/>
                <w:color w:val="000000"/>
                <w:sz w:val="16"/>
                <w:szCs w:val="16"/>
              </w:rPr>
            </w:pPr>
            <w:r>
              <w:rPr>
                <w:rFonts w:ascii="Arial Narrow" w:hAnsi="Arial Narrow"/>
                <w:color w:val="000000"/>
                <w:sz w:val="16"/>
                <w:szCs w:val="16"/>
              </w:rPr>
              <w:t>3.</w:t>
            </w:r>
            <w:r>
              <w:rPr>
                <w:rFonts w:ascii="Arial Narrow" w:hAnsi="Arial Narrow"/>
                <w:color w:val="000000"/>
                <w:sz w:val="16"/>
                <w:szCs w:val="16"/>
              </w:rPr>
              <w:tab/>
              <w:t>Επιχορηγήσεις σε ΕΟΠΠΥ</w:t>
            </w:r>
          </w:p>
        </w:tc>
        <w:tc>
          <w:tcPr>
            <w:tcW w:w="850" w:type="dxa"/>
            <w:tcBorders>
              <w:top w:val="nil"/>
              <w:left w:val="nil"/>
              <w:bottom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502</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326</w:t>
            </w:r>
          </w:p>
        </w:tc>
        <w:tc>
          <w:tcPr>
            <w:tcW w:w="993"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314</w:t>
            </w:r>
          </w:p>
        </w:tc>
        <w:tc>
          <w:tcPr>
            <w:tcW w:w="90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100</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-37,5</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-68,1</w:t>
            </w:r>
          </w:p>
        </w:tc>
      </w:tr>
      <w:tr w:rsidR="0059472C" w:rsidRPr="00937544" w:rsidTr="0059472C">
        <w:trPr>
          <w:trHeight w:val="20"/>
        </w:trPr>
        <w:tc>
          <w:tcPr>
            <w:tcW w:w="4180" w:type="dxa"/>
            <w:tcBorders>
              <w:top w:val="nil"/>
              <w:left w:val="single" w:sz="4" w:space="0" w:color="auto"/>
              <w:bottom w:val="nil"/>
              <w:right w:val="nil"/>
            </w:tcBorders>
            <w:shd w:val="clear" w:color="auto" w:fill="auto"/>
            <w:tcMar>
              <w:left w:w="28" w:type="dxa"/>
              <w:right w:w="28" w:type="dxa"/>
            </w:tcMar>
            <w:vAlign w:val="bottom"/>
            <w:hideMark/>
          </w:tcPr>
          <w:p w:rsidR="0059472C" w:rsidRDefault="0059472C" w:rsidP="005A7E90">
            <w:pPr>
              <w:ind w:left="183" w:hanging="183"/>
              <w:rPr>
                <w:rFonts w:ascii="Arial Narrow" w:hAnsi="Arial Narrow"/>
                <w:color w:val="000000"/>
                <w:sz w:val="16"/>
                <w:szCs w:val="16"/>
              </w:rPr>
            </w:pPr>
            <w:r>
              <w:rPr>
                <w:rFonts w:ascii="Arial Narrow" w:hAnsi="Arial Narrow"/>
                <w:color w:val="000000"/>
                <w:sz w:val="16"/>
                <w:szCs w:val="16"/>
              </w:rPr>
              <w:t>4.</w:t>
            </w:r>
            <w:r>
              <w:rPr>
                <w:rFonts w:ascii="Arial Narrow" w:hAnsi="Arial Narrow"/>
                <w:color w:val="000000"/>
                <w:sz w:val="16"/>
                <w:szCs w:val="16"/>
              </w:rPr>
              <w:tab/>
              <w:t xml:space="preserve">Κοινωνική προστασία (ΑΚΑΓΕ) </w:t>
            </w:r>
          </w:p>
        </w:tc>
        <w:tc>
          <w:tcPr>
            <w:tcW w:w="850" w:type="dxa"/>
            <w:tcBorders>
              <w:top w:val="nil"/>
              <w:left w:val="nil"/>
              <w:bottom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470</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505</w:t>
            </w:r>
          </w:p>
        </w:tc>
        <w:tc>
          <w:tcPr>
            <w:tcW w:w="993"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505</w:t>
            </w:r>
          </w:p>
        </w:tc>
        <w:tc>
          <w:tcPr>
            <w:tcW w:w="90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522</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7,4</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3,4</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Pr="005A7E90" w:rsidRDefault="0059472C" w:rsidP="0059472C">
            <w:pPr>
              <w:ind w:left="183" w:hanging="183"/>
              <w:rPr>
                <w:rFonts w:ascii="Arial Narrow" w:hAnsi="Arial Narrow"/>
                <w:color w:val="000000"/>
                <w:sz w:val="16"/>
                <w:szCs w:val="16"/>
                <w:vertAlign w:val="superscript"/>
              </w:rPr>
            </w:pPr>
            <w:r>
              <w:rPr>
                <w:rFonts w:ascii="Arial Narrow" w:hAnsi="Arial Narrow"/>
                <w:color w:val="000000"/>
                <w:sz w:val="16"/>
                <w:szCs w:val="16"/>
              </w:rPr>
              <w:t>5.</w:t>
            </w:r>
            <w:r>
              <w:rPr>
                <w:rFonts w:ascii="Arial Narrow" w:hAnsi="Arial Narrow"/>
                <w:color w:val="000000"/>
                <w:sz w:val="16"/>
                <w:szCs w:val="16"/>
              </w:rPr>
              <w:tab/>
              <w:t>Επιχορηγήσεις σε Νοσοκομεία, ΥΠΕ-ΠΕΔΥ</w:t>
            </w:r>
            <w:r>
              <w:rPr>
                <w:rFonts w:ascii="Arial Narrow" w:hAnsi="Arial Narrow"/>
                <w:color w:val="000000"/>
                <w:sz w:val="16"/>
                <w:szCs w:val="16"/>
                <w:vertAlign w:val="superscript"/>
              </w:rPr>
              <w:t>1</w:t>
            </w:r>
          </w:p>
        </w:tc>
        <w:tc>
          <w:tcPr>
            <w:tcW w:w="850" w:type="dxa"/>
            <w:tcBorders>
              <w:top w:val="nil"/>
              <w:left w:val="nil"/>
              <w:bottom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1.300</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1.301</w:t>
            </w:r>
          </w:p>
        </w:tc>
        <w:tc>
          <w:tcPr>
            <w:tcW w:w="993"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1.303</w:t>
            </w:r>
          </w:p>
        </w:tc>
        <w:tc>
          <w:tcPr>
            <w:tcW w:w="90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930</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0,2</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-28,6</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Default="0059472C" w:rsidP="0059472C">
            <w:pPr>
              <w:ind w:left="183" w:hanging="183"/>
              <w:rPr>
                <w:rFonts w:ascii="Arial Narrow" w:hAnsi="Arial Narrow"/>
                <w:color w:val="000000"/>
                <w:sz w:val="16"/>
                <w:szCs w:val="16"/>
              </w:rPr>
            </w:pPr>
            <w:r>
              <w:rPr>
                <w:rFonts w:ascii="Arial Narrow" w:hAnsi="Arial Narrow"/>
                <w:color w:val="000000"/>
                <w:sz w:val="16"/>
                <w:szCs w:val="16"/>
              </w:rPr>
              <w:t>6.</w:t>
            </w:r>
            <w:r>
              <w:rPr>
                <w:rFonts w:ascii="Arial Narrow" w:hAnsi="Arial Narrow"/>
                <w:color w:val="000000"/>
                <w:sz w:val="16"/>
                <w:szCs w:val="16"/>
              </w:rPr>
              <w:tab/>
              <w:t>Επιχορηγήσεις σε Νοσοκομεία για εφημερίες ιατρών και πρόσθ</w:t>
            </w:r>
            <w:r>
              <w:rPr>
                <w:rFonts w:ascii="Arial Narrow" w:hAnsi="Arial Narrow"/>
                <w:color w:val="000000"/>
                <w:sz w:val="16"/>
                <w:szCs w:val="16"/>
              </w:rPr>
              <w:t>ε</w:t>
            </w:r>
            <w:r>
              <w:rPr>
                <w:rFonts w:ascii="Arial Narrow" w:hAnsi="Arial Narrow"/>
                <w:color w:val="000000"/>
                <w:sz w:val="16"/>
                <w:szCs w:val="16"/>
              </w:rPr>
              <w:t>τες παροχές λοιπού νοσηλευτικού προσωπικού</w:t>
            </w:r>
          </w:p>
        </w:tc>
        <w:tc>
          <w:tcPr>
            <w:tcW w:w="850" w:type="dxa"/>
            <w:tcBorders>
              <w:top w:val="nil"/>
              <w:left w:val="nil"/>
              <w:bottom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321</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322</w:t>
            </w:r>
          </w:p>
        </w:tc>
        <w:tc>
          <w:tcPr>
            <w:tcW w:w="993"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332</w:t>
            </w:r>
          </w:p>
        </w:tc>
        <w:tc>
          <w:tcPr>
            <w:tcW w:w="90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343</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3,5</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3,1</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Pr="005B3597" w:rsidRDefault="0059472C" w:rsidP="0059472C">
            <w:pPr>
              <w:ind w:left="183" w:hanging="183"/>
              <w:rPr>
                <w:rFonts w:ascii="Arial Narrow" w:hAnsi="Arial Narrow"/>
                <w:color w:val="000000"/>
                <w:sz w:val="16"/>
                <w:szCs w:val="16"/>
              </w:rPr>
            </w:pPr>
            <w:r>
              <w:rPr>
                <w:rFonts w:ascii="Arial Narrow" w:hAnsi="Arial Narrow"/>
                <w:color w:val="000000"/>
                <w:sz w:val="16"/>
                <w:szCs w:val="16"/>
              </w:rPr>
              <w:t>7.</w:t>
            </w:r>
            <w:r>
              <w:rPr>
                <w:rFonts w:ascii="Arial Narrow" w:hAnsi="Arial Narrow"/>
                <w:color w:val="000000"/>
                <w:sz w:val="16"/>
                <w:szCs w:val="16"/>
              </w:rPr>
              <w:tab/>
              <w:t>Επιχορηγήσεις σε ΔΕΚΟ (πλην συγκοινωνιακών φορέων)</w:t>
            </w:r>
            <w:r w:rsidRPr="007A5ECD">
              <w:rPr>
                <w:rFonts w:ascii="Arial Narrow" w:hAnsi="Arial Narrow"/>
                <w:color w:val="000000"/>
                <w:sz w:val="16"/>
                <w:szCs w:val="16"/>
                <w:vertAlign w:val="superscript"/>
              </w:rPr>
              <w:t xml:space="preserve"> </w:t>
            </w:r>
            <w:r w:rsidR="00B56C2D" w:rsidRPr="00B56C2D">
              <w:rPr>
                <w:rFonts w:ascii="Arial Narrow" w:hAnsi="Arial Narrow"/>
                <w:color w:val="000000"/>
                <w:sz w:val="16"/>
                <w:szCs w:val="16"/>
                <w:vertAlign w:val="superscript"/>
              </w:rPr>
              <w:t xml:space="preserve">1, </w:t>
            </w:r>
            <w:r w:rsidR="005B3597" w:rsidRPr="005B3597">
              <w:rPr>
                <w:rFonts w:ascii="Arial Narrow" w:hAnsi="Arial Narrow"/>
                <w:color w:val="000000"/>
                <w:sz w:val="16"/>
                <w:szCs w:val="16"/>
                <w:vertAlign w:val="superscript"/>
              </w:rPr>
              <w:t>2</w:t>
            </w:r>
          </w:p>
        </w:tc>
        <w:tc>
          <w:tcPr>
            <w:tcW w:w="850" w:type="dxa"/>
            <w:tcBorders>
              <w:top w:val="nil"/>
              <w:left w:val="nil"/>
              <w:bottom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102</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74</w:t>
            </w:r>
          </w:p>
        </w:tc>
        <w:tc>
          <w:tcPr>
            <w:tcW w:w="993"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92</w:t>
            </w:r>
          </w:p>
        </w:tc>
        <w:tc>
          <w:tcPr>
            <w:tcW w:w="90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76</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-9,3</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-17,4</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Default="0059472C" w:rsidP="0059472C">
            <w:pPr>
              <w:ind w:left="183" w:hanging="183"/>
              <w:rPr>
                <w:rFonts w:ascii="Arial Narrow" w:hAnsi="Arial Narrow"/>
                <w:color w:val="000000"/>
                <w:sz w:val="16"/>
                <w:szCs w:val="16"/>
              </w:rPr>
            </w:pPr>
            <w:r>
              <w:rPr>
                <w:rFonts w:ascii="Arial Narrow" w:hAnsi="Arial Narrow"/>
                <w:color w:val="000000"/>
                <w:sz w:val="16"/>
                <w:szCs w:val="16"/>
              </w:rPr>
              <w:t>8.</w:t>
            </w:r>
            <w:r>
              <w:rPr>
                <w:rFonts w:ascii="Arial Narrow" w:hAnsi="Arial Narrow"/>
                <w:color w:val="000000"/>
                <w:sz w:val="16"/>
                <w:szCs w:val="16"/>
              </w:rPr>
              <w:tab/>
              <w:t xml:space="preserve">Επιχορηγήσεις σε συγκοινωνιακούς φορείς </w:t>
            </w:r>
          </w:p>
        </w:tc>
        <w:tc>
          <w:tcPr>
            <w:tcW w:w="850" w:type="dxa"/>
            <w:tcBorders>
              <w:top w:val="nil"/>
              <w:left w:val="nil"/>
              <w:bottom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266</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193</w:t>
            </w:r>
          </w:p>
        </w:tc>
        <w:tc>
          <w:tcPr>
            <w:tcW w:w="993"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265</w:t>
            </w:r>
          </w:p>
        </w:tc>
        <w:tc>
          <w:tcPr>
            <w:tcW w:w="90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179</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-0,5</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-32,3</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Pr="00B56C2D" w:rsidRDefault="0059472C" w:rsidP="0059472C">
            <w:pPr>
              <w:ind w:left="183" w:hanging="183"/>
              <w:rPr>
                <w:rFonts w:ascii="Arial Narrow" w:hAnsi="Arial Narrow"/>
                <w:color w:val="000000"/>
                <w:sz w:val="16"/>
                <w:szCs w:val="16"/>
                <w:vertAlign w:val="superscript"/>
              </w:rPr>
            </w:pPr>
            <w:r>
              <w:rPr>
                <w:rFonts w:ascii="Arial Narrow" w:hAnsi="Arial Narrow"/>
                <w:color w:val="000000"/>
                <w:sz w:val="16"/>
                <w:szCs w:val="16"/>
              </w:rPr>
              <w:t>9.Επιχορηγήσεις σε ΝΠ εντός Γενικής Κυβέρνησης</w:t>
            </w:r>
          </w:p>
        </w:tc>
        <w:tc>
          <w:tcPr>
            <w:tcW w:w="850" w:type="dxa"/>
            <w:tcBorders>
              <w:top w:val="nil"/>
              <w:left w:val="nil"/>
              <w:bottom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708</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645</w:t>
            </w:r>
          </w:p>
        </w:tc>
        <w:tc>
          <w:tcPr>
            <w:tcW w:w="993"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692</w:t>
            </w:r>
          </w:p>
        </w:tc>
        <w:tc>
          <w:tcPr>
            <w:tcW w:w="90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658</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-2,2</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-5,0</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Pr="005B3597" w:rsidRDefault="0059472C" w:rsidP="0059472C">
            <w:pPr>
              <w:ind w:left="183" w:hanging="183"/>
              <w:rPr>
                <w:rFonts w:ascii="Arial Narrow" w:hAnsi="Arial Narrow"/>
                <w:color w:val="000000"/>
                <w:sz w:val="16"/>
                <w:szCs w:val="16"/>
                <w:vertAlign w:val="superscript"/>
              </w:rPr>
            </w:pPr>
            <w:r>
              <w:rPr>
                <w:rFonts w:ascii="Arial Narrow" w:hAnsi="Arial Narrow"/>
                <w:color w:val="000000"/>
                <w:sz w:val="16"/>
                <w:szCs w:val="16"/>
              </w:rPr>
              <w:t>10.</w:t>
            </w:r>
            <w:r>
              <w:rPr>
                <w:rFonts w:ascii="Arial Narrow" w:hAnsi="Arial Narrow"/>
                <w:color w:val="000000"/>
                <w:sz w:val="16"/>
                <w:szCs w:val="16"/>
              </w:rPr>
              <w:tab/>
              <w:t>Επιχορηγήσεις σε ΝΠ εκτός Γενικής Κυβέρνησης</w:t>
            </w:r>
            <w:r w:rsidR="005B3597">
              <w:rPr>
                <w:rFonts w:ascii="Arial Narrow" w:hAnsi="Arial Narrow"/>
                <w:color w:val="000000"/>
                <w:sz w:val="16"/>
                <w:szCs w:val="16"/>
                <w:vertAlign w:val="superscript"/>
              </w:rPr>
              <w:t>2</w:t>
            </w:r>
          </w:p>
        </w:tc>
        <w:tc>
          <w:tcPr>
            <w:tcW w:w="850" w:type="dxa"/>
            <w:tcBorders>
              <w:top w:val="nil"/>
              <w:left w:val="nil"/>
              <w:bottom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180</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227</w:t>
            </w:r>
          </w:p>
        </w:tc>
        <w:tc>
          <w:tcPr>
            <w:tcW w:w="993"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261</w:t>
            </w:r>
          </w:p>
        </w:tc>
        <w:tc>
          <w:tcPr>
            <w:tcW w:w="90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228</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44,7</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-12,7</w:t>
            </w:r>
          </w:p>
        </w:tc>
      </w:tr>
      <w:tr w:rsidR="0059472C" w:rsidRPr="00937544" w:rsidTr="0059472C">
        <w:trPr>
          <w:trHeight w:val="20"/>
        </w:trPr>
        <w:tc>
          <w:tcPr>
            <w:tcW w:w="4180" w:type="dxa"/>
            <w:tcBorders>
              <w:top w:val="nil"/>
              <w:left w:val="single" w:sz="4" w:space="0" w:color="auto"/>
              <w:bottom w:val="nil"/>
              <w:right w:val="nil"/>
            </w:tcBorders>
            <w:shd w:val="clear" w:color="auto" w:fill="A6A6A6" w:themeFill="background1" w:themeFillShade="A6"/>
            <w:tcMar>
              <w:left w:w="28" w:type="dxa"/>
              <w:right w:w="28" w:type="dxa"/>
            </w:tcMar>
            <w:vAlign w:val="center"/>
            <w:hideMark/>
          </w:tcPr>
          <w:p w:rsidR="0059472C" w:rsidRDefault="0059472C" w:rsidP="0059472C">
            <w:pPr>
              <w:ind w:left="183" w:hanging="183"/>
              <w:rPr>
                <w:rFonts w:ascii="Arial Narrow" w:hAnsi="Arial Narrow"/>
                <w:b/>
                <w:bCs/>
                <w:sz w:val="16"/>
                <w:szCs w:val="16"/>
              </w:rPr>
            </w:pPr>
            <w:r>
              <w:rPr>
                <w:rFonts w:ascii="Arial Narrow" w:hAnsi="Arial Narrow"/>
                <w:b/>
                <w:bCs/>
                <w:sz w:val="16"/>
                <w:szCs w:val="16"/>
              </w:rPr>
              <w:t xml:space="preserve">Ι. </w:t>
            </w:r>
            <w:r>
              <w:rPr>
                <w:rFonts w:ascii="Arial Narrow" w:hAnsi="Arial Narrow"/>
                <w:b/>
                <w:bCs/>
                <w:sz w:val="16"/>
                <w:szCs w:val="16"/>
              </w:rPr>
              <w:tab/>
              <w:t>Σύνολο επιχορηγήσεων Τακτικού Προϋπολογισμού (1+2+3+4+5+6+7+8+9+10)</w:t>
            </w:r>
          </w:p>
        </w:tc>
        <w:tc>
          <w:tcPr>
            <w:tcW w:w="850" w:type="dxa"/>
            <w:tcBorders>
              <w:top w:val="nil"/>
              <w:left w:val="nil"/>
              <w:bottom w:val="nil"/>
            </w:tcBorders>
            <w:shd w:val="clear" w:color="auto" w:fill="A6A6A6" w:themeFill="background1" w:themeFillShade="A6"/>
            <w:tcMar>
              <w:left w:w="28" w:type="dxa"/>
              <w:right w:w="28" w:type="dxa"/>
            </w:tcMar>
            <w:vAlign w:val="center"/>
            <w:hideMark/>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15.707</w:t>
            </w:r>
          </w:p>
        </w:tc>
        <w:tc>
          <w:tcPr>
            <w:tcW w:w="851" w:type="dxa"/>
            <w:tcBorders>
              <w:top w:val="nil"/>
              <w:left w:val="nil"/>
              <w:bottom w:val="nil"/>
              <w:right w:val="nil"/>
            </w:tcBorders>
            <w:shd w:val="clear" w:color="auto" w:fill="A6A6A6" w:themeFill="background1" w:themeFillShade="A6"/>
            <w:vAlign w:val="center"/>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19.693</w:t>
            </w:r>
          </w:p>
        </w:tc>
        <w:tc>
          <w:tcPr>
            <w:tcW w:w="993" w:type="dxa"/>
            <w:tcBorders>
              <w:top w:val="nil"/>
              <w:left w:val="nil"/>
              <w:bottom w:val="nil"/>
              <w:right w:val="nil"/>
            </w:tcBorders>
            <w:shd w:val="clear" w:color="auto" w:fill="A6A6A6" w:themeFill="background1" w:themeFillShade="A6"/>
            <w:tcMar>
              <w:left w:w="28" w:type="dxa"/>
              <w:right w:w="28" w:type="dxa"/>
            </w:tcMar>
            <w:vAlign w:val="center"/>
            <w:hideMark/>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19.745</w:t>
            </w:r>
          </w:p>
        </w:tc>
        <w:tc>
          <w:tcPr>
            <w:tcW w:w="900" w:type="dxa"/>
            <w:tcBorders>
              <w:top w:val="nil"/>
              <w:left w:val="nil"/>
              <w:bottom w:val="nil"/>
              <w:right w:val="nil"/>
            </w:tcBorders>
            <w:shd w:val="clear" w:color="auto" w:fill="A6A6A6" w:themeFill="background1" w:themeFillShade="A6"/>
            <w:tcMar>
              <w:left w:w="28" w:type="dxa"/>
              <w:right w:w="28" w:type="dxa"/>
            </w:tcMar>
            <w:vAlign w:val="center"/>
            <w:hideMark/>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18.971</w:t>
            </w:r>
          </w:p>
        </w:tc>
        <w:tc>
          <w:tcPr>
            <w:tcW w:w="640" w:type="dxa"/>
            <w:tcBorders>
              <w:top w:val="nil"/>
              <w:left w:val="nil"/>
              <w:bottom w:val="nil"/>
              <w:right w:val="nil"/>
            </w:tcBorders>
            <w:shd w:val="clear" w:color="auto" w:fill="A6A6A6" w:themeFill="background1" w:themeFillShade="A6"/>
            <w:tcMar>
              <w:left w:w="28" w:type="dxa"/>
              <w:right w:w="28" w:type="dxa"/>
            </w:tcMar>
            <w:vAlign w:val="center"/>
            <w:hideMark/>
          </w:tcPr>
          <w:p w:rsidR="0059472C" w:rsidRDefault="0059472C" w:rsidP="0059472C">
            <w:pPr>
              <w:ind w:right="113"/>
              <w:jc w:val="right"/>
              <w:rPr>
                <w:rFonts w:ascii="Arial Narrow" w:hAnsi="Arial Narrow"/>
                <w:b/>
                <w:bCs/>
                <w:color w:val="000000"/>
                <w:sz w:val="16"/>
                <w:szCs w:val="16"/>
              </w:rPr>
            </w:pPr>
            <w:r>
              <w:rPr>
                <w:rFonts w:ascii="Arial Narrow" w:hAnsi="Arial Narrow"/>
                <w:b/>
                <w:bCs/>
                <w:color w:val="000000"/>
                <w:sz w:val="16"/>
                <w:szCs w:val="16"/>
              </w:rPr>
              <w:t>25,7</w:t>
            </w:r>
          </w:p>
        </w:tc>
        <w:tc>
          <w:tcPr>
            <w:tcW w:w="585" w:type="dxa"/>
            <w:tcBorders>
              <w:top w:val="nil"/>
              <w:left w:val="nil"/>
              <w:bottom w:val="nil"/>
              <w:right w:val="single" w:sz="4" w:space="0" w:color="auto"/>
            </w:tcBorders>
            <w:shd w:val="clear" w:color="auto" w:fill="A6A6A6" w:themeFill="background1" w:themeFillShade="A6"/>
            <w:tcMar>
              <w:left w:w="28" w:type="dxa"/>
              <w:right w:w="28" w:type="dxa"/>
            </w:tcMar>
            <w:vAlign w:val="center"/>
            <w:hideMark/>
          </w:tcPr>
          <w:p w:rsidR="0059472C" w:rsidRDefault="0059472C" w:rsidP="0059472C">
            <w:pPr>
              <w:ind w:right="113"/>
              <w:jc w:val="right"/>
              <w:rPr>
                <w:rFonts w:ascii="Arial Narrow" w:hAnsi="Arial Narrow"/>
                <w:b/>
                <w:bCs/>
                <w:color w:val="000000"/>
                <w:sz w:val="16"/>
                <w:szCs w:val="16"/>
              </w:rPr>
            </w:pPr>
            <w:r>
              <w:rPr>
                <w:rFonts w:ascii="Arial Narrow" w:hAnsi="Arial Narrow"/>
                <w:b/>
                <w:bCs/>
                <w:color w:val="000000"/>
                <w:sz w:val="16"/>
                <w:szCs w:val="16"/>
              </w:rPr>
              <w:t>-3,9</w:t>
            </w:r>
          </w:p>
        </w:tc>
      </w:tr>
      <w:tr w:rsidR="00830B6F" w:rsidRPr="00937544" w:rsidTr="00830B6F">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830B6F" w:rsidRPr="00937544" w:rsidRDefault="00830B6F" w:rsidP="0059472C">
            <w:pPr>
              <w:rPr>
                <w:rFonts w:ascii="Arial Narrow" w:hAnsi="Arial Narrow"/>
                <w:b/>
                <w:bCs/>
                <w:sz w:val="12"/>
                <w:szCs w:val="16"/>
              </w:rPr>
            </w:pPr>
            <w:r w:rsidRPr="00937544">
              <w:rPr>
                <w:rFonts w:ascii="Arial Narrow" w:hAnsi="Arial Narrow"/>
                <w:b/>
                <w:bCs/>
                <w:sz w:val="12"/>
                <w:szCs w:val="16"/>
              </w:rPr>
              <w:t> </w:t>
            </w:r>
          </w:p>
        </w:tc>
        <w:tc>
          <w:tcPr>
            <w:tcW w:w="850" w:type="dxa"/>
            <w:tcBorders>
              <w:top w:val="nil"/>
              <w:left w:val="nil"/>
              <w:bottom w:val="nil"/>
            </w:tcBorders>
            <w:shd w:val="clear" w:color="auto" w:fill="auto"/>
            <w:noWrap/>
            <w:tcMar>
              <w:left w:w="28" w:type="dxa"/>
              <w:right w:w="28" w:type="dxa"/>
            </w:tcMar>
            <w:vAlign w:val="bottom"/>
            <w:hideMark/>
          </w:tcPr>
          <w:p w:rsidR="00830B6F" w:rsidRPr="00937544" w:rsidRDefault="00830B6F" w:rsidP="0059472C">
            <w:pPr>
              <w:ind w:right="227"/>
              <w:rPr>
                <w:rFonts w:ascii="Arial Narrow" w:hAnsi="Arial Narrow"/>
                <w:b/>
                <w:bCs/>
                <w:sz w:val="12"/>
                <w:szCs w:val="16"/>
              </w:rPr>
            </w:pPr>
          </w:p>
        </w:tc>
        <w:tc>
          <w:tcPr>
            <w:tcW w:w="851" w:type="dxa"/>
            <w:tcBorders>
              <w:top w:val="nil"/>
              <w:left w:val="nil"/>
              <w:bottom w:val="nil"/>
              <w:right w:val="nil"/>
            </w:tcBorders>
            <w:shd w:val="clear" w:color="auto" w:fill="auto"/>
            <w:vAlign w:val="bottom"/>
          </w:tcPr>
          <w:p w:rsidR="00830B6F" w:rsidRPr="00937544" w:rsidRDefault="00830B6F" w:rsidP="0059472C">
            <w:pPr>
              <w:ind w:right="227"/>
              <w:rPr>
                <w:rFonts w:ascii="Arial Narrow" w:hAnsi="Arial Narrow"/>
                <w:b/>
                <w:bCs/>
                <w:sz w:val="12"/>
                <w:szCs w:val="16"/>
              </w:rPr>
            </w:pPr>
          </w:p>
        </w:tc>
        <w:tc>
          <w:tcPr>
            <w:tcW w:w="993" w:type="dxa"/>
            <w:tcBorders>
              <w:top w:val="nil"/>
              <w:left w:val="nil"/>
              <w:bottom w:val="nil"/>
              <w:right w:val="nil"/>
            </w:tcBorders>
            <w:shd w:val="clear" w:color="auto" w:fill="auto"/>
            <w:noWrap/>
            <w:tcMar>
              <w:left w:w="28" w:type="dxa"/>
              <w:right w:w="28" w:type="dxa"/>
            </w:tcMar>
            <w:vAlign w:val="bottom"/>
            <w:hideMark/>
          </w:tcPr>
          <w:p w:rsidR="00830B6F" w:rsidRPr="00937544" w:rsidRDefault="00830B6F" w:rsidP="0059472C">
            <w:pPr>
              <w:ind w:right="227"/>
              <w:rPr>
                <w:rFonts w:ascii="Arial Narrow" w:hAnsi="Arial Narrow"/>
                <w:b/>
                <w:bCs/>
                <w:sz w:val="12"/>
                <w:szCs w:val="16"/>
              </w:rPr>
            </w:pPr>
          </w:p>
        </w:tc>
        <w:tc>
          <w:tcPr>
            <w:tcW w:w="900" w:type="dxa"/>
            <w:tcBorders>
              <w:top w:val="nil"/>
              <w:left w:val="nil"/>
              <w:bottom w:val="nil"/>
              <w:right w:val="nil"/>
            </w:tcBorders>
            <w:shd w:val="clear" w:color="auto" w:fill="auto"/>
            <w:noWrap/>
            <w:tcMar>
              <w:left w:w="28" w:type="dxa"/>
              <w:right w:w="28" w:type="dxa"/>
            </w:tcMar>
            <w:vAlign w:val="bottom"/>
            <w:hideMark/>
          </w:tcPr>
          <w:p w:rsidR="00830B6F" w:rsidRPr="00937544" w:rsidRDefault="00830B6F" w:rsidP="0059472C">
            <w:pPr>
              <w:ind w:right="227"/>
              <w:rPr>
                <w:rFonts w:ascii="Arial Narrow" w:hAnsi="Arial Narrow"/>
                <w:b/>
                <w:bCs/>
                <w:sz w:val="12"/>
                <w:szCs w:val="16"/>
              </w:rPr>
            </w:pPr>
          </w:p>
        </w:tc>
        <w:tc>
          <w:tcPr>
            <w:tcW w:w="640" w:type="dxa"/>
            <w:tcBorders>
              <w:top w:val="nil"/>
              <w:left w:val="nil"/>
              <w:bottom w:val="nil"/>
              <w:right w:val="nil"/>
            </w:tcBorders>
            <w:shd w:val="clear" w:color="auto" w:fill="auto"/>
            <w:noWrap/>
            <w:tcMar>
              <w:left w:w="28" w:type="dxa"/>
              <w:right w:w="28" w:type="dxa"/>
            </w:tcMar>
            <w:vAlign w:val="bottom"/>
            <w:hideMark/>
          </w:tcPr>
          <w:p w:rsidR="00830B6F" w:rsidRPr="00937544" w:rsidRDefault="00830B6F" w:rsidP="0059472C">
            <w:pPr>
              <w:ind w:right="113"/>
              <w:jc w:val="right"/>
              <w:rPr>
                <w:rFonts w:ascii="Arial Narrow" w:hAnsi="Arial Narrow"/>
                <w:b/>
                <w:bCs/>
                <w:sz w:val="12"/>
                <w:szCs w:val="16"/>
              </w:rPr>
            </w:pPr>
          </w:p>
        </w:tc>
        <w:tc>
          <w:tcPr>
            <w:tcW w:w="585" w:type="dxa"/>
            <w:tcBorders>
              <w:top w:val="nil"/>
              <w:left w:val="nil"/>
              <w:bottom w:val="nil"/>
              <w:right w:val="single" w:sz="4" w:space="0" w:color="auto"/>
            </w:tcBorders>
            <w:shd w:val="clear" w:color="auto" w:fill="auto"/>
            <w:noWrap/>
            <w:tcMar>
              <w:left w:w="28" w:type="dxa"/>
              <w:right w:w="28" w:type="dxa"/>
            </w:tcMar>
            <w:vAlign w:val="bottom"/>
            <w:hideMark/>
          </w:tcPr>
          <w:p w:rsidR="00830B6F" w:rsidRPr="00937544" w:rsidRDefault="00830B6F" w:rsidP="0059472C">
            <w:pPr>
              <w:ind w:right="113"/>
              <w:jc w:val="right"/>
              <w:rPr>
                <w:rFonts w:ascii="Arial Narrow" w:hAnsi="Arial Narrow"/>
                <w:b/>
                <w:bCs/>
                <w:sz w:val="12"/>
                <w:szCs w:val="16"/>
              </w:rPr>
            </w:pPr>
            <w:r w:rsidRPr="00937544">
              <w:rPr>
                <w:rFonts w:ascii="Arial Narrow" w:hAnsi="Arial Narrow"/>
                <w:b/>
                <w:bCs/>
                <w:sz w:val="12"/>
                <w:szCs w:val="16"/>
              </w:rPr>
              <w:t> </w:t>
            </w:r>
          </w:p>
        </w:tc>
      </w:tr>
      <w:tr w:rsidR="00830B6F" w:rsidRPr="00937544" w:rsidTr="0059472C">
        <w:trPr>
          <w:trHeight w:val="20"/>
        </w:trPr>
        <w:tc>
          <w:tcPr>
            <w:tcW w:w="8999" w:type="dxa"/>
            <w:gridSpan w:val="7"/>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bottom"/>
            <w:hideMark/>
          </w:tcPr>
          <w:p w:rsidR="00830B6F" w:rsidRPr="00937544" w:rsidRDefault="00830B6F" w:rsidP="0059472C">
            <w:pPr>
              <w:spacing w:before="60" w:after="60"/>
              <w:ind w:right="113"/>
              <w:jc w:val="center"/>
              <w:rPr>
                <w:rFonts w:ascii="Arial Narrow" w:hAnsi="Arial Narrow"/>
                <w:b/>
                <w:bCs/>
                <w:sz w:val="16"/>
                <w:szCs w:val="16"/>
              </w:rPr>
            </w:pPr>
            <w:r w:rsidRPr="00937544">
              <w:rPr>
                <w:rFonts w:ascii="Arial Narrow" w:hAnsi="Arial Narrow"/>
                <w:b/>
                <w:bCs/>
                <w:sz w:val="16"/>
                <w:szCs w:val="16"/>
              </w:rPr>
              <w:t>ΑΠΟΔΙΔΟΜΕΝΟΙ ΠΟΡΟΙ ΦΟΡΕΩΝ από ΤΑΚΤΙΚΟ ΠΡΟΫΠΟΛΟΓΙΣΜΟ</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Default="0059472C" w:rsidP="0059472C">
            <w:pPr>
              <w:ind w:left="183" w:hanging="183"/>
              <w:rPr>
                <w:rFonts w:ascii="Arial Narrow" w:hAnsi="Arial Narrow"/>
                <w:color w:val="000000"/>
                <w:sz w:val="16"/>
                <w:szCs w:val="16"/>
              </w:rPr>
            </w:pPr>
            <w:r>
              <w:rPr>
                <w:rFonts w:ascii="Arial Narrow" w:hAnsi="Arial Narrow"/>
                <w:color w:val="000000"/>
                <w:sz w:val="16"/>
                <w:szCs w:val="16"/>
              </w:rPr>
              <w:t>1.</w:t>
            </w:r>
            <w:r>
              <w:rPr>
                <w:rFonts w:ascii="Arial Narrow" w:hAnsi="Arial Narrow"/>
                <w:color w:val="000000"/>
                <w:sz w:val="16"/>
                <w:szCs w:val="16"/>
              </w:rPr>
              <w:tab/>
              <w:t>Αποδιδόμενοι πόροι σε ΟΤΑ</w:t>
            </w:r>
          </w:p>
        </w:tc>
        <w:tc>
          <w:tcPr>
            <w:tcW w:w="850" w:type="dxa"/>
            <w:tcBorders>
              <w:top w:val="nil"/>
              <w:left w:val="nil"/>
              <w:bottom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3.160</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2.982</w:t>
            </w:r>
          </w:p>
        </w:tc>
        <w:tc>
          <w:tcPr>
            <w:tcW w:w="993"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2.982</w:t>
            </w:r>
          </w:p>
        </w:tc>
        <w:tc>
          <w:tcPr>
            <w:tcW w:w="900"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3.140</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-5,6</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5,3</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Default="0059472C" w:rsidP="0059472C">
            <w:pPr>
              <w:ind w:left="183" w:hanging="183"/>
              <w:rPr>
                <w:rFonts w:ascii="Arial Narrow" w:hAnsi="Arial Narrow"/>
                <w:color w:val="000000"/>
                <w:sz w:val="16"/>
                <w:szCs w:val="16"/>
              </w:rPr>
            </w:pPr>
            <w:r>
              <w:rPr>
                <w:rFonts w:ascii="Arial Narrow" w:hAnsi="Arial Narrow"/>
                <w:color w:val="000000"/>
                <w:sz w:val="16"/>
                <w:szCs w:val="16"/>
              </w:rPr>
              <w:t>2.</w:t>
            </w:r>
            <w:r>
              <w:rPr>
                <w:rFonts w:ascii="Arial Narrow" w:hAnsi="Arial Narrow"/>
                <w:color w:val="000000"/>
                <w:sz w:val="16"/>
                <w:szCs w:val="16"/>
              </w:rPr>
              <w:tab/>
              <w:t>Αποδόσεις σε Ασφαλιστικά Ταμεία</w:t>
            </w:r>
          </w:p>
        </w:tc>
        <w:tc>
          <w:tcPr>
            <w:tcW w:w="850" w:type="dxa"/>
            <w:tcBorders>
              <w:top w:val="nil"/>
              <w:left w:val="nil"/>
              <w:bottom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7</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28</w:t>
            </w:r>
          </w:p>
        </w:tc>
        <w:tc>
          <w:tcPr>
            <w:tcW w:w="993"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18</w:t>
            </w:r>
          </w:p>
        </w:tc>
        <w:tc>
          <w:tcPr>
            <w:tcW w:w="900"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18</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147,2</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-0,2</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Default="0059472C" w:rsidP="0059472C">
            <w:pPr>
              <w:ind w:left="183" w:hanging="183"/>
              <w:rPr>
                <w:rFonts w:ascii="Arial Narrow" w:hAnsi="Arial Narrow"/>
                <w:color w:val="000000"/>
                <w:sz w:val="16"/>
                <w:szCs w:val="16"/>
              </w:rPr>
            </w:pPr>
            <w:r>
              <w:rPr>
                <w:rFonts w:ascii="Arial Narrow" w:hAnsi="Arial Narrow"/>
                <w:color w:val="000000"/>
                <w:sz w:val="16"/>
                <w:szCs w:val="16"/>
              </w:rPr>
              <w:t>3.</w:t>
            </w:r>
            <w:r>
              <w:rPr>
                <w:rFonts w:ascii="Arial Narrow" w:hAnsi="Arial Narrow"/>
                <w:color w:val="000000"/>
                <w:sz w:val="16"/>
                <w:szCs w:val="16"/>
              </w:rPr>
              <w:tab/>
              <w:t xml:space="preserve">Αποδόσεις σε ΔΕΚΟ </w:t>
            </w:r>
          </w:p>
        </w:tc>
        <w:tc>
          <w:tcPr>
            <w:tcW w:w="850" w:type="dxa"/>
            <w:tcBorders>
              <w:top w:val="nil"/>
              <w:left w:val="nil"/>
              <w:bottom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12</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26</w:t>
            </w:r>
          </w:p>
        </w:tc>
        <w:tc>
          <w:tcPr>
            <w:tcW w:w="993"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25</w:t>
            </w:r>
          </w:p>
        </w:tc>
        <w:tc>
          <w:tcPr>
            <w:tcW w:w="900"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26</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109,0</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2,9</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Default="0059472C" w:rsidP="0059472C">
            <w:pPr>
              <w:ind w:left="183" w:hanging="183"/>
              <w:rPr>
                <w:rFonts w:ascii="Arial Narrow" w:hAnsi="Arial Narrow"/>
                <w:color w:val="000000"/>
                <w:sz w:val="16"/>
                <w:szCs w:val="16"/>
              </w:rPr>
            </w:pPr>
            <w:r>
              <w:rPr>
                <w:rFonts w:ascii="Arial Narrow" w:hAnsi="Arial Narrow"/>
                <w:color w:val="000000"/>
                <w:sz w:val="16"/>
                <w:szCs w:val="16"/>
              </w:rPr>
              <w:t>4.</w:t>
            </w:r>
            <w:r>
              <w:rPr>
                <w:rFonts w:ascii="Arial Narrow" w:hAnsi="Arial Narrow"/>
                <w:color w:val="000000"/>
                <w:sz w:val="16"/>
                <w:szCs w:val="16"/>
              </w:rPr>
              <w:tab/>
              <w:t>Αποδόσεις σε ΝΠ εντός Γενικής Κυβέρνησης</w:t>
            </w:r>
          </w:p>
        </w:tc>
        <w:tc>
          <w:tcPr>
            <w:tcW w:w="850" w:type="dxa"/>
            <w:tcBorders>
              <w:top w:val="nil"/>
              <w:left w:val="nil"/>
              <w:bottom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22</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20</w:t>
            </w:r>
          </w:p>
        </w:tc>
        <w:tc>
          <w:tcPr>
            <w:tcW w:w="993"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21</w:t>
            </w:r>
          </w:p>
        </w:tc>
        <w:tc>
          <w:tcPr>
            <w:tcW w:w="900"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27</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-4,7</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29,4</w:t>
            </w:r>
          </w:p>
        </w:tc>
      </w:tr>
      <w:tr w:rsidR="0059472C" w:rsidRPr="00937544"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Default="0059472C" w:rsidP="0059472C">
            <w:pPr>
              <w:ind w:left="183" w:hanging="183"/>
              <w:rPr>
                <w:rFonts w:ascii="Arial Narrow" w:hAnsi="Arial Narrow"/>
                <w:color w:val="000000"/>
                <w:sz w:val="16"/>
                <w:szCs w:val="16"/>
              </w:rPr>
            </w:pPr>
            <w:r>
              <w:rPr>
                <w:rFonts w:ascii="Arial Narrow" w:hAnsi="Arial Narrow"/>
                <w:color w:val="000000"/>
                <w:sz w:val="16"/>
                <w:szCs w:val="16"/>
              </w:rPr>
              <w:t>5.</w:t>
            </w:r>
            <w:r>
              <w:rPr>
                <w:rFonts w:ascii="Arial Narrow" w:hAnsi="Arial Narrow"/>
                <w:color w:val="000000"/>
                <w:sz w:val="16"/>
                <w:szCs w:val="16"/>
              </w:rPr>
              <w:tab/>
              <w:t>Αποδόσεις σε ΝΠ εκτός Γενικής Κυβέρνησης</w:t>
            </w:r>
          </w:p>
        </w:tc>
        <w:tc>
          <w:tcPr>
            <w:tcW w:w="850" w:type="dxa"/>
            <w:tcBorders>
              <w:top w:val="nil"/>
              <w:left w:val="nil"/>
              <w:bottom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2</w:t>
            </w: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7</w:t>
            </w:r>
          </w:p>
        </w:tc>
        <w:tc>
          <w:tcPr>
            <w:tcW w:w="993"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5</w:t>
            </w:r>
          </w:p>
        </w:tc>
        <w:tc>
          <w:tcPr>
            <w:tcW w:w="900"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r>
              <w:rPr>
                <w:rFonts w:ascii="Arial Narrow" w:hAnsi="Arial Narrow"/>
                <w:color w:val="000000"/>
                <w:sz w:val="16"/>
                <w:szCs w:val="16"/>
              </w:rPr>
              <w:t>4</w:t>
            </w:r>
          </w:p>
        </w:tc>
        <w:tc>
          <w:tcPr>
            <w:tcW w:w="640" w:type="dxa"/>
            <w:tcBorders>
              <w:top w:val="nil"/>
              <w:left w:val="nil"/>
              <w:bottom w:val="nil"/>
              <w:right w:val="nil"/>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164,1</w:t>
            </w:r>
          </w:p>
        </w:tc>
        <w:tc>
          <w:tcPr>
            <w:tcW w:w="585" w:type="dxa"/>
            <w:tcBorders>
              <w:top w:val="nil"/>
              <w:left w:val="nil"/>
              <w:bottom w:val="nil"/>
              <w:right w:val="single" w:sz="4" w:space="0" w:color="auto"/>
            </w:tcBorders>
            <w:shd w:val="clear" w:color="auto" w:fill="auto"/>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r>
              <w:rPr>
                <w:rFonts w:ascii="Arial Narrow" w:hAnsi="Arial Narrow"/>
                <w:color w:val="000000"/>
                <w:sz w:val="16"/>
                <w:szCs w:val="16"/>
              </w:rPr>
              <w:t>-20,0</w:t>
            </w:r>
          </w:p>
        </w:tc>
      </w:tr>
      <w:tr w:rsidR="0059472C" w:rsidRPr="00911867" w:rsidTr="0059472C">
        <w:trPr>
          <w:trHeight w:val="20"/>
        </w:trPr>
        <w:tc>
          <w:tcPr>
            <w:tcW w:w="4180" w:type="dxa"/>
            <w:tcBorders>
              <w:top w:val="nil"/>
              <w:left w:val="single" w:sz="4" w:space="0" w:color="auto"/>
              <w:bottom w:val="nil"/>
              <w:right w:val="nil"/>
            </w:tcBorders>
            <w:shd w:val="clear" w:color="auto" w:fill="A6A6A6" w:themeFill="background1" w:themeFillShade="A6"/>
            <w:tcMar>
              <w:left w:w="28" w:type="dxa"/>
              <w:right w:w="28" w:type="dxa"/>
            </w:tcMar>
            <w:vAlign w:val="center"/>
            <w:hideMark/>
          </w:tcPr>
          <w:p w:rsidR="0059472C" w:rsidRDefault="0059472C" w:rsidP="0059472C">
            <w:pPr>
              <w:ind w:left="183" w:hanging="183"/>
              <w:rPr>
                <w:rFonts w:ascii="Arial Narrow" w:hAnsi="Arial Narrow"/>
                <w:b/>
                <w:bCs/>
                <w:sz w:val="16"/>
                <w:szCs w:val="16"/>
              </w:rPr>
            </w:pPr>
            <w:r>
              <w:rPr>
                <w:rFonts w:ascii="Arial Narrow" w:hAnsi="Arial Narrow"/>
                <w:b/>
                <w:bCs/>
                <w:sz w:val="16"/>
                <w:szCs w:val="16"/>
              </w:rPr>
              <w:t xml:space="preserve">ΙΙ. </w:t>
            </w:r>
            <w:r>
              <w:rPr>
                <w:rFonts w:ascii="Arial Narrow" w:hAnsi="Arial Narrow"/>
                <w:b/>
                <w:bCs/>
                <w:sz w:val="16"/>
                <w:szCs w:val="16"/>
              </w:rPr>
              <w:tab/>
              <w:t>Σύνολο Αποδιδόμενων Πόρων Τακτικού Προϋπολογισμού</w:t>
            </w:r>
          </w:p>
          <w:p w:rsidR="0059472C" w:rsidRDefault="0059472C" w:rsidP="0059472C">
            <w:pPr>
              <w:ind w:left="183" w:hanging="183"/>
              <w:rPr>
                <w:rFonts w:ascii="Arial Narrow" w:hAnsi="Arial Narrow"/>
                <w:b/>
                <w:bCs/>
                <w:sz w:val="16"/>
                <w:szCs w:val="16"/>
              </w:rPr>
            </w:pPr>
            <w:r>
              <w:rPr>
                <w:rFonts w:ascii="Arial Narrow" w:hAnsi="Arial Narrow"/>
                <w:b/>
                <w:bCs/>
                <w:sz w:val="16"/>
                <w:szCs w:val="16"/>
              </w:rPr>
              <w:tab/>
              <w:t>(1+2+3+4+5)</w:t>
            </w:r>
          </w:p>
        </w:tc>
        <w:tc>
          <w:tcPr>
            <w:tcW w:w="850" w:type="dxa"/>
            <w:tcBorders>
              <w:top w:val="nil"/>
              <w:left w:val="nil"/>
              <w:bottom w:val="nil"/>
            </w:tcBorders>
            <w:shd w:val="clear" w:color="auto" w:fill="A6A6A6" w:themeFill="background1" w:themeFillShade="A6"/>
            <w:noWrap/>
            <w:tcMar>
              <w:left w:w="28" w:type="dxa"/>
              <w:right w:w="28" w:type="dxa"/>
            </w:tcMar>
            <w:vAlign w:val="center"/>
            <w:hideMark/>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3.204</w:t>
            </w:r>
          </w:p>
        </w:tc>
        <w:tc>
          <w:tcPr>
            <w:tcW w:w="851" w:type="dxa"/>
            <w:tcBorders>
              <w:top w:val="nil"/>
              <w:left w:val="nil"/>
              <w:bottom w:val="nil"/>
              <w:right w:val="nil"/>
            </w:tcBorders>
            <w:shd w:val="clear" w:color="auto" w:fill="A6A6A6" w:themeFill="background1" w:themeFillShade="A6"/>
            <w:vAlign w:val="center"/>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3.062</w:t>
            </w:r>
          </w:p>
        </w:tc>
        <w:tc>
          <w:tcPr>
            <w:tcW w:w="993" w:type="dxa"/>
            <w:tcBorders>
              <w:top w:val="nil"/>
              <w:left w:val="nil"/>
              <w:bottom w:val="nil"/>
              <w:right w:val="nil"/>
            </w:tcBorders>
            <w:shd w:val="clear" w:color="auto" w:fill="A6A6A6" w:themeFill="background1" w:themeFillShade="A6"/>
            <w:noWrap/>
            <w:tcMar>
              <w:left w:w="28" w:type="dxa"/>
              <w:right w:w="28" w:type="dxa"/>
            </w:tcMar>
            <w:vAlign w:val="center"/>
            <w:hideMark/>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3.052</w:t>
            </w:r>
          </w:p>
        </w:tc>
        <w:tc>
          <w:tcPr>
            <w:tcW w:w="900" w:type="dxa"/>
            <w:tcBorders>
              <w:top w:val="nil"/>
              <w:left w:val="nil"/>
              <w:bottom w:val="nil"/>
              <w:right w:val="nil"/>
            </w:tcBorders>
            <w:shd w:val="clear" w:color="auto" w:fill="A6A6A6" w:themeFill="background1" w:themeFillShade="A6"/>
            <w:noWrap/>
            <w:tcMar>
              <w:left w:w="28" w:type="dxa"/>
              <w:right w:w="28" w:type="dxa"/>
            </w:tcMar>
            <w:vAlign w:val="center"/>
            <w:hideMark/>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3.216</w:t>
            </w:r>
          </w:p>
        </w:tc>
        <w:tc>
          <w:tcPr>
            <w:tcW w:w="640" w:type="dxa"/>
            <w:tcBorders>
              <w:top w:val="nil"/>
              <w:left w:val="nil"/>
              <w:bottom w:val="nil"/>
              <w:right w:val="nil"/>
            </w:tcBorders>
            <w:shd w:val="clear" w:color="auto" w:fill="A6A6A6" w:themeFill="background1" w:themeFillShade="A6"/>
            <w:noWrap/>
            <w:tcMar>
              <w:left w:w="28" w:type="dxa"/>
              <w:right w:w="28" w:type="dxa"/>
            </w:tcMar>
            <w:vAlign w:val="center"/>
            <w:hideMark/>
          </w:tcPr>
          <w:p w:rsidR="0059472C" w:rsidRDefault="0059472C" w:rsidP="0059472C">
            <w:pPr>
              <w:ind w:right="113"/>
              <w:jc w:val="right"/>
              <w:rPr>
                <w:rFonts w:ascii="Arial Narrow" w:hAnsi="Arial Narrow"/>
                <w:b/>
                <w:bCs/>
                <w:color w:val="000000"/>
                <w:sz w:val="16"/>
                <w:szCs w:val="16"/>
              </w:rPr>
            </w:pPr>
            <w:r>
              <w:rPr>
                <w:rFonts w:ascii="Arial Narrow" w:hAnsi="Arial Narrow"/>
                <w:b/>
                <w:bCs/>
                <w:color w:val="000000"/>
                <w:sz w:val="16"/>
                <w:szCs w:val="16"/>
              </w:rPr>
              <w:t>-4,7</w:t>
            </w:r>
          </w:p>
        </w:tc>
        <w:tc>
          <w:tcPr>
            <w:tcW w:w="585" w:type="dxa"/>
            <w:tcBorders>
              <w:top w:val="nil"/>
              <w:left w:val="nil"/>
              <w:bottom w:val="nil"/>
              <w:right w:val="single" w:sz="4" w:space="0" w:color="auto"/>
            </w:tcBorders>
            <w:shd w:val="clear" w:color="auto" w:fill="A6A6A6" w:themeFill="background1" w:themeFillShade="A6"/>
            <w:noWrap/>
            <w:tcMar>
              <w:left w:w="28" w:type="dxa"/>
              <w:right w:w="28" w:type="dxa"/>
            </w:tcMar>
            <w:vAlign w:val="center"/>
            <w:hideMark/>
          </w:tcPr>
          <w:p w:rsidR="0059472C" w:rsidRDefault="0059472C" w:rsidP="0059472C">
            <w:pPr>
              <w:ind w:right="113"/>
              <w:jc w:val="right"/>
              <w:rPr>
                <w:rFonts w:ascii="Arial Narrow" w:hAnsi="Arial Narrow"/>
                <w:b/>
                <w:bCs/>
                <w:color w:val="000000"/>
                <w:sz w:val="16"/>
                <w:szCs w:val="16"/>
              </w:rPr>
            </w:pPr>
            <w:r>
              <w:rPr>
                <w:rFonts w:ascii="Arial Narrow" w:hAnsi="Arial Narrow"/>
                <w:b/>
                <w:bCs/>
                <w:color w:val="000000"/>
                <w:sz w:val="16"/>
                <w:szCs w:val="16"/>
              </w:rPr>
              <w:t>5,4</w:t>
            </w:r>
          </w:p>
        </w:tc>
      </w:tr>
      <w:tr w:rsidR="0059472C" w:rsidRPr="00911867" w:rsidTr="0059472C">
        <w:trPr>
          <w:trHeight w:val="20"/>
        </w:trPr>
        <w:tc>
          <w:tcPr>
            <w:tcW w:w="4180" w:type="dxa"/>
            <w:tcBorders>
              <w:top w:val="nil"/>
              <w:left w:val="single" w:sz="4" w:space="0" w:color="auto"/>
              <w:bottom w:val="nil"/>
              <w:right w:val="nil"/>
            </w:tcBorders>
            <w:shd w:val="clear" w:color="auto" w:fill="auto"/>
            <w:noWrap/>
            <w:tcMar>
              <w:left w:w="28" w:type="dxa"/>
              <w:right w:w="28" w:type="dxa"/>
            </w:tcMar>
            <w:vAlign w:val="bottom"/>
            <w:hideMark/>
          </w:tcPr>
          <w:p w:rsidR="0059472C" w:rsidRPr="00937544" w:rsidRDefault="0059472C" w:rsidP="0059472C">
            <w:pPr>
              <w:tabs>
                <w:tab w:val="left" w:pos="225"/>
              </w:tabs>
              <w:rPr>
                <w:rFonts w:ascii="Arial Narrow" w:hAnsi="Arial Narrow"/>
                <w:i/>
                <w:iCs/>
                <w:sz w:val="12"/>
                <w:szCs w:val="16"/>
              </w:rPr>
            </w:pPr>
            <w:r w:rsidRPr="00937544">
              <w:rPr>
                <w:rFonts w:ascii="Arial Narrow" w:hAnsi="Arial Narrow"/>
                <w:i/>
                <w:iCs/>
                <w:sz w:val="12"/>
                <w:szCs w:val="16"/>
              </w:rPr>
              <w:t> </w:t>
            </w:r>
          </w:p>
        </w:tc>
        <w:tc>
          <w:tcPr>
            <w:tcW w:w="850" w:type="dxa"/>
            <w:tcBorders>
              <w:top w:val="nil"/>
              <w:left w:val="nil"/>
              <w:bottom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p>
        </w:tc>
        <w:tc>
          <w:tcPr>
            <w:tcW w:w="851" w:type="dxa"/>
            <w:tcBorders>
              <w:top w:val="nil"/>
              <w:left w:val="nil"/>
              <w:bottom w:val="nil"/>
              <w:right w:val="nil"/>
            </w:tcBorders>
            <w:shd w:val="clear" w:color="auto" w:fill="auto"/>
            <w:vAlign w:val="center"/>
          </w:tcPr>
          <w:p w:rsidR="0059472C" w:rsidRDefault="0059472C" w:rsidP="0059472C">
            <w:pPr>
              <w:ind w:right="227"/>
              <w:jc w:val="right"/>
              <w:rPr>
                <w:rFonts w:ascii="Arial Narrow" w:hAnsi="Arial Narrow"/>
                <w:color w:val="000000"/>
                <w:sz w:val="16"/>
                <w:szCs w:val="16"/>
              </w:rPr>
            </w:pPr>
          </w:p>
        </w:tc>
        <w:tc>
          <w:tcPr>
            <w:tcW w:w="993"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p>
        </w:tc>
        <w:tc>
          <w:tcPr>
            <w:tcW w:w="900"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227"/>
              <w:jc w:val="right"/>
              <w:rPr>
                <w:rFonts w:ascii="Arial Narrow" w:hAnsi="Arial Narrow"/>
                <w:color w:val="000000"/>
                <w:sz w:val="16"/>
                <w:szCs w:val="16"/>
              </w:rPr>
            </w:pPr>
          </w:p>
        </w:tc>
        <w:tc>
          <w:tcPr>
            <w:tcW w:w="640" w:type="dxa"/>
            <w:tcBorders>
              <w:top w:val="nil"/>
              <w:left w:val="nil"/>
              <w:bottom w:val="nil"/>
              <w:right w:val="nil"/>
            </w:tcBorders>
            <w:shd w:val="clear" w:color="auto" w:fill="auto"/>
            <w:noWrap/>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p>
        </w:tc>
        <w:tc>
          <w:tcPr>
            <w:tcW w:w="585" w:type="dxa"/>
            <w:tcBorders>
              <w:top w:val="nil"/>
              <w:left w:val="nil"/>
              <w:bottom w:val="nil"/>
              <w:right w:val="single" w:sz="4" w:space="0" w:color="auto"/>
            </w:tcBorders>
            <w:shd w:val="clear" w:color="auto" w:fill="auto"/>
            <w:noWrap/>
            <w:tcMar>
              <w:left w:w="28" w:type="dxa"/>
              <w:right w:w="28" w:type="dxa"/>
            </w:tcMar>
            <w:vAlign w:val="center"/>
            <w:hideMark/>
          </w:tcPr>
          <w:p w:rsidR="0059472C" w:rsidRDefault="0059472C" w:rsidP="0059472C">
            <w:pPr>
              <w:ind w:right="113"/>
              <w:jc w:val="right"/>
              <w:rPr>
                <w:rFonts w:ascii="Arial Narrow" w:hAnsi="Arial Narrow"/>
                <w:color w:val="000000"/>
                <w:sz w:val="16"/>
                <w:szCs w:val="16"/>
              </w:rPr>
            </w:pPr>
          </w:p>
        </w:tc>
      </w:tr>
      <w:tr w:rsidR="0059472C" w:rsidRPr="00911867" w:rsidTr="0059472C">
        <w:trPr>
          <w:trHeight w:val="20"/>
        </w:trPr>
        <w:tc>
          <w:tcPr>
            <w:tcW w:w="4180" w:type="dxa"/>
            <w:tcBorders>
              <w:top w:val="nil"/>
              <w:left w:val="single" w:sz="4" w:space="0" w:color="auto"/>
              <w:bottom w:val="single" w:sz="4" w:space="0" w:color="auto"/>
              <w:right w:val="nil"/>
            </w:tcBorders>
            <w:shd w:val="clear" w:color="auto" w:fill="A6A6A6" w:themeFill="background1" w:themeFillShade="A6"/>
            <w:tcMar>
              <w:left w:w="28" w:type="dxa"/>
              <w:right w:w="28" w:type="dxa"/>
            </w:tcMar>
            <w:vAlign w:val="center"/>
            <w:hideMark/>
          </w:tcPr>
          <w:p w:rsidR="0059472C" w:rsidRPr="00911867" w:rsidRDefault="0059472C" w:rsidP="0059472C">
            <w:pPr>
              <w:tabs>
                <w:tab w:val="left" w:pos="225"/>
              </w:tabs>
              <w:spacing w:before="120" w:after="120"/>
              <w:rPr>
                <w:rFonts w:ascii="Arial Narrow" w:hAnsi="Arial Narrow"/>
                <w:b/>
                <w:bCs/>
                <w:sz w:val="16"/>
                <w:szCs w:val="16"/>
              </w:rPr>
            </w:pPr>
            <w:r w:rsidRPr="00911867">
              <w:rPr>
                <w:rFonts w:ascii="Arial Narrow" w:hAnsi="Arial Narrow"/>
                <w:b/>
                <w:bCs/>
                <w:sz w:val="16"/>
                <w:szCs w:val="16"/>
              </w:rPr>
              <w:t>III.</w:t>
            </w:r>
            <w:r w:rsidRPr="00911867">
              <w:rPr>
                <w:rFonts w:ascii="Arial Narrow" w:hAnsi="Arial Narrow"/>
                <w:b/>
                <w:bCs/>
                <w:sz w:val="16"/>
                <w:szCs w:val="16"/>
              </w:rPr>
              <w:tab/>
              <w:t>Σύνολο Μεταβιβάσεων Τακτικού Προϋπολογισμού</w:t>
            </w:r>
            <w:r>
              <w:rPr>
                <w:rFonts w:ascii="Arial Narrow" w:hAnsi="Arial Narrow"/>
                <w:b/>
                <w:bCs/>
                <w:sz w:val="16"/>
                <w:szCs w:val="16"/>
              </w:rPr>
              <w:t xml:space="preserve">  </w:t>
            </w:r>
            <w:r w:rsidRPr="00911867">
              <w:rPr>
                <w:rFonts w:ascii="Arial Narrow" w:hAnsi="Arial Narrow"/>
                <w:b/>
                <w:bCs/>
                <w:sz w:val="16"/>
                <w:szCs w:val="16"/>
              </w:rPr>
              <w:t xml:space="preserve"> (Ι+ΙΙ)</w:t>
            </w:r>
          </w:p>
        </w:tc>
        <w:tc>
          <w:tcPr>
            <w:tcW w:w="850" w:type="dxa"/>
            <w:tcBorders>
              <w:top w:val="nil"/>
              <w:left w:val="nil"/>
              <w:bottom w:val="single" w:sz="4" w:space="0" w:color="auto"/>
            </w:tcBorders>
            <w:shd w:val="clear" w:color="auto" w:fill="A6A6A6" w:themeFill="background1" w:themeFillShade="A6"/>
            <w:noWrap/>
            <w:tcMar>
              <w:left w:w="28" w:type="dxa"/>
              <w:right w:w="28" w:type="dxa"/>
            </w:tcMar>
            <w:vAlign w:val="center"/>
            <w:hideMark/>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18.911</w:t>
            </w:r>
          </w:p>
        </w:tc>
        <w:tc>
          <w:tcPr>
            <w:tcW w:w="851" w:type="dxa"/>
            <w:tcBorders>
              <w:top w:val="nil"/>
              <w:left w:val="nil"/>
              <w:bottom w:val="single" w:sz="4" w:space="0" w:color="auto"/>
              <w:right w:val="nil"/>
            </w:tcBorders>
            <w:shd w:val="clear" w:color="auto" w:fill="A6A6A6" w:themeFill="background1" w:themeFillShade="A6"/>
            <w:vAlign w:val="center"/>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22.755</w:t>
            </w:r>
          </w:p>
        </w:tc>
        <w:tc>
          <w:tcPr>
            <w:tcW w:w="993"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22.797</w:t>
            </w:r>
          </w:p>
        </w:tc>
        <w:tc>
          <w:tcPr>
            <w:tcW w:w="900"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59472C" w:rsidRDefault="0059472C" w:rsidP="0059472C">
            <w:pPr>
              <w:ind w:right="227"/>
              <w:jc w:val="right"/>
              <w:rPr>
                <w:rFonts w:ascii="Arial Narrow" w:hAnsi="Arial Narrow"/>
                <w:b/>
                <w:bCs/>
                <w:color w:val="000000"/>
                <w:sz w:val="16"/>
                <w:szCs w:val="16"/>
              </w:rPr>
            </w:pPr>
            <w:r>
              <w:rPr>
                <w:rFonts w:ascii="Arial Narrow" w:hAnsi="Arial Narrow"/>
                <w:b/>
                <w:bCs/>
                <w:color w:val="000000"/>
                <w:sz w:val="16"/>
                <w:szCs w:val="16"/>
              </w:rPr>
              <w:t>22.187</w:t>
            </w:r>
          </w:p>
        </w:tc>
        <w:tc>
          <w:tcPr>
            <w:tcW w:w="640" w:type="dxa"/>
            <w:tcBorders>
              <w:top w:val="nil"/>
              <w:left w:val="nil"/>
              <w:bottom w:val="single" w:sz="4" w:space="0" w:color="auto"/>
              <w:right w:val="nil"/>
            </w:tcBorders>
            <w:shd w:val="clear" w:color="auto" w:fill="A6A6A6" w:themeFill="background1" w:themeFillShade="A6"/>
            <w:noWrap/>
            <w:tcMar>
              <w:left w:w="28" w:type="dxa"/>
              <w:right w:w="28" w:type="dxa"/>
            </w:tcMar>
            <w:vAlign w:val="center"/>
            <w:hideMark/>
          </w:tcPr>
          <w:p w:rsidR="0059472C" w:rsidRDefault="0059472C" w:rsidP="0059472C">
            <w:pPr>
              <w:ind w:right="113"/>
              <w:jc w:val="right"/>
              <w:rPr>
                <w:rFonts w:ascii="Arial Narrow" w:hAnsi="Arial Narrow"/>
                <w:b/>
                <w:bCs/>
                <w:color w:val="000000"/>
                <w:sz w:val="16"/>
                <w:szCs w:val="16"/>
              </w:rPr>
            </w:pPr>
            <w:r>
              <w:rPr>
                <w:rFonts w:ascii="Arial Narrow" w:hAnsi="Arial Narrow"/>
                <w:b/>
                <w:bCs/>
                <w:color w:val="000000"/>
                <w:sz w:val="16"/>
                <w:szCs w:val="16"/>
              </w:rPr>
              <w:t>20,6</w:t>
            </w:r>
          </w:p>
        </w:tc>
        <w:tc>
          <w:tcPr>
            <w:tcW w:w="585" w:type="dxa"/>
            <w:tcBorders>
              <w:top w:val="nil"/>
              <w:left w:val="nil"/>
              <w:bottom w:val="single" w:sz="4" w:space="0" w:color="auto"/>
              <w:right w:val="single" w:sz="4" w:space="0" w:color="auto"/>
            </w:tcBorders>
            <w:shd w:val="clear" w:color="auto" w:fill="A6A6A6" w:themeFill="background1" w:themeFillShade="A6"/>
            <w:noWrap/>
            <w:tcMar>
              <w:left w:w="28" w:type="dxa"/>
              <w:right w:w="28" w:type="dxa"/>
            </w:tcMar>
            <w:vAlign w:val="center"/>
            <w:hideMark/>
          </w:tcPr>
          <w:p w:rsidR="0059472C" w:rsidRDefault="0059472C" w:rsidP="0059472C">
            <w:pPr>
              <w:ind w:right="113"/>
              <w:jc w:val="right"/>
              <w:rPr>
                <w:rFonts w:ascii="Arial Narrow" w:hAnsi="Arial Narrow"/>
                <w:b/>
                <w:bCs/>
                <w:color w:val="000000"/>
                <w:sz w:val="16"/>
                <w:szCs w:val="16"/>
              </w:rPr>
            </w:pPr>
            <w:r>
              <w:rPr>
                <w:rFonts w:ascii="Arial Narrow" w:hAnsi="Arial Narrow"/>
                <w:b/>
                <w:bCs/>
                <w:color w:val="000000"/>
                <w:sz w:val="16"/>
                <w:szCs w:val="16"/>
              </w:rPr>
              <w:t>-2,7</w:t>
            </w:r>
          </w:p>
        </w:tc>
      </w:tr>
    </w:tbl>
    <w:p w:rsidR="0015466F" w:rsidRDefault="00F15996" w:rsidP="005A7E90">
      <w:pPr>
        <w:tabs>
          <w:tab w:val="left" w:pos="284"/>
        </w:tabs>
        <w:ind w:left="284" w:hanging="284"/>
        <w:jc w:val="both"/>
        <w:rPr>
          <w:rFonts w:ascii="Arial Narrow" w:hAnsi="Arial Narrow"/>
          <w:sz w:val="16"/>
          <w:szCs w:val="22"/>
        </w:rPr>
      </w:pPr>
      <w:r>
        <w:rPr>
          <w:rFonts w:ascii="Arial Narrow" w:hAnsi="Arial Narrow"/>
          <w:sz w:val="16"/>
          <w:szCs w:val="22"/>
          <w:vertAlign w:val="superscript"/>
        </w:rPr>
        <w:t xml:space="preserve">  </w:t>
      </w:r>
      <w:r w:rsidR="005A7E90" w:rsidRPr="005A7E90">
        <w:rPr>
          <w:rFonts w:ascii="Arial Narrow" w:hAnsi="Arial Narrow"/>
          <w:sz w:val="16"/>
          <w:szCs w:val="22"/>
          <w:vertAlign w:val="superscript"/>
        </w:rPr>
        <w:t>1</w:t>
      </w:r>
      <w:r w:rsidR="005A7E90" w:rsidRPr="005A7E90">
        <w:rPr>
          <w:rFonts w:ascii="Arial Narrow" w:hAnsi="Arial Narrow"/>
          <w:sz w:val="16"/>
          <w:szCs w:val="22"/>
        </w:rPr>
        <w:tab/>
        <w:t>Οι εκτιμήσεις πραγματοποιήσεων έτους 2017 περιλαμβάνουν 2,4 εκατ. ευρώ στις επιχορηγήσεις νοσοκομείων και 16,7 εκατ. ευρώ στις επιχορηγήσεις ΔΕΚΟ για δαπάνες αντιμετώπισης των μεταναστευτικών ροών από το Υπουργείο Υγείας.</w:t>
      </w:r>
    </w:p>
    <w:p w:rsidR="005B3597" w:rsidRPr="005B3597" w:rsidRDefault="005B3597" w:rsidP="005A7E90">
      <w:pPr>
        <w:tabs>
          <w:tab w:val="left" w:pos="284"/>
        </w:tabs>
        <w:ind w:left="284" w:hanging="284"/>
        <w:jc w:val="both"/>
        <w:rPr>
          <w:rFonts w:ascii="Arial Narrow" w:hAnsi="Arial Narrow"/>
          <w:sz w:val="16"/>
          <w:szCs w:val="22"/>
        </w:rPr>
      </w:pPr>
      <w:r>
        <w:rPr>
          <w:rFonts w:ascii="Arial Narrow" w:hAnsi="Arial Narrow"/>
          <w:sz w:val="16"/>
          <w:szCs w:val="22"/>
          <w:vertAlign w:val="superscript"/>
        </w:rPr>
        <w:t>2</w:t>
      </w:r>
      <w:r>
        <w:rPr>
          <w:rFonts w:ascii="Arial Narrow" w:hAnsi="Arial Narrow"/>
          <w:sz w:val="16"/>
          <w:szCs w:val="22"/>
          <w:vertAlign w:val="superscript"/>
        </w:rPr>
        <w:tab/>
      </w:r>
      <w:r>
        <w:rPr>
          <w:rFonts w:ascii="Arial Narrow" w:hAnsi="Arial Narrow"/>
          <w:sz w:val="16"/>
          <w:szCs w:val="22"/>
        </w:rPr>
        <w:t>Η ΤΡΑΙΝΟΣΕ θεωρείται φορέας εντός της Γενικής Κυβέρνησης μέχρι την ημερομηνία της αποκρατικοποίησής της (14/9/2017).</w:t>
      </w:r>
    </w:p>
    <w:p w:rsidR="005B3597" w:rsidRPr="005A7E90" w:rsidRDefault="005B3597" w:rsidP="005A7E90">
      <w:pPr>
        <w:tabs>
          <w:tab w:val="left" w:pos="284"/>
        </w:tabs>
        <w:ind w:left="284" w:hanging="284"/>
        <w:jc w:val="both"/>
        <w:rPr>
          <w:rFonts w:ascii="Arial Narrow" w:hAnsi="Arial Narrow"/>
          <w:sz w:val="16"/>
          <w:szCs w:val="22"/>
        </w:rPr>
      </w:pPr>
    </w:p>
    <w:p w:rsidR="004F26BD" w:rsidRDefault="004F26BD" w:rsidP="004F26BD">
      <w:pPr>
        <w:jc w:val="both"/>
        <w:rPr>
          <w:rFonts w:ascii="Arial Narrow" w:hAnsi="Arial Narrow"/>
          <w:b/>
          <w:bCs/>
          <w:i/>
          <w:sz w:val="22"/>
          <w:szCs w:val="22"/>
        </w:rPr>
      </w:pPr>
    </w:p>
    <w:p w:rsidR="00D16A56" w:rsidRDefault="00D16A56" w:rsidP="004F26BD">
      <w:pPr>
        <w:jc w:val="both"/>
        <w:rPr>
          <w:rFonts w:ascii="Arial Narrow" w:hAnsi="Arial Narrow"/>
          <w:b/>
          <w:bCs/>
          <w:i/>
          <w:sz w:val="22"/>
          <w:szCs w:val="22"/>
        </w:rPr>
      </w:pPr>
    </w:p>
    <w:p w:rsidR="00D16A56" w:rsidRPr="00393103" w:rsidRDefault="00D16A56" w:rsidP="004F26BD">
      <w:pPr>
        <w:jc w:val="both"/>
        <w:rPr>
          <w:rFonts w:ascii="Arial Narrow" w:hAnsi="Arial Narrow"/>
          <w:b/>
          <w:bCs/>
          <w:i/>
          <w:sz w:val="22"/>
          <w:szCs w:val="22"/>
        </w:rPr>
      </w:pPr>
    </w:p>
    <w:p w:rsidR="00D16A56" w:rsidRPr="00393103" w:rsidRDefault="00D16A56" w:rsidP="00D16A56">
      <w:pPr>
        <w:jc w:val="both"/>
        <w:rPr>
          <w:rFonts w:ascii="Arial Narrow" w:hAnsi="Arial Narrow"/>
          <w:b/>
          <w:bCs/>
          <w:sz w:val="22"/>
          <w:szCs w:val="22"/>
        </w:rPr>
      </w:pPr>
      <w:r w:rsidRPr="00393103">
        <w:rPr>
          <w:rFonts w:ascii="Arial Narrow" w:hAnsi="Arial Narrow"/>
          <w:b/>
          <w:bCs/>
          <w:sz w:val="22"/>
          <w:szCs w:val="22"/>
        </w:rPr>
        <w:t>Δαπάνες για την υλοποίηση εξοπλιστικών προγραμμάτων Υπουργείου Εθνικής Άμυνας</w:t>
      </w:r>
    </w:p>
    <w:p w:rsidR="00D16A56" w:rsidRPr="00393103" w:rsidRDefault="00D16A56" w:rsidP="00D16A56">
      <w:pPr>
        <w:jc w:val="both"/>
        <w:rPr>
          <w:b/>
          <w:bCs/>
          <w:i/>
          <w:sz w:val="22"/>
          <w:szCs w:val="22"/>
          <w:lang w:eastAsia="en-US"/>
        </w:rPr>
      </w:pPr>
    </w:p>
    <w:p w:rsidR="00D16A56" w:rsidRPr="00393103" w:rsidRDefault="00D16A56" w:rsidP="00D16A56">
      <w:pPr>
        <w:jc w:val="both"/>
        <w:rPr>
          <w:sz w:val="22"/>
          <w:szCs w:val="22"/>
          <w:lang w:eastAsia="en-US"/>
        </w:rPr>
      </w:pPr>
      <w:r w:rsidRPr="00393103">
        <w:rPr>
          <w:sz w:val="22"/>
          <w:szCs w:val="22"/>
          <w:lang w:eastAsia="en-US"/>
        </w:rPr>
        <w:t>Οι ταμειακές δαπάνες για την υλοποίηση εξοπλιστικών προγραμμάτων του Υπουργείου Εθνικής Άμ</w:t>
      </w:r>
      <w:r w:rsidRPr="00393103">
        <w:rPr>
          <w:sz w:val="22"/>
          <w:szCs w:val="22"/>
          <w:lang w:eastAsia="en-US"/>
        </w:rPr>
        <w:t>υ</w:t>
      </w:r>
      <w:r w:rsidRPr="00393103">
        <w:rPr>
          <w:sz w:val="22"/>
          <w:szCs w:val="22"/>
          <w:lang w:eastAsia="en-US"/>
        </w:rPr>
        <w:t>νας εκτιμάται ότι θα διαμορφωθούν στα 475 εκατ. ευρώ, ενώ οι φυσικές παραλαβές (δημοσιο</w:t>
      </w:r>
      <w:r>
        <w:rPr>
          <w:sz w:val="22"/>
          <w:szCs w:val="22"/>
          <w:lang w:eastAsia="en-US"/>
        </w:rPr>
        <w:t>νομι</w:t>
      </w:r>
      <w:r w:rsidRPr="00393103">
        <w:rPr>
          <w:sz w:val="22"/>
          <w:szCs w:val="22"/>
          <w:lang w:eastAsia="en-US"/>
        </w:rPr>
        <w:t>κή βάση) θα ανέλθουν σε 831 εκατ. ευρώ.</w:t>
      </w:r>
    </w:p>
    <w:p w:rsidR="00D16A56" w:rsidRDefault="00D16A56" w:rsidP="00D16A56">
      <w:pPr>
        <w:jc w:val="both"/>
        <w:rPr>
          <w:bCs/>
          <w:sz w:val="22"/>
          <w:szCs w:val="22"/>
        </w:rPr>
      </w:pPr>
    </w:p>
    <w:p w:rsidR="004F26BD" w:rsidRPr="00393103" w:rsidRDefault="004F26BD" w:rsidP="004F26BD">
      <w:pPr>
        <w:jc w:val="both"/>
        <w:rPr>
          <w:rFonts w:ascii="Arial Narrow" w:hAnsi="Arial Narrow"/>
          <w:b/>
          <w:bCs/>
          <w:sz w:val="22"/>
          <w:szCs w:val="22"/>
        </w:rPr>
      </w:pPr>
      <w:r w:rsidRPr="00393103">
        <w:rPr>
          <w:rFonts w:ascii="Arial Narrow" w:hAnsi="Arial Narrow"/>
          <w:b/>
          <w:bCs/>
          <w:sz w:val="22"/>
          <w:szCs w:val="22"/>
        </w:rPr>
        <w:t>Αναλήψεις χρεών φορέων Γενικής Κυβέρνησης</w:t>
      </w:r>
    </w:p>
    <w:p w:rsidR="004F26BD" w:rsidRPr="00393103" w:rsidRDefault="004F26BD" w:rsidP="004F26BD">
      <w:pPr>
        <w:jc w:val="both"/>
        <w:rPr>
          <w:sz w:val="22"/>
          <w:szCs w:val="22"/>
        </w:rPr>
      </w:pPr>
    </w:p>
    <w:p w:rsidR="004F26BD" w:rsidRPr="00393103" w:rsidRDefault="004F26BD" w:rsidP="004F26BD">
      <w:pPr>
        <w:jc w:val="both"/>
        <w:rPr>
          <w:sz w:val="22"/>
          <w:szCs w:val="22"/>
          <w:lang w:eastAsia="en-US"/>
        </w:rPr>
      </w:pPr>
      <w:r w:rsidRPr="00393103">
        <w:rPr>
          <w:sz w:val="22"/>
          <w:szCs w:val="22"/>
          <w:lang w:eastAsia="en-US"/>
        </w:rPr>
        <w:t xml:space="preserve">Οι δαπάνες της κατηγορίας αυτής </w:t>
      </w:r>
      <w:r w:rsidR="000F4288">
        <w:rPr>
          <w:sz w:val="22"/>
          <w:szCs w:val="22"/>
          <w:lang w:eastAsia="en-US"/>
        </w:rPr>
        <w:t xml:space="preserve">λόγω της </w:t>
      </w:r>
      <w:r w:rsidR="000F4288" w:rsidRPr="00393103">
        <w:rPr>
          <w:sz w:val="22"/>
          <w:szCs w:val="22"/>
          <w:lang w:eastAsia="en-US"/>
        </w:rPr>
        <w:t>ανάληψη</w:t>
      </w:r>
      <w:r w:rsidR="000F4288">
        <w:rPr>
          <w:sz w:val="22"/>
          <w:szCs w:val="22"/>
          <w:lang w:eastAsia="en-US"/>
        </w:rPr>
        <w:t>ς</w:t>
      </w:r>
      <w:r w:rsidR="000F4288" w:rsidRPr="00393103">
        <w:rPr>
          <w:sz w:val="22"/>
          <w:szCs w:val="22"/>
          <w:lang w:eastAsia="en-US"/>
        </w:rPr>
        <w:t xml:space="preserve"> </w:t>
      </w:r>
      <w:r w:rsidR="000F4288">
        <w:rPr>
          <w:sz w:val="22"/>
          <w:szCs w:val="22"/>
          <w:lang w:eastAsia="en-US"/>
        </w:rPr>
        <w:t xml:space="preserve">του </w:t>
      </w:r>
      <w:r w:rsidR="000F4288" w:rsidRPr="00393103">
        <w:rPr>
          <w:sz w:val="22"/>
          <w:szCs w:val="22"/>
          <w:lang w:eastAsia="en-US"/>
        </w:rPr>
        <w:t>χρέους του Οργανισμού Μεγάρου Μουσ</w:t>
      </w:r>
      <w:r w:rsidR="000F4288" w:rsidRPr="00393103">
        <w:rPr>
          <w:sz w:val="22"/>
          <w:szCs w:val="22"/>
          <w:lang w:eastAsia="en-US"/>
        </w:rPr>
        <w:t>ι</w:t>
      </w:r>
      <w:r w:rsidR="000F4288" w:rsidRPr="00393103">
        <w:rPr>
          <w:sz w:val="22"/>
          <w:szCs w:val="22"/>
          <w:lang w:eastAsia="en-US"/>
        </w:rPr>
        <w:t xml:space="preserve">κής Αθηνών </w:t>
      </w:r>
      <w:r w:rsidRPr="00393103">
        <w:rPr>
          <w:sz w:val="22"/>
          <w:szCs w:val="22"/>
          <w:lang w:eastAsia="en-US"/>
        </w:rPr>
        <w:t>εκτιμάται ότι θα διαμορφωθούν σε 193 εκατ. ευρώ, στο ύψος του στόχου του ΜΠΔΣ 2018-2021. Η δαπάνη αυτή σε δημοσιο</w:t>
      </w:r>
      <w:r>
        <w:rPr>
          <w:sz w:val="22"/>
          <w:szCs w:val="22"/>
          <w:lang w:eastAsia="en-US"/>
        </w:rPr>
        <w:t>νομι</w:t>
      </w:r>
      <w:r w:rsidRPr="00393103">
        <w:rPr>
          <w:sz w:val="22"/>
          <w:szCs w:val="22"/>
          <w:lang w:eastAsia="en-US"/>
        </w:rPr>
        <w:t>κή βάση είναι ουδέτερη στο αποτέλεσμα της Γενικής Κ</w:t>
      </w:r>
      <w:r w:rsidRPr="00393103">
        <w:rPr>
          <w:sz w:val="22"/>
          <w:szCs w:val="22"/>
          <w:lang w:eastAsia="en-US"/>
        </w:rPr>
        <w:t>υ</w:t>
      </w:r>
      <w:r w:rsidRPr="00393103">
        <w:rPr>
          <w:sz w:val="22"/>
          <w:szCs w:val="22"/>
          <w:lang w:eastAsia="en-US"/>
        </w:rPr>
        <w:t xml:space="preserve">βέρνησης. </w:t>
      </w:r>
    </w:p>
    <w:p w:rsidR="004F26BD" w:rsidRPr="00393103" w:rsidRDefault="004F26BD" w:rsidP="004F26BD">
      <w:pPr>
        <w:jc w:val="both"/>
        <w:rPr>
          <w:sz w:val="22"/>
          <w:szCs w:val="22"/>
          <w:lang w:eastAsia="en-US"/>
        </w:rPr>
      </w:pPr>
    </w:p>
    <w:p w:rsidR="004F26BD" w:rsidRPr="00393103" w:rsidRDefault="004F26BD" w:rsidP="004F26BD">
      <w:pPr>
        <w:jc w:val="both"/>
        <w:rPr>
          <w:rFonts w:ascii="Arial Narrow" w:hAnsi="Arial Narrow"/>
          <w:b/>
          <w:bCs/>
          <w:sz w:val="22"/>
          <w:szCs w:val="22"/>
        </w:rPr>
      </w:pPr>
      <w:r w:rsidRPr="00393103">
        <w:rPr>
          <w:rFonts w:ascii="Arial Narrow" w:hAnsi="Arial Narrow"/>
          <w:b/>
          <w:bCs/>
          <w:sz w:val="22"/>
          <w:szCs w:val="22"/>
        </w:rPr>
        <w:t>Δαπάνες τόκων</w:t>
      </w:r>
    </w:p>
    <w:p w:rsidR="004F26BD" w:rsidRPr="00393103" w:rsidRDefault="004F26BD" w:rsidP="004F26BD">
      <w:pPr>
        <w:jc w:val="both"/>
        <w:rPr>
          <w:b/>
          <w:bCs/>
          <w:i/>
          <w:sz w:val="22"/>
          <w:szCs w:val="22"/>
          <w:lang w:eastAsia="en-US"/>
        </w:rPr>
      </w:pPr>
    </w:p>
    <w:p w:rsidR="004F26BD" w:rsidRPr="00393103" w:rsidRDefault="004F26BD" w:rsidP="004F26BD">
      <w:pPr>
        <w:jc w:val="both"/>
        <w:rPr>
          <w:sz w:val="22"/>
          <w:szCs w:val="22"/>
          <w:lang w:eastAsia="en-US"/>
        </w:rPr>
      </w:pPr>
      <w:r w:rsidRPr="00393103">
        <w:rPr>
          <w:sz w:val="22"/>
          <w:szCs w:val="22"/>
          <w:lang w:eastAsia="en-US"/>
        </w:rPr>
        <w:t xml:space="preserve">Οι ταμειακές δαπάνες για τόκους, εκτιμάται ότι θα διαμορφωθούν στα 6.000 εκατ. ευρώ, έναντι 5.650 εκατ. ευρώ του στόχου του ΜΠΔΣ 2018-2021. </w:t>
      </w:r>
    </w:p>
    <w:p w:rsidR="005A7E90" w:rsidRDefault="005A7E90" w:rsidP="00E24166">
      <w:pPr>
        <w:jc w:val="both"/>
        <w:rPr>
          <w:rFonts w:ascii="Arial Narrow" w:hAnsi="Arial Narrow"/>
          <w:b/>
          <w:szCs w:val="22"/>
        </w:rPr>
      </w:pPr>
    </w:p>
    <w:p w:rsidR="00D16A56" w:rsidRDefault="00D16A56" w:rsidP="00E24166">
      <w:pPr>
        <w:jc w:val="both"/>
        <w:rPr>
          <w:rFonts w:ascii="Arial Narrow" w:hAnsi="Arial Narrow"/>
          <w:b/>
          <w:szCs w:val="22"/>
        </w:rPr>
      </w:pPr>
    </w:p>
    <w:p w:rsidR="00D16A56" w:rsidRDefault="00D16A56" w:rsidP="00E24166">
      <w:pPr>
        <w:jc w:val="both"/>
        <w:rPr>
          <w:rFonts w:ascii="Arial Narrow" w:hAnsi="Arial Narrow"/>
          <w:b/>
          <w:szCs w:val="22"/>
        </w:rPr>
      </w:pPr>
    </w:p>
    <w:p w:rsidR="004F26BD" w:rsidRPr="00351F4C" w:rsidRDefault="004F26BD" w:rsidP="00E24166">
      <w:pPr>
        <w:jc w:val="both"/>
        <w:rPr>
          <w:rFonts w:ascii="Arial Narrow" w:hAnsi="Arial Narrow"/>
          <w:b/>
          <w:szCs w:val="22"/>
        </w:rPr>
      </w:pPr>
    </w:p>
    <w:p w:rsidR="00E24166" w:rsidRPr="00351F4C" w:rsidRDefault="00E24166" w:rsidP="00E24166">
      <w:pPr>
        <w:shd w:val="clear" w:color="auto" w:fill="A6A6A6" w:themeFill="background1" w:themeFillShade="A6"/>
        <w:rPr>
          <w:rFonts w:ascii="Arial Narrow" w:hAnsi="Arial Narrow"/>
          <w:b/>
          <w:szCs w:val="26"/>
        </w:rPr>
      </w:pPr>
      <w:r w:rsidRPr="00351F4C">
        <w:rPr>
          <w:rFonts w:ascii="Arial Narrow" w:hAnsi="Arial Narrow"/>
          <w:b/>
          <w:szCs w:val="26"/>
        </w:rPr>
        <w:lastRenderedPageBreak/>
        <w:t>2.2</w:t>
      </w:r>
      <w:r w:rsidRPr="00351F4C">
        <w:rPr>
          <w:rFonts w:ascii="Arial Narrow" w:hAnsi="Arial Narrow"/>
          <w:b/>
          <w:szCs w:val="26"/>
        </w:rPr>
        <w:tab/>
        <w:t>Πρόγραμμα Δημοσίων Επενδύσεων</w:t>
      </w:r>
    </w:p>
    <w:p w:rsidR="00E24166" w:rsidRPr="00351F4C" w:rsidRDefault="00E24166" w:rsidP="00E24166">
      <w:pPr>
        <w:jc w:val="both"/>
        <w:rPr>
          <w:b/>
          <w:sz w:val="22"/>
        </w:rPr>
      </w:pPr>
    </w:p>
    <w:p w:rsidR="00117D58" w:rsidRPr="00117D58" w:rsidRDefault="00117D58" w:rsidP="00117D58">
      <w:pPr>
        <w:contextualSpacing/>
        <w:jc w:val="both"/>
        <w:rPr>
          <w:sz w:val="22"/>
        </w:rPr>
      </w:pPr>
      <w:r w:rsidRPr="00117D58">
        <w:rPr>
          <w:sz w:val="22"/>
        </w:rPr>
        <w:t xml:space="preserve">Στην παρούσα κρίσιμη φάση για την ελληνική οικονομία, η υλοποίηση του ΠΔΕ για το 2017 έχει ως στόχο να συνοδεύσει τη δημοσιονομική προσπάθεια με αναπτυξιακές δράσεις συμβάλλοντας στην </w:t>
      </w:r>
      <w:r w:rsidRPr="00117D58">
        <w:rPr>
          <w:sz w:val="22"/>
        </w:rPr>
        <w:t>ε</w:t>
      </w:r>
      <w:r w:rsidRPr="00117D58">
        <w:rPr>
          <w:sz w:val="22"/>
        </w:rPr>
        <w:t>νίσχυση της οικονομίας και ταυτόχρονα τη στήριξη της κοινωνικής συνοχής.</w:t>
      </w:r>
    </w:p>
    <w:p w:rsidR="00117D58" w:rsidRPr="00117D58" w:rsidRDefault="00117D58" w:rsidP="00117D58">
      <w:pPr>
        <w:contextualSpacing/>
        <w:jc w:val="both"/>
        <w:rPr>
          <w:sz w:val="22"/>
        </w:rPr>
      </w:pPr>
    </w:p>
    <w:p w:rsidR="00117D58" w:rsidRPr="00117D58" w:rsidRDefault="00117D58" w:rsidP="00117D58">
      <w:pPr>
        <w:contextualSpacing/>
        <w:jc w:val="both"/>
        <w:rPr>
          <w:sz w:val="22"/>
        </w:rPr>
      </w:pPr>
      <w:r w:rsidRPr="00117D58">
        <w:rPr>
          <w:sz w:val="22"/>
        </w:rPr>
        <w:t>Για το έτος 2017, προβλέπεται η υλοποίηση έργω</w:t>
      </w:r>
      <w:r w:rsidR="003D6DC1">
        <w:rPr>
          <w:sz w:val="22"/>
        </w:rPr>
        <w:t>ν και δράσεων συνολικού ύψους 6.</w:t>
      </w:r>
      <w:r w:rsidRPr="00117D58">
        <w:rPr>
          <w:sz w:val="22"/>
        </w:rPr>
        <w:t>75</w:t>
      </w:r>
      <w:r w:rsidR="003D6DC1">
        <w:rPr>
          <w:sz w:val="22"/>
        </w:rPr>
        <w:t>0 εκατ</w:t>
      </w:r>
      <w:r w:rsidRPr="00117D58">
        <w:rPr>
          <w:sz w:val="22"/>
        </w:rPr>
        <w:t xml:space="preserve">. ευρώ. </w:t>
      </w:r>
      <w:r w:rsidR="003D6DC1">
        <w:rPr>
          <w:sz w:val="22"/>
        </w:rPr>
        <w:t>Από αυτά, ποσό ύψους 5.</w:t>
      </w:r>
      <w:r w:rsidRPr="00117D58">
        <w:rPr>
          <w:sz w:val="22"/>
        </w:rPr>
        <w:t>75</w:t>
      </w:r>
      <w:r w:rsidR="003D6DC1">
        <w:rPr>
          <w:sz w:val="22"/>
        </w:rPr>
        <w:t>0 εκατ</w:t>
      </w:r>
      <w:r w:rsidRPr="00117D58">
        <w:rPr>
          <w:sz w:val="22"/>
        </w:rPr>
        <w:t>. ευρώ αφορά συγχρηματο</w:t>
      </w:r>
      <w:r w:rsidR="003D6DC1">
        <w:rPr>
          <w:sz w:val="22"/>
        </w:rPr>
        <w:t>δοτούμενα έργα, εκ των οποίων 3.</w:t>
      </w:r>
      <w:r w:rsidRPr="00117D58">
        <w:rPr>
          <w:sz w:val="22"/>
        </w:rPr>
        <w:t>9</w:t>
      </w:r>
      <w:r w:rsidR="00F0531B">
        <w:rPr>
          <w:sz w:val="22"/>
        </w:rPr>
        <w:t>43</w:t>
      </w:r>
      <w:r w:rsidR="003D6DC1">
        <w:rPr>
          <w:sz w:val="22"/>
        </w:rPr>
        <w:t xml:space="preserve"> εκατ</w:t>
      </w:r>
      <w:r w:rsidRPr="00117D58">
        <w:rPr>
          <w:sz w:val="22"/>
        </w:rPr>
        <w:t>. ευρώ εκτιμάται ότι θα διατεθούν για την υλοποίηση έργων ΕΣΠΑ 2014-2020, 8</w:t>
      </w:r>
      <w:r w:rsidR="003D6DC1">
        <w:rPr>
          <w:sz w:val="22"/>
        </w:rPr>
        <w:t>00</w:t>
      </w:r>
      <w:r w:rsidRPr="00117D58">
        <w:rPr>
          <w:sz w:val="22"/>
        </w:rPr>
        <w:t xml:space="preserve"> </w:t>
      </w:r>
      <w:r w:rsidR="003D6DC1">
        <w:rPr>
          <w:sz w:val="22"/>
        </w:rPr>
        <w:t>εκατ</w:t>
      </w:r>
      <w:r w:rsidRPr="00117D58">
        <w:rPr>
          <w:sz w:val="22"/>
        </w:rPr>
        <w:t>. ευρώ για την ολοκλήρωση έργων ΕΣΠΑ 2007-2013 και 1</w:t>
      </w:r>
      <w:r w:rsidR="003D6DC1">
        <w:rPr>
          <w:sz w:val="22"/>
        </w:rPr>
        <w:t>.007</w:t>
      </w:r>
      <w:r w:rsidRPr="00117D58">
        <w:rPr>
          <w:sz w:val="22"/>
        </w:rPr>
        <w:t xml:space="preserve"> </w:t>
      </w:r>
      <w:r w:rsidR="003D6DC1">
        <w:rPr>
          <w:sz w:val="22"/>
        </w:rPr>
        <w:t>εκατ</w:t>
      </w:r>
      <w:r w:rsidRPr="00117D58">
        <w:rPr>
          <w:sz w:val="22"/>
        </w:rPr>
        <w:t>. ευρώ για πληρωμές δαπανών λοιπών συγχρηματοδοτούμενων προγραμμάτων και των δύο περιόδων.</w:t>
      </w:r>
    </w:p>
    <w:p w:rsidR="00117D58" w:rsidRPr="00117D58" w:rsidRDefault="00117D58" w:rsidP="00117D58">
      <w:pPr>
        <w:contextualSpacing/>
        <w:jc w:val="both"/>
        <w:rPr>
          <w:sz w:val="22"/>
        </w:rPr>
      </w:pPr>
    </w:p>
    <w:p w:rsidR="00117D58" w:rsidRPr="00117D58" w:rsidRDefault="00117D58" w:rsidP="00117D58">
      <w:pPr>
        <w:contextualSpacing/>
        <w:jc w:val="both"/>
        <w:rPr>
          <w:sz w:val="22"/>
          <w:szCs w:val="22"/>
        </w:rPr>
      </w:pPr>
      <w:r w:rsidRPr="00117D58">
        <w:rPr>
          <w:bCs/>
          <w:sz w:val="22"/>
        </w:rPr>
        <w:t>Βασικός στόχος της</w:t>
      </w:r>
      <w:r w:rsidRPr="00117D58">
        <w:rPr>
          <w:sz w:val="22"/>
        </w:rPr>
        <w:t xml:space="preserve"> εκτέλεσης του συγχρηματοδοτούμενου σκέλους του ΠΔΕ και για το 2017 είναι η μέγιστη απορρόφηση των προβλεπόμενων πόρων, με τους οποίους η Ευρωπαϊκή </w:t>
      </w:r>
      <w:r w:rsidR="003D6DC1" w:rsidRPr="00117D58">
        <w:rPr>
          <w:sz w:val="22"/>
        </w:rPr>
        <w:t>Ένωση</w:t>
      </w:r>
      <w:r w:rsidRPr="00117D58">
        <w:rPr>
          <w:sz w:val="22"/>
        </w:rPr>
        <w:t xml:space="preserve"> συγχρηματ</w:t>
      </w:r>
      <w:r w:rsidRPr="00117D58">
        <w:rPr>
          <w:sz w:val="22"/>
        </w:rPr>
        <w:t>ο</w:t>
      </w:r>
      <w:r w:rsidRPr="00117D58">
        <w:rPr>
          <w:sz w:val="22"/>
        </w:rPr>
        <w:t>δοτεί επενδυτικά προγράμματα της χώρας</w:t>
      </w:r>
      <w:r w:rsidRPr="00117D58">
        <w:rPr>
          <w:bCs/>
          <w:sz w:val="22"/>
        </w:rPr>
        <w:t xml:space="preserve">. </w:t>
      </w:r>
      <w:r w:rsidRPr="00117D58">
        <w:rPr>
          <w:sz w:val="22"/>
          <w:szCs w:val="22"/>
        </w:rPr>
        <w:t>Ο στόχος αυτός εξειδικεύεται αφενός στην ταχεία ολοκλ</w:t>
      </w:r>
      <w:r w:rsidRPr="00117D58">
        <w:rPr>
          <w:sz w:val="22"/>
          <w:szCs w:val="22"/>
        </w:rPr>
        <w:t>ή</w:t>
      </w:r>
      <w:r w:rsidRPr="00117D58">
        <w:rPr>
          <w:sz w:val="22"/>
          <w:szCs w:val="22"/>
        </w:rPr>
        <w:t>ρωση όλων των εκκρεμοτήτων που αφορούν σε δράσεις ΕΣΠΑ και των λοιπών συγχρηματοδοτούμ</w:t>
      </w:r>
      <w:r w:rsidRPr="00117D58">
        <w:rPr>
          <w:sz w:val="22"/>
          <w:szCs w:val="22"/>
        </w:rPr>
        <w:t>ε</w:t>
      </w:r>
      <w:r w:rsidRPr="00117D58">
        <w:rPr>
          <w:sz w:val="22"/>
          <w:szCs w:val="22"/>
        </w:rPr>
        <w:t>νων</w:t>
      </w:r>
      <w:r w:rsidR="003D6DC1">
        <w:rPr>
          <w:sz w:val="22"/>
          <w:szCs w:val="22"/>
        </w:rPr>
        <w:t xml:space="preserve"> προγραμμάτων της περιόδου 2007-</w:t>
      </w:r>
      <w:r w:rsidRPr="00117D58">
        <w:rPr>
          <w:sz w:val="22"/>
          <w:szCs w:val="22"/>
        </w:rPr>
        <w:t>2013 και αφετέρου στην επίσπευση της υλοποίησης των πρ</w:t>
      </w:r>
      <w:r w:rsidRPr="00117D58">
        <w:rPr>
          <w:sz w:val="22"/>
          <w:szCs w:val="22"/>
        </w:rPr>
        <w:t>ο</w:t>
      </w:r>
      <w:r w:rsidRPr="00117D58">
        <w:rPr>
          <w:sz w:val="22"/>
          <w:szCs w:val="22"/>
        </w:rPr>
        <w:t>γραμμάτων της περιόδου 2014-2020.</w:t>
      </w:r>
    </w:p>
    <w:p w:rsidR="00117D58" w:rsidRPr="00117D58" w:rsidRDefault="00117D58" w:rsidP="00117D58">
      <w:pPr>
        <w:contextualSpacing/>
        <w:jc w:val="both"/>
        <w:rPr>
          <w:sz w:val="22"/>
        </w:rPr>
      </w:pPr>
    </w:p>
    <w:p w:rsidR="00117D58" w:rsidRPr="00117D58" w:rsidRDefault="00117D58" w:rsidP="00117D58">
      <w:pPr>
        <w:contextualSpacing/>
        <w:jc w:val="both"/>
        <w:rPr>
          <w:sz w:val="22"/>
          <w:szCs w:val="22"/>
        </w:rPr>
      </w:pPr>
      <w:r w:rsidRPr="00117D58">
        <w:rPr>
          <w:sz w:val="22"/>
        </w:rPr>
        <w:t>Τέλος, ποσό ύψους 1</w:t>
      </w:r>
      <w:r w:rsidR="003D6DC1">
        <w:rPr>
          <w:sz w:val="22"/>
        </w:rPr>
        <w:t>.000</w:t>
      </w:r>
      <w:r w:rsidRPr="00117D58">
        <w:rPr>
          <w:sz w:val="22"/>
        </w:rPr>
        <w:t xml:space="preserve"> </w:t>
      </w:r>
      <w:r w:rsidR="003D6DC1">
        <w:rPr>
          <w:sz w:val="22"/>
        </w:rPr>
        <w:t>εκατ</w:t>
      </w:r>
      <w:r w:rsidRPr="00117D58">
        <w:rPr>
          <w:sz w:val="22"/>
        </w:rPr>
        <w:t>. ευρώ εκτιμάται ότι θα διατεθεί για την υλοποίηση έργων χρηματοδ</w:t>
      </w:r>
      <w:r w:rsidRPr="00117D58">
        <w:rPr>
          <w:sz w:val="22"/>
        </w:rPr>
        <w:t>ο</w:t>
      </w:r>
      <w:r w:rsidRPr="00117D58">
        <w:rPr>
          <w:sz w:val="22"/>
        </w:rPr>
        <w:t xml:space="preserve">τούμενων αμιγώς από εθνικούς πόρους. Οι πόροι αυτοί θα διατεθούν </w:t>
      </w:r>
      <w:r w:rsidRPr="00117D58">
        <w:rPr>
          <w:sz w:val="22"/>
          <w:szCs w:val="22"/>
        </w:rPr>
        <w:t>για την προώθηση αναπτυξι</w:t>
      </w:r>
      <w:r w:rsidRPr="00117D58">
        <w:rPr>
          <w:sz w:val="22"/>
          <w:szCs w:val="22"/>
        </w:rPr>
        <w:t>α</w:t>
      </w:r>
      <w:r w:rsidRPr="00117D58">
        <w:rPr>
          <w:sz w:val="22"/>
          <w:szCs w:val="22"/>
        </w:rPr>
        <w:t>κών πρωτοβουλιών, συμπληρωματικά με τα συγχρηματοδοτούμενα έργα.</w:t>
      </w:r>
    </w:p>
    <w:p w:rsidR="005A7E90" w:rsidRDefault="005A7E90">
      <w:pPr>
        <w:rPr>
          <w:bCs/>
          <w:sz w:val="22"/>
          <w:szCs w:val="22"/>
        </w:rPr>
      </w:pPr>
    </w:p>
    <w:p w:rsidR="005D0BB1" w:rsidRPr="00E8599F" w:rsidRDefault="005D0BB1" w:rsidP="005D0BB1">
      <w:pPr>
        <w:jc w:val="both"/>
        <w:rPr>
          <w:sz w:val="22"/>
        </w:rPr>
      </w:pPr>
    </w:p>
    <w:p w:rsidR="005D0BB1" w:rsidRPr="00D421AD" w:rsidRDefault="005D0BB1" w:rsidP="005D0BB1">
      <w:pPr>
        <w:shd w:val="clear" w:color="auto" w:fill="595959" w:themeFill="text1" w:themeFillTint="A6"/>
        <w:jc w:val="both"/>
        <w:rPr>
          <w:rFonts w:ascii="Arial Narrow" w:hAnsi="Arial Narrow"/>
          <w:b/>
          <w:color w:val="FFFFFF"/>
          <w:sz w:val="26"/>
          <w:szCs w:val="26"/>
        </w:rPr>
      </w:pPr>
      <w:r w:rsidRPr="00D421AD">
        <w:rPr>
          <w:rFonts w:ascii="Arial Narrow" w:hAnsi="Arial Narrow"/>
          <w:b/>
          <w:color w:val="FFFFFF"/>
          <w:sz w:val="26"/>
          <w:szCs w:val="26"/>
        </w:rPr>
        <w:t>3.</w:t>
      </w:r>
      <w:r w:rsidRPr="00D421AD">
        <w:rPr>
          <w:rFonts w:ascii="Arial Narrow" w:hAnsi="Arial Narrow"/>
          <w:b/>
          <w:color w:val="FFFFFF"/>
          <w:sz w:val="26"/>
          <w:szCs w:val="26"/>
        </w:rPr>
        <w:tab/>
      </w:r>
      <w:r w:rsidR="00CE2618">
        <w:rPr>
          <w:rFonts w:ascii="Arial Narrow" w:hAnsi="Arial Narrow"/>
          <w:b/>
          <w:color w:val="FFFFFF"/>
          <w:sz w:val="26"/>
          <w:szCs w:val="26"/>
        </w:rPr>
        <w:t>Κρατικός Προϋπολογισμός</w:t>
      </w:r>
      <w:r w:rsidR="00FB275C">
        <w:rPr>
          <w:rFonts w:ascii="Arial Narrow" w:hAnsi="Arial Narrow"/>
          <w:b/>
          <w:color w:val="FFFFFF"/>
          <w:sz w:val="26"/>
          <w:szCs w:val="26"/>
        </w:rPr>
        <w:t xml:space="preserve"> 2018</w:t>
      </w:r>
    </w:p>
    <w:p w:rsidR="005D0BB1" w:rsidRPr="000574DA" w:rsidRDefault="005D0BB1" w:rsidP="005D0BB1">
      <w:pPr>
        <w:tabs>
          <w:tab w:val="left" w:pos="180"/>
        </w:tabs>
        <w:spacing w:line="235" w:lineRule="auto"/>
        <w:jc w:val="both"/>
        <w:rPr>
          <w:sz w:val="22"/>
          <w:highlight w:val="lightGray"/>
        </w:rPr>
      </w:pPr>
    </w:p>
    <w:p w:rsidR="00706087" w:rsidRPr="00393103" w:rsidRDefault="00706087" w:rsidP="00706087">
      <w:pPr>
        <w:tabs>
          <w:tab w:val="left" w:pos="0"/>
        </w:tabs>
        <w:contextualSpacing/>
        <w:jc w:val="both"/>
        <w:rPr>
          <w:sz w:val="22"/>
          <w:szCs w:val="22"/>
        </w:rPr>
      </w:pPr>
      <w:r w:rsidRPr="00393103">
        <w:rPr>
          <w:sz w:val="22"/>
          <w:szCs w:val="22"/>
        </w:rPr>
        <w:t>Βασική προτεραιότητα της δημοσιονομικής στρατηγικής παραμένει και για το έτος 2018 η επίτευξη των δημοσιονομικών στόχων που περιλαμβάνονται στη Σύμβαση Χρηματοδοτικής Διευκόλυνσης (ΣΧΔ) καθώς και των βιώσιμων ρυθμών οικονομικής ανάπτυξης με την εδραίωση του κλίματος εμπ</w:t>
      </w:r>
      <w:r w:rsidRPr="00393103">
        <w:rPr>
          <w:sz w:val="22"/>
          <w:szCs w:val="22"/>
        </w:rPr>
        <w:t>ι</w:t>
      </w:r>
      <w:r w:rsidRPr="00393103">
        <w:rPr>
          <w:sz w:val="22"/>
          <w:szCs w:val="22"/>
        </w:rPr>
        <w:t>στοσύνης για μακροπρόθεσμες επενδύσεις δίνοντας παράλληλα ιδιαίτερη έμφαση στην κοινωνική σ</w:t>
      </w:r>
      <w:r w:rsidRPr="00393103">
        <w:rPr>
          <w:sz w:val="22"/>
          <w:szCs w:val="22"/>
        </w:rPr>
        <w:t>υ</w:t>
      </w:r>
      <w:r w:rsidRPr="00393103">
        <w:rPr>
          <w:sz w:val="22"/>
          <w:szCs w:val="22"/>
        </w:rPr>
        <w:t xml:space="preserve">νοχή. Η δημοσιονομική </w:t>
      </w:r>
      <w:r w:rsidR="00F37612">
        <w:rPr>
          <w:sz w:val="22"/>
          <w:szCs w:val="22"/>
        </w:rPr>
        <w:t>στρατηγική</w:t>
      </w:r>
      <w:r w:rsidRPr="00393103">
        <w:rPr>
          <w:sz w:val="22"/>
          <w:szCs w:val="22"/>
        </w:rPr>
        <w:t xml:space="preserve"> προβλέπει στόχο πρωτογενούς πλεονάσματος της Γενικής Κ</w:t>
      </w:r>
      <w:r w:rsidRPr="00393103">
        <w:rPr>
          <w:sz w:val="22"/>
          <w:szCs w:val="22"/>
        </w:rPr>
        <w:t>υ</w:t>
      </w:r>
      <w:r w:rsidRPr="00393103">
        <w:rPr>
          <w:sz w:val="22"/>
          <w:szCs w:val="22"/>
        </w:rPr>
        <w:t>βέρνησης ύψους 3,5% του ΑΕΠ.</w:t>
      </w:r>
    </w:p>
    <w:p w:rsidR="00706087" w:rsidRPr="00393103" w:rsidRDefault="00706087" w:rsidP="00706087">
      <w:pPr>
        <w:tabs>
          <w:tab w:val="left" w:pos="0"/>
        </w:tabs>
        <w:contextualSpacing/>
        <w:jc w:val="both"/>
        <w:rPr>
          <w:sz w:val="22"/>
          <w:szCs w:val="22"/>
        </w:rPr>
      </w:pPr>
    </w:p>
    <w:p w:rsidR="00706087" w:rsidRPr="00393103" w:rsidRDefault="00706087" w:rsidP="00706087">
      <w:pPr>
        <w:tabs>
          <w:tab w:val="left" w:pos="0"/>
        </w:tabs>
        <w:contextualSpacing/>
        <w:jc w:val="both"/>
        <w:rPr>
          <w:sz w:val="22"/>
          <w:szCs w:val="22"/>
        </w:rPr>
      </w:pPr>
      <w:r w:rsidRPr="00393103">
        <w:rPr>
          <w:sz w:val="22"/>
          <w:szCs w:val="22"/>
        </w:rPr>
        <w:t>Η επίτευξη του στόχου αυτού επι</w:t>
      </w:r>
      <w:r w:rsidR="000F4288">
        <w:rPr>
          <w:sz w:val="22"/>
          <w:szCs w:val="22"/>
        </w:rPr>
        <w:t>διώκεται</w:t>
      </w:r>
      <w:r w:rsidRPr="00393103">
        <w:rPr>
          <w:sz w:val="22"/>
          <w:szCs w:val="22"/>
        </w:rPr>
        <w:t xml:space="preserve"> με τη συνέχιση της υλοποίησης δράσεων, αλλά και την </w:t>
      </w:r>
      <w:r w:rsidRPr="00393103">
        <w:rPr>
          <w:sz w:val="22"/>
          <w:szCs w:val="22"/>
        </w:rPr>
        <w:t>έ</w:t>
      </w:r>
      <w:r w:rsidRPr="00393103">
        <w:rPr>
          <w:sz w:val="22"/>
          <w:szCs w:val="22"/>
        </w:rPr>
        <w:t>ναρξη νέων όπως:</w:t>
      </w:r>
    </w:p>
    <w:p w:rsidR="00706087" w:rsidRPr="00393103" w:rsidRDefault="00706087" w:rsidP="00706087">
      <w:pPr>
        <w:tabs>
          <w:tab w:val="left" w:pos="0"/>
        </w:tabs>
        <w:contextualSpacing/>
        <w:jc w:val="both"/>
        <w:rPr>
          <w:sz w:val="22"/>
          <w:szCs w:val="22"/>
        </w:rPr>
      </w:pPr>
    </w:p>
    <w:p w:rsidR="00706087" w:rsidRPr="00393103" w:rsidRDefault="00706087" w:rsidP="00706087">
      <w:pPr>
        <w:numPr>
          <w:ilvl w:val="0"/>
          <w:numId w:val="41"/>
        </w:numPr>
        <w:ind w:left="357" w:hanging="357"/>
        <w:contextualSpacing/>
        <w:jc w:val="both"/>
        <w:rPr>
          <w:sz w:val="22"/>
          <w:szCs w:val="22"/>
        </w:rPr>
      </w:pPr>
      <w:r w:rsidRPr="00393103">
        <w:rPr>
          <w:sz w:val="22"/>
          <w:szCs w:val="22"/>
        </w:rPr>
        <w:t xml:space="preserve">η περαιτέρω ενίσχυση της φορολογικής συμμόρφωσης </w:t>
      </w:r>
      <w:r w:rsidRPr="00393103">
        <w:rPr>
          <w:sz w:val="22"/>
        </w:rPr>
        <w:t>(συμμετοχή σε κληρώσεις με χρηματικά έπαθλα, διαμόρφωση αφορολογήτου με βάση το ύψος των ετήσιων ηλεκτρονικών πληρωμών)</w:t>
      </w:r>
      <w:r w:rsidRPr="00393103">
        <w:rPr>
          <w:sz w:val="22"/>
          <w:szCs w:val="22"/>
        </w:rPr>
        <w:t>,</w:t>
      </w:r>
    </w:p>
    <w:p w:rsidR="00706087" w:rsidRPr="00393103" w:rsidRDefault="00706087" w:rsidP="00706087">
      <w:pPr>
        <w:numPr>
          <w:ilvl w:val="0"/>
          <w:numId w:val="41"/>
        </w:numPr>
        <w:ind w:left="357" w:hanging="357"/>
        <w:contextualSpacing/>
        <w:jc w:val="both"/>
        <w:rPr>
          <w:sz w:val="22"/>
          <w:szCs w:val="22"/>
        </w:rPr>
      </w:pPr>
      <w:r w:rsidRPr="00393103">
        <w:rPr>
          <w:sz w:val="22"/>
          <w:szCs w:val="22"/>
        </w:rPr>
        <w:t>το πρόγραμμα αποκρατικοποιήσεων,</w:t>
      </w:r>
    </w:p>
    <w:p w:rsidR="00706087" w:rsidRPr="00393103" w:rsidRDefault="00706087" w:rsidP="00706087">
      <w:pPr>
        <w:numPr>
          <w:ilvl w:val="0"/>
          <w:numId w:val="41"/>
        </w:numPr>
        <w:ind w:left="357" w:hanging="357"/>
        <w:contextualSpacing/>
        <w:jc w:val="both"/>
        <w:rPr>
          <w:sz w:val="22"/>
          <w:szCs w:val="22"/>
        </w:rPr>
      </w:pPr>
      <w:r w:rsidRPr="00393103">
        <w:rPr>
          <w:sz w:val="22"/>
          <w:szCs w:val="22"/>
        </w:rPr>
        <w:t xml:space="preserve">οι διαρθρωτικές μεταρρυθμίσεις στις αγορές προϊόντων και η αναμόρφωση των </w:t>
      </w:r>
      <w:r w:rsidRPr="00393103">
        <w:rPr>
          <w:sz w:val="22"/>
        </w:rPr>
        <w:t>μηχανισμών επ</w:t>
      </w:r>
      <w:r w:rsidRPr="00393103">
        <w:rPr>
          <w:sz w:val="22"/>
        </w:rPr>
        <w:t>ο</w:t>
      </w:r>
      <w:r w:rsidRPr="00393103">
        <w:rPr>
          <w:sz w:val="22"/>
        </w:rPr>
        <w:t>πτείας και ελέγχου της αγοράς</w:t>
      </w:r>
      <w:r w:rsidRPr="00393103">
        <w:rPr>
          <w:sz w:val="22"/>
          <w:szCs w:val="22"/>
        </w:rPr>
        <w:t xml:space="preserve">, </w:t>
      </w:r>
    </w:p>
    <w:p w:rsidR="00706087" w:rsidRPr="00393103" w:rsidRDefault="00706087" w:rsidP="00706087">
      <w:pPr>
        <w:numPr>
          <w:ilvl w:val="0"/>
          <w:numId w:val="41"/>
        </w:numPr>
        <w:ind w:left="357" w:hanging="357"/>
        <w:contextualSpacing/>
        <w:jc w:val="both"/>
        <w:rPr>
          <w:sz w:val="22"/>
          <w:szCs w:val="22"/>
        </w:rPr>
      </w:pPr>
      <w:r w:rsidRPr="00393103">
        <w:rPr>
          <w:sz w:val="22"/>
          <w:szCs w:val="22"/>
        </w:rPr>
        <w:t>ο εκσυγχρονισμός του συστήματος δημόσιας υγείας, κοινωνικής ασφάλισης και πρόνοιας,</w:t>
      </w:r>
    </w:p>
    <w:p w:rsidR="00706087" w:rsidRPr="00393103" w:rsidRDefault="00706087" w:rsidP="00706087">
      <w:pPr>
        <w:numPr>
          <w:ilvl w:val="0"/>
          <w:numId w:val="41"/>
        </w:numPr>
        <w:ind w:left="357" w:hanging="357"/>
        <w:contextualSpacing/>
        <w:jc w:val="both"/>
        <w:rPr>
          <w:sz w:val="22"/>
          <w:szCs w:val="22"/>
        </w:rPr>
      </w:pPr>
      <w:r w:rsidRPr="00393103">
        <w:rPr>
          <w:sz w:val="22"/>
        </w:rPr>
        <w:t xml:space="preserve">οι παρεμβάσεις για τη διαχείριση του </w:t>
      </w:r>
      <w:r w:rsidRPr="00393103">
        <w:rPr>
          <w:sz w:val="22"/>
          <w:szCs w:val="22"/>
        </w:rPr>
        <w:t>ιδιωτικού χρέους</w:t>
      </w:r>
      <w:r w:rsidRPr="00393103">
        <w:rPr>
          <w:sz w:val="22"/>
        </w:rPr>
        <w:t xml:space="preserve"> και η εισαγωγή σύγχρονου μηχανισμού για τον εξωδικαστικό συμβιβασμό,</w:t>
      </w:r>
    </w:p>
    <w:p w:rsidR="00706087" w:rsidRPr="00393103" w:rsidRDefault="00706087" w:rsidP="00706087">
      <w:pPr>
        <w:numPr>
          <w:ilvl w:val="0"/>
          <w:numId w:val="41"/>
        </w:numPr>
        <w:ind w:left="357" w:hanging="357"/>
        <w:contextualSpacing/>
        <w:jc w:val="both"/>
        <w:rPr>
          <w:sz w:val="22"/>
          <w:szCs w:val="22"/>
        </w:rPr>
      </w:pPr>
      <w:r w:rsidRPr="00393103">
        <w:rPr>
          <w:sz w:val="22"/>
          <w:szCs w:val="22"/>
        </w:rPr>
        <w:t>η εφαρμογή διαρθρωτικών παρεμβάσεων με αναπτυξιακή προοπτική,</w:t>
      </w:r>
    </w:p>
    <w:p w:rsidR="00706087" w:rsidRPr="00393103" w:rsidRDefault="00706087" w:rsidP="00706087">
      <w:pPr>
        <w:numPr>
          <w:ilvl w:val="0"/>
          <w:numId w:val="41"/>
        </w:numPr>
        <w:ind w:left="357" w:hanging="357"/>
        <w:contextualSpacing/>
        <w:jc w:val="both"/>
        <w:rPr>
          <w:sz w:val="22"/>
          <w:szCs w:val="22"/>
        </w:rPr>
      </w:pPr>
      <w:r w:rsidRPr="00393103">
        <w:rPr>
          <w:sz w:val="22"/>
          <w:szCs w:val="22"/>
        </w:rPr>
        <w:t xml:space="preserve">η προστασία των ευάλωτων κοινωνικών ομάδων και οι </w:t>
      </w:r>
      <w:r w:rsidRPr="00393103">
        <w:rPr>
          <w:sz w:val="22"/>
        </w:rPr>
        <w:t>παρεμβάσεις για την προστασία της πρ</w:t>
      </w:r>
      <w:r w:rsidRPr="00393103">
        <w:rPr>
          <w:sz w:val="22"/>
        </w:rPr>
        <w:t>ώ</w:t>
      </w:r>
      <w:r w:rsidRPr="00393103">
        <w:rPr>
          <w:sz w:val="22"/>
        </w:rPr>
        <w:t>της κατοικίας,</w:t>
      </w:r>
    </w:p>
    <w:p w:rsidR="00706087" w:rsidRPr="00393103" w:rsidRDefault="00706087" w:rsidP="00706087">
      <w:pPr>
        <w:numPr>
          <w:ilvl w:val="0"/>
          <w:numId w:val="41"/>
        </w:numPr>
        <w:ind w:left="357" w:hanging="357"/>
        <w:contextualSpacing/>
        <w:jc w:val="both"/>
        <w:rPr>
          <w:sz w:val="22"/>
          <w:szCs w:val="22"/>
        </w:rPr>
      </w:pPr>
      <w:r w:rsidRPr="00393103">
        <w:rPr>
          <w:sz w:val="22"/>
          <w:szCs w:val="22"/>
        </w:rPr>
        <w:t xml:space="preserve">η ολοκλήρωση της υλοποίησης του προγράμματος εξόφλησης ληξιπρόθεσμων υποχρεώσεων των φορέων της Γενικής Κυβέρνησης προς την πραγματική οικονομία, </w:t>
      </w:r>
    </w:p>
    <w:p w:rsidR="00706087" w:rsidRPr="00393103" w:rsidRDefault="00706087" w:rsidP="00706087">
      <w:pPr>
        <w:numPr>
          <w:ilvl w:val="0"/>
          <w:numId w:val="41"/>
        </w:numPr>
        <w:ind w:left="357" w:hanging="357"/>
        <w:contextualSpacing/>
        <w:jc w:val="both"/>
        <w:rPr>
          <w:sz w:val="22"/>
          <w:szCs w:val="22"/>
        </w:rPr>
      </w:pPr>
      <w:r w:rsidRPr="00393103">
        <w:rPr>
          <w:sz w:val="22"/>
          <w:szCs w:val="22"/>
        </w:rPr>
        <w:t>η επισκόπηση δαπανών φορέων της Γενικής Κυβέρνησης, προκειμένου να αυξηθεί η αποτελεσμ</w:t>
      </w:r>
      <w:r w:rsidRPr="00393103">
        <w:rPr>
          <w:sz w:val="22"/>
          <w:szCs w:val="22"/>
        </w:rPr>
        <w:t>α</w:t>
      </w:r>
      <w:r w:rsidRPr="00393103">
        <w:rPr>
          <w:sz w:val="22"/>
          <w:szCs w:val="22"/>
        </w:rPr>
        <w:t>τικότητα των δημοσίων δαπανών και να ενισχυθούν οι δαπάνες σε τομείς με υψηλή κοινωνική αποτελεσματικότητα, αποφέροντας για το σύνολο της Γενικής Κυβέρνησης προβλεπόμενη εξο</w:t>
      </w:r>
      <w:r w:rsidRPr="00393103">
        <w:rPr>
          <w:sz w:val="22"/>
          <w:szCs w:val="22"/>
        </w:rPr>
        <w:t>ι</w:t>
      </w:r>
      <w:r w:rsidRPr="00393103">
        <w:rPr>
          <w:sz w:val="22"/>
          <w:szCs w:val="22"/>
        </w:rPr>
        <w:t>κονόμηση ποσού ύψους περίπου 260 εκατ. ευρώ</w:t>
      </w:r>
      <w:r w:rsidR="00F37612">
        <w:rPr>
          <w:sz w:val="22"/>
          <w:szCs w:val="22"/>
        </w:rPr>
        <w:t xml:space="preserve"> και</w:t>
      </w:r>
    </w:p>
    <w:p w:rsidR="00F37612" w:rsidRDefault="00706087" w:rsidP="00F37612">
      <w:pPr>
        <w:numPr>
          <w:ilvl w:val="0"/>
          <w:numId w:val="41"/>
        </w:numPr>
        <w:ind w:left="357" w:hanging="357"/>
        <w:contextualSpacing/>
        <w:jc w:val="both"/>
        <w:rPr>
          <w:sz w:val="22"/>
          <w:szCs w:val="22"/>
        </w:rPr>
      </w:pPr>
      <w:r w:rsidRPr="00393103">
        <w:rPr>
          <w:sz w:val="22"/>
          <w:szCs w:val="22"/>
        </w:rPr>
        <w:t>η εφαρμογή κανόνα προσλήψεων-αποχωρήσεων 1:3</w:t>
      </w:r>
      <w:r w:rsidR="00F37612">
        <w:rPr>
          <w:sz w:val="22"/>
          <w:szCs w:val="22"/>
        </w:rPr>
        <w:t>.</w:t>
      </w:r>
    </w:p>
    <w:p w:rsidR="00706087" w:rsidRPr="00393103" w:rsidRDefault="00F37612" w:rsidP="00DA61C7">
      <w:pPr>
        <w:contextualSpacing/>
        <w:jc w:val="both"/>
        <w:rPr>
          <w:sz w:val="22"/>
          <w:szCs w:val="22"/>
        </w:rPr>
      </w:pPr>
      <w:r w:rsidRPr="00393103">
        <w:rPr>
          <w:sz w:val="22"/>
          <w:szCs w:val="22"/>
        </w:rPr>
        <w:lastRenderedPageBreak/>
        <w:t xml:space="preserve"> </w:t>
      </w:r>
    </w:p>
    <w:p w:rsidR="00706087" w:rsidRDefault="00F37612" w:rsidP="00706087">
      <w:pPr>
        <w:tabs>
          <w:tab w:val="left" w:pos="0"/>
        </w:tabs>
        <w:contextualSpacing/>
        <w:jc w:val="both"/>
        <w:rPr>
          <w:sz w:val="22"/>
          <w:szCs w:val="22"/>
        </w:rPr>
      </w:pPr>
      <w:r>
        <w:rPr>
          <w:sz w:val="22"/>
          <w:szCs w:val="22"/>
        </w:rPr>
        <w:t>Ε</w:t>
      </w:r>
      <w:r w:rsidR="00706087" w:rsidRPr="00393103">
        <w:rPr>
          <w:sz w:val="22"/>
          <w:szCs w:val="22"/>
        </w:rPr>
        <w:t>πισημαίνεται ότι στο 2018 έχουν προβλεφθεί πιστώσεις συνολικού ύψους 260 εκατ. ευρώ</w:t>
      </w:r>
      <w:r w:rsidR="00CE2712">
        <w:rPr>
          <w:sz w:val="22"/>
          <w:szCs w:val="22"/>
        </w:rPr>
        <w:t xml:space="preserve"> </w:t>
      </w:r>
      <w:r w:rsidR="00CE2712" w:rsidRPr="00393103">
        <w:rPr>
          <w:sz w:val="22"/>
          <w:szCs w:val="22"/>
        </w:rPr>
        <w:t>περίπου</w:t>
      </w:r>
      <w:r w:rsidR="00706087" w:rsidRPr="00393103">
        <w:rPr>
          <w:sz w:val="22"/>
          <w:szCs w:val="22"/>
        </w:rPr>
        <w:t>, που προ</w:t>
      </w:r>
      <w:r>
        <w:rPr>
          <w:sz w:val="22"/>
          <w:szCs w:val="22"/>
        </w:rPr>
        <w:t>έρχονται</w:t>
      </w:r>
      <w:r w:rsidR="00706087" w:rsidRPr="00393103">
        <w:rPr>
          <w:sz w:val="22"/>
          <w:szCs w:val="22"/>
        </w:rPr>
        <w:t xml:space="preserve"> από την επισκόπηση δαπανών, τα οποία θα διατεθούν για την υλοποίηση δράσεων κοινωνικής προστασίας.</w:t>
      </w:r>
    </w:p>
    <w:p w:rsidR="00574127" w:rsidRPr="00393103" w:rsidRDefault="00574127" w:rsidP="00706087">
      <w:pPr>
        <w:tabs>
          <w:tab w:val="left" w:pos="0"/>
        </w:tabs>
        <w:contextualSpacing/>
        <w:jc w:val="both"/>
        <w:rPr>
          <w:sz w:val="22"/>
          <w:szCs w:val="22"/>
        </w:rPr>
      </w:pPr>
    </w:p>
    <w:p w:rsidR="005D0BB1" w:rsidRPr="00CE4228" w:rsidRDefault="005D0BB1" w:rsidP="005D0BB1">
      <w:pPr>
        <w:shd w:val="clear" w:color="auto" w:fill="A6A6A6"/>
        <w:rPr>
          <w:rFonts w:ascii="Arial Narrow" w:hAnsi="Arial Narrow"/>
          <w:b/>
          <w:szCs w:val="26"/>
        </w:rPr>
      </w:pPr>
      <w:r w:rsidRPr="00CE4228">
        <w:rPr>
          <w:rFonts w:ascii="Arial Narrow" w:hAnsi="Arial Narrow"/>
          <w:b/>
          <w:szCs w:val="26"/>
        </w:rPr>
        <w:t>3.1</w:t>
      </w:r>
      <w:r w:rsidRPr="00CE4228">
        <w:rPr>
          <w:rFonts w:ascii="Arial Narrow" w:hAnsi="Arial Narrow"/>
          <w:b/>
          <w:szCs w:val="26"/>
        </w:rPr>
        <w:tab/>
        <w:t>Βασικά μεγέθη Προϋπολογισμού</w:t>
      </w:r>
    </w:p>
    <w:p w:rsidR="005D0BB1" w:rsidRPr="00727A31" w:rsidRDefault="005D0BB1" w:rsidP="005D0BB1">
      <w:pPr>
        <w:autoSpaceDE w:val="0"/>
        <w:autoSpaceDN w:val="0"/>
        <w:adjustRightInd w:val="0"/>
        <w:jc w:val="both"/>
        <w:rPr>
          <w:bCs/>
          <w:sz w:val="22"/>
        </w:rPr>
      </w:pPr>
    </w:p>
    <w:p w:rsidR="00912F91" w:rsidRPr="00912F91" w:rsidRDefault="00912F91" w:rsidP="00912F91">
      <w:pPr>
        <w:autoSpaceDE w:val="0"/>
        <w:autoSpaceDN w:val="0"/>
        <w:adjustRightInd w:val="0"/>
        <w:jc w:val="both"/>
        <w:rPr>
          <w:bCs/>
          <w:sz w:val="22"/>
          <w:szCs w:val="22"/>
        </w:rPr>
      </w:pPr>
      <w:r w:rsidRPr="00912F91">
        <w:rPr>
          <w:bCs/>
          <w:sz w:val="22"/>
          <w:szCs w:val="22"/>
        </w:rPr>
        <w:t xml:space="preserve">Για το έτος 2018, το πρωτογενές αποτέλεσμα της Γενικής Κυβέρνησης σε όρους ΣΧΔ προβλέπεται να διαμορφωθεί σε 7.051 εκατ. ευρώ ή 3,8% του ΑΕΠ, αυξημένο κατά 587 εκατ. ευρώ έναντι του στόχου της ΣΧΔ και κατά 426 εκατ. ευρώ έναντι του στόχου του ΜΠΔΣ. </w:t>
      </w:r>
    </w:p>
    <w:p w:rsidR="00912F91" w:rsidRPr="00912F91" w:rsidRDefault="00912F91" w:rsidP="00912F91">
      <w:pPr>
        <w:autoSpaceDE w:val="0"/>
        <w:autoSpaceDN w:val="0"/>
        <w:adjustRightInd w:val="0"/>
        <w:jc w:val="both"/>
        <w:rPr>
          <w:bCs/>
          <w:sz w:val="22"/>
          <w:szCs w:val="22"/>
        </w:rPr>
      </w:pPr>
    </w:p>
    <w:p w:rsidR="00912F91" w:rsidRPr="00912F91" w:rsidRDefault="00912F91" w:rsidP="00912F91">
      <w:pPr>
        <w:autoSpaceDE w:val="0"/>
        <w:autoSpaceDN w:val="0"/>
        <w:adjustRightInd w:val="0"/>
        <w:jc w:val="both"/>
        <w:rPr>
          <w:bCs/>
          <w:sz w:val="22"/>
          <w:szCs w:val="22"/>
        </w:rPr>
      </w:pPr>
      <w:r w:rsidRPr="00912F91">
        <w:rPr>
          <w:bCs/>
          <w:sz w:val="22"/>
          <w:szCs w:val="22"/>
        </w:rPr>
        <w:t xml:space="preserve">Αντίστοιχα, σε όρους </w:t>
      </w:r>
      <w:r w:rsidRPr="00912F91">
        <w:rPr>
          <w:bCs/>
          <w:sz w:val="22"/>
          <w:szCs w:val="22"/>
          <w:lang w:val="en-US"/>
        </w:rPr>
        <w:t>ESA</w:t>
      </w:r>
      <w:r w:rsidRPr="00912F91">
        <w:rPr>
          <w:bCs/>
          <w:sz w:val="22"/>
          <w:szCs w:val="22"/>
        </w:rPr>
        <w:t xml:space="preserve"> το πρωτογενές αποτέλεσμα της Γενικής Κυβέρνησης προβλέπεται να δι</w:t>
      </w:r>
      <w:r w:rsidRPr="00912F91">
        <w:rPr>
          <w:bCs/>
          <w:sz w:val="22"/>
          <w:szCs w:val="22"/>
        </w:rPr>
        <w:t>α</w:t>
      </w:r>
      <w:r w:rsidRPr="00912F91">
        <w:rPr>
          <w:bCs/>
          <w:sz w:val="22"/>
          <w:szCs w:val="22"/>
        </w:rPr>
        <w:t>μορφωθεί σε 7.716 εκατ. ευρώ ή 4,2% του ΑΕΠ, αυξημένο κατά 297 εκατ. ευρώ σε σχέση με το στ</w:t>
      </w:r>
      <w:r w:rsidRPr="00912F91">
        <w:rPr>
          <w:bCs/>
          <w:sz w:val="22"/>
          <w:szCs w:val="22"/>
        </w:rPr>
        <w:t>ό</w:t>
      </w:r>
      <w:r w:rsidRPr="00912F91">
        <w:rPr>
          <w:bCs/>
          <w:sz w:val="22"/>
          <w:szCs w:val="22"/>
        </w:rPr>
        <w:t>χο του ΜΠΔΣ 2018-2021.</w:t>
      </w:r>
    </w:p>
    <w:p w:rsidR="00727A31" w:rsidRPr="00727A31" w:rsidRDefault="00727A31" w:rsidP="005D0BB1">
      <w:pPr>
        <w:autoSpaceDE w:val="0"/>
        <w:autoSpaceDN w:val="0"/>
        <w:adjustRightInd w:val="0"/>
        <w:jc w:val="both"/>
        <w:rPr>
          <w:bCs/>
          <w:sz w:val="22"/>
        </w:rPr>
      </w:pPr>
    </w:p>
    <w:p w:rsidR="005D0BB1" w:rsidRPr="003E2BF6" w:rsidRDefault="005D0BB1" w:rsidP="005D0BB1">
      <w:pPr>
        <w:shd w:val="clear" w:color="auto" w:fill="A6A6A6"/>
        <w:rPr>
          <w:rFonts w:ascii="Arial Narrow" w:hAnsi="Arial Narrow"/>
          <w:b/>
          <w:szCs w:val="26"/>
        </w:rPr>
      </w:pPr>
      <w:r w:rsidRPr="003E2BF6">
        <w:rPr>
          <w:rFonts w:ascii="Arial Narrow" w:hAnsi="Arial Narrow"/>
          <w:b/>
          <w:szCs w:val="26"/>
        </w:rPr>
        <w:t>3.2</w:t>
      </w:r>
      <w:r w:rsidRPr="003E2BF6">
        <w:rPr>
          <w:rFonts w:ascii="Arial Narrow" w:hAnsi="Arial Narrow"/>
          <w:b/>
          <w:szCs w:val="26"/>
        </w:rPr>
        <w:tab/>
        <w:t>Τακτικός Προϋπολογισμός</w:t>
      </w:r>
    </w:p>
    <w:p w:rsidR="005D0BB1" w:rsidRDefault="005D0BB1" w:rsidP="005D0BB1">
      <w:pPr>
        <w:rPr>
          <w:rFonts w:ascii="Arial Narrow" w:hAnsi="Arial Narrow"/>
          <w:b/>
          <w:color w:val="000080"/>
          <w:szCs w:val="22"/>
        </w:rPr>
      </w:pPr>
    </w:p>
    <w:p w:rsidR="00FC7254" w:rsidRPr="003E2BF6" w:rsidRDefault="00FC7254" w:rsidP="00FC7254">
      <w:pPr>
        <w:rPr>
          <w:rFonts w:ascii="Arial Narrow" w:hAnsi="Arial Narrow"/>
          <w:b/>
          <w:color w:val="000080"/>
          <w:szCs w:val="22"/>
        </w:rPr>
      </w:pPr>
      <w:r w:rsidRPr="003E2BF6">
        <w:rPr>
          <w:rFonts w:ascii="Arial Narrow" w:hAnsi="Arial Narrow"/>
          <w:b/>
          <w:color w:val="000080"/>
          <w:szCs w:val="22"/>
        </w:rPr>
        <w:t>Έσοδα</w:t>
      </w:r>
    </w:p>
    <w:p w:rsidR="00FC7254" w:rsidRPr="00301426" w:rsidRDefault="00FC7254" w:rsidP="00FC7254">
      <w:pPr>
        <w:jc w:val="both"/>
        <w:rPr>
          <w:sz w:val="22"/>
          <w:szCs w:val="22"/>
        </w:rPr>
      </w:pPr>
    </w:p>
    <w:p w:rsidR="00FC7254" w:rsidRPr="0055583D" w:rsidRDefault="00FC7254" w:rsidP="00FC7254">
      <w:pPr>
        <w:jc w:val="both"/>
        <w:rPr>
          <w:bCs/>
          <w:sz w:val="22"/>
          <w:szCs w:val="22"/>
        </w:rPr>
      </w:pPr>
      <w:r w:rsidRPr="00FD0526">
        <w:rPr>
          <w:bCs/>
          <w:sz w:val="22"/>
          <w:szCs w:val="22"/>
        </w:rPr>
        <w:t>Τα καθαρά έσοδα του Τακτικού Προϋπολογισμού, σε ταμειακή βάση, προβλέπεται να διαμορφωθούν στα 50.</w:t>
      </w:r>
      <w:r w:rsidR="00F632B1">
        <w:rPr>
          <w:bCs/>
          <w:sz w:val="22"/>
          <w:szCs w:val="22"/>
        </w:rPr>
        <w:t>509</w:t>
      </w:r>
      <w:r w:rsidRPr="00FD0526">
        <w:rPr>
          <w:bCs/>
          <w:sz w:val="22"/>
          <w:szCs w:val="22"/>
        </w:rPr>
        <w:t xml:space="preserve"> εκατ. ευρώ, </w:t>
      </w:r>
      <w:r>
        <w:rPr>
          <w:bCs/>
          <w:sz w:val="22"/>
          <w:szCs w:val="22"/>
        </w:rPr>
        <w:t>αυξημένα κατά 1.</w:t>
      </w:r>
      <w:r w:rsidR="00F632B1">
        <w:rPr>
          <w:bCs/>
          <w:sz w:val="22"/>
          <w:szCs w:val="22"/>
        </w:rPr>
        <w:t>795</w:t>
      </w:r>
      <w:r>
        <w:rPr>
          <w:bCs/>
          <w:sz w:val="22"/>
          <w:szCs w:val="22"/>
        </w:rPr>
        <w:t xml:space="preserve"> </w:t>
      </w:r>
      <w:r w:rsidR="005978FE">
        <w:rPr>
          <w:bCs/>
          <w:sz w:val="22"/>
          <w:szCs w:val="22"/>
        </w:rPr>
        <w:t xml:space="preserve">εκατ. ευρώ </w:t>
      </w:r>
      <w:r>
        <w:rPr>
          <w:bCs/>
          <w:sz w:val="22"/>
          <w:szCs w:val="22"/>
        </w:rPr>
        <w:t>έναντι του 2017 και μειω</w:t>
      </w:r>
      <w:r w:rsidRPr="00FD0526">
        <w:rPr>
          <w:bCs/>
          <w:sz w:val="22"/>
          <w:szCs w:val="22"/>
        </w:rPr>
        <w:t xml:space="preserve">μένα κατά </w:t>
      </w:r>
      <w:r w:rsidR="00F632B1">
        <w:rPr>
          <w:bCs/>
          <w:sz w:val="22"/>
          <w:szCs w:val="22"/>
        </w:rPr>
        <w:t>764</w:t>
      </w:r>
      <w:r w:rsidRPr="00FD0526">
        <w:rPr>
          <w:bCs/>
          <w:sz w:val="22"/>
          <w:szCs w:val="22"/>
        </w:rPr>
        <w:t xml:space="preserve"> </w:t>
      </w:r>
      <w:r w:rsidRPr="00FD0526">
        <w:rPr>
          <w:bCs/>
          <w:sz w:val="22"/>
          <w:szCs w:val="22"/>
        </w:rPr>
        <w:t>ε</w:t>
      </w:r>
      <w:r w:rsidRPr="00FD0526">
        <w:rPr>
          <w:bCs/>
          <w:sz w:val="22"/>
          <w:szCs w:val="22"/>
        </w:rPr>
        <w:t>κατ. ευρώ</w:t>
      </w:r>
      <w:r>
        <w:rPr>
          <w:bCs/>
          <w:sz w:val="22"/>
          <w:szCs w:val="22"/>
        </w:rPr>
        <w:t xml:space="preserve"> </w:t>
      </w:r>
      <w:r w:rsidRPr="00FD0526">
        <w:rPr>
          <w:bCs/>
          <w:sz w:val="22"/>
          <w:szCs w:val="22"/>
        </w:rPr>
        <w:t xml:space="preserve">έναντι </w:t>
      </w:r>
      <w:r>
        <w:rPr>
          <w:bCs/>
          <w:sz w:val="22"/>
          <w:szCs w:val="22"/>
        </w:rPr>
        <w:t xml:space="preserve">των </w:t>
      </w:r>
      <w:r w:rsidR="005978FE">
        <w:rPr>
          <w:bCs/>
          <w:sz w:val="22"/>
          <w:szCs w:val="22"/>
        </w:rPr>
        <w:t>προβλέψεων</w:t>
      </w:r>
      <w:r>
        <w:rPr>
          <w:bCs/>
          <w:sz w:val="22"/>
          <w:szCs w:val="22"/>
        </w:rPr>
        <w:t xml:space="preserve"> του ΜΠΔΣ 2018-2021</w:t>
      </w:r>
      <w:r w:rsidRPr="003B5457">
        <w:rPr>
          <w:bCs/>
          <w:sz w:val="22"/>
          <w:szCs w:val="22"/>
        </w:rPr>
        <w:t>.</w:t>
      </w:r>
      <w:r>
        <w:rPr>
          <w:bCs/>
          <w:sz w:val="22"/>
          <w:szCs w:val="22"/>
        </w:rPr>
        <w:t xml:space="preserve"> </w:t>
      </w:r>
    </w:p>
    <w:p w:rsidR="00FC7254" w:rsidRPr="00FD0526" w:rsidRDefault="00FC7254" w:rsidP="00FC7254">
      <w:pPr>
        <w:jc w:val="both"/>
        <w:rPr>
          <w:sz w:val="22"/>
          <w:szCs w:val="22"/>
        </w:rPr>
      </w:pPr>
    </w:p>
    <w:p w:rsidR="00FC7254" w:rsidRPr="00FD0526" w:rsidRDefault="00FC7254" w:rsidP="00FC7254">
      <w:pPr>
        <w:jc w:val="both"/>
        <w:rPr>
          <w:rFonts w:ascii="Arial Narrow" w:hAnsi="Arial Narrow"/>
          <w:b/>
          <w:bCs/>
          <w:i/>
          <w:sz w:val="22"/>
          <w:szCs w:val="22"/>
        </w:rPr>
      </w:pPr>
      <w:r w:rsidRPr="00FD0526">
        <w:rPr>
          <w:rFonts w:ascii="Arial Narrow" w:hAnsi="Arial Narrow"/>
          <w:b/>
          <w:bCs/>
          <w:i/>
          <w:sz w:val="22"/>
          <w:szCs w:val="22"/>
        </w:rPr>
        <w:t>Άμεσοι φόροι</w:t>
      </w:r>
    </w:p>
    <w:p w:rsidR="00FC7254" w:rsidRPr="00FD0526" w:rsidRDefault="00FC7254" w:rsidP="00FC7254">
      <w:pPr>
        <w:jc w:val="both"/>
        <w:rPr>
          <w:bCs/>
          <w:sz w:val="22"/>
          <w:szCs w:val="22"/>
        </w:rPr>
      </w:pPr>
    </w:p>
    <w:p w:rsidR="00FC7254" w:rsidRPr="00FD0526" w:rsidRDefault="00FC7254" w:rsidP="00FC7254">
      <w:pPr>
        <w:jc w:val="both"/>
        <w:rPr>
          <w:bCs/>
          <w:sz w:val="22"/>
          <w:szCs w:val="22"/>
        </w:rPr>
      </w:pPr>
      <w:r w:rsidRPr="00FD0526">
        <w:rPr>
          <w:bCs/>
          <w:sz w:val="22"/>
          <w:szCs w:val="22"/>
        </w:rPr>
        <w:t>Οι άμεσοι φόροι προβλέπεται ότι θα διαμορφωθούν στα 20.</w:t>
      </w:r>
      <w:r>
        <w:rPr>
          <w:bCs/>
          <w:sz w:val="22"/>
          <w:szCs w:val="22"/>
        </w:rPr>
        <w:t>7</w:t>
      </w:r>
      <w:r w:rsidR="00F632B1">
        <w:rPr>
          <w:bCs/>
          <w:sz w:val="22"/>
          <w:szCs w:val="22"/>
        </w:rPr>
        <w:t>66</w:t>
      </w:r>
      <w:r w:rsidRPr="00FD0526">
        <w:rPr>
          <w:bCs/>
          <w:sz w:val="22"/>
          <w:szCs w:val="22"/>
        </w:rPr>
        <w:t xml:space="preserve"> εκατ. ευρώ, </w:t>
      </w:r>
      <w:r>
        <w:rPr>
          <w:bCs/>
          <w:sz w:val="22"/>
          <w:szCs w:val="22"/>
        </w:rPr>
        <w:t>αυξημένοι κατά 47</w:t>
      </w:r>
      <w:r w:rsidR="00F632B1">
        <w:rPr>
          <w:bCs/>
          <w:sz w:val="22"/>
          <w:szCs w:val="22"/>
        </w:rPr>
        <w:t>8</w:t>
      </w:r>
      <w:r>
        <w:rPr>
          <w:bCs/>
          <w:sz w:val="22"/>
          <w:szCs w:val="22"/>
        </w:rPr>
        <w:t xml:space="preserve"> εκατ. ευρώ έναντι του 2017 και </w:t>
      </w:r>
      <w:r w:rsidRPr="00FD0526">
        <w:rPr>
          <w:bCs/>
          <w:sz w:val="22"/>
          <w:szCs w:val="22"/>
        </w:rPr>
        <w:t xml:space="preserve">μειωμένοι κατά </w:t>
      </w:r>
      <w:r w:rsidR="00F632B1">
        <w:rPr>
          <w:bCs/>
          <w:sz w:val="22"/>
          <w:szCs w:val="22"/>
        </w:rPr>
        <w:t>687</w:t>
      </w:r>
      <w:r>
        <w:rPr>
          <w:bCs/>
          <w:sz w:val="22"/>
          <w:szCs w:val="22"/>
        </w:rPr>
        <w:t xml:space="preserve"> εκατ. ευρώ</w:t>
      </w:r>
      <w:r w:rsidRPr="00FD0526">
        <w:rPr>
          <w:bCs/>
          <w:sz w:val="22"/>
          <w:szCs w:val="22"/>
        </w:rPr>
        <w:t xml:space="preserve"> έναντ</w:t>
      </w:r>
      <w:r>
        <w:rPr>
          <w:bCs/>
          <w:sz w:val="22"/>
          <w:szCs w:val="22"/>
        </w:rPr>
        <w:t>ι του στόχου του ΜΠΔΣ 2018-2021</w:t>
      </w:r>
      <w:r w:rsidRPr="00FD0526">
        <w:rPr>
          <w:bCs/>
          <w:sz w:val="22"/>
          <w:szCs w:val="22"/>
        </w:rPr>
        <w:t>. Ειδικότερα:</w:t>
      </w:r>
    </w:p>
    <w:p w:rsidR="00FC7254" w:rsidRPr="00FD0526" w:rsidRDefault="00FC7254" w:rsidP="00FC7254">
      <w:pPr>
        <w:jc w:val="both"/>
        <w:rPr>
          <w:bCs/>
          <w:sz w:val="22"/>
          <w:szCs w:val="22"/>
        </w:rPr>
      </w:pPr>
    </w:p>
    <w:p w:rsidR="00FC7254" w:rsidRPr="002B37FA" w:rsidRDefault="00FC7254" w:rsidP="00FC7254">
      <w:pPr>
        <w:jc w:val="both"/>
        <w:rPr>
          <w:bCs/>
          <w:sz w:val="22"/>
          <w:szCs w:val="22"/>
        </w:rPr>
      </w:pPr>
      <w:r w:rsidRPr="00FD0526">
        <w:rPr>
          <w:bCs/>
          <w:sz w:val="22"/>
          <w:szCs w:val="22"/>
        </w:rPr>
        <w:t xml:space="preserve">Ο φόρος εισοδήματος φυσικών προσώπων, </w:t>
      </w:r>
      <w:r w:rsidR="005978FE">
        <w:rPr>
          <w:bCs/>
          <w:sz w:val="22"/>
          <w:szCs w:val="22"/>
        </w:rPr>
        <w:t>προβλέπεται</w:t>
      </w:r>
      <w:r w:rsidRPr="00FD0526">
        <w:rPr>
          <w:bCs/>
          <w:sz w:val="22"/>
          <w:szCs w:val="22"/>
        </w:rPr>
        <w:t xml:space="preserve"> να διαμορφωθεί στα </w:t>
      </w:r>
      <w:r>
        <w:rPr>
          <w:bCs/>
          <w:sz w:val="22"/>
          <w:szCs w:val="22"/>
        </w:rPr>
        <w:t>8.725</w:t>
      </w:r>
      <w:r w:rsidRPr="00FD0526">
        <w:rPr>
          <w:bCs/>
          <w:sz w:val="22"/>
          <w:szCs w:val="22"/>
        </w:rPr>
        <w:t xml:space="preserve"> εκατ. ευρώ, </w:t>
      </w:r>
      <w:r>
        <w:rPr>
          <w:bCs/>
          <w:sz w:val="22"/>
          <w:szCs w:val="22"/>
        </w:rPr>
        <w:t>αυξ</w:t>
      </w:r>
      <w:r>
        <w:rPr>
          <w:bCs/>
          <w:sz w:val="22"/>
          <w:szCs w:val="22"/>
        </w:rPr>
        <w:t>η</w:t>
      </w:r>
      <w:r>
        <w:rPr>
          <w:bCs/>
          <w:sz w:val="22"/>
          <w:szCs w:val="22"/>
        </w:rPr>
        <w:t>μένος</w:t>
      </w:r>
      <w:r w:rsidRPr="00FD0526">
        <w:rPr>
          <w:bCs/>
          <w:sz w:val="22"/>
          <w:szCs w:val="22"/>
        </w:rPr>
        <w:t xml:space="preserve"> κατά </w:t>
      </w:r>
      <w:r>
        <w:rPr>
          <w:bCs/>
          <w:sz w:val="22"/>
          <w:szCs w:val="22"/>
        </w:rPr>
        <w:t>456 εκατ. ευρώ έναντι του 2017</w:t>
      </w:r>
      <w:r w:rsidRPr="002B37FA">
        <w:rPr>
          <w:bCs/>
          <w:sz w:val="22"/>
          <w:szCs w:val="22"/>
        </w:rPr>
        <w:t>,</w:t>
      </w:r>
      <w:r>
        <w:rPr>
          <w:bCs/>
          <w:sz w:val="22"/>
          <w:szCs w:val="22"/>
        </w:rPr>
        <w:t xml:space="preserve"> κυρίως</w:t>
      </w:r>
      <w:r w:rsidR="005978FE">
        <w:rPr>
          <w:bCs/>
          <w:sz w:val="22"/>
          <w:szCs w:val="22"/>
        </w:rPr>
        <w:t xml:space="preserve"> λόγω</w:t>
      </w:r>
      <w:r>
        <w:rPr>
          <w:bCs/>
          <w:sz w:val="22"/>
          <w:szCs w:val="22"/>
        </w:rPr>
        <w:t xml:space="preserve"> της εκτιμώμενης απόδοσης των παρεμβ</w:t>
      </w:r>
      <w:r>
        <w:rPr>
          <w:bCs/>
          <w:sz w:val="22"/>
          <w:szCs w:val="22"/>
        </w:rPr>
        <w:t>ά</w:t>
      </w:r>
      <w:r>
        <w:rPr>
          <w:bCs/>
          <w:sz w:val="22"/>
          <w:szCs w:val="22"/>
        </w:rPr>
        <w:t xml:space="preserve">σεων που αφορούν </w:t>
      </w:r>
      <w:r w:rsidR="005978FE">
        <w:rPr>
          <w:bCs/>
          <w:sz w:val="22"/>
          <w:szCs w:val="22"/>
        </w:rPr>
        <w:t>σ</w:t>
      </w:r>
      <w:r>
        <w:rPr>
          <w:bCs/>
          <w:sz w:val="22"/>
          <w:szCs w:val="22"/>
        </w:rPr>
        <w:t>την κατάργηση του 25% του αφορολόγητου σε βουλευτές και δικαστικούς</w:t>
      </w:r>
      <w:r w:rsidR="005978FE">
        <w:rPr>
          <w:bCs/>
          <w:sz w:val="22"/>
          <w:szCs w:val="22"/>
        </w:rPr>
        <w:t xml:space="preserve"> λε</w:t>
      </w:r>
      <w:r w:rsidR="005978FE">
        <w:rPr>
          <w:bCs/>
          <w:sz w:val="22"/>
          <w:szCs w:val="22"/>
        </w:rPr>
        <w:t>ι</w:t>
      </w:r>
      <w:r w:rsidR="005978FE">
        <w:rPr>
          <w:bCs/>
          <w:sz w:val="22"/>
          <w:szCs w:val="22"/>
        </w:rPr>
        <w:t>τουργούς</w:t>
      </w:r>
      <w:r>
        <w:rPr>
          <w:bCs/>
          <w:sz w:val="22"/>
          <w:szCs w:val="22"/>
        </w:rPr>
        <w:t>, τη φορολόγηση της βραχυπρόθεσμης μίσθωσης ακινήτων, την κατάργηση της έκπτωσης στις ιατρικές δαπάνες, καθώς και της έκπτωσης 1,5% στην παρακράτηση φόρου.</w:t>
      </w:r>
    </w:p>
    <w:p w:rsidR="00FC7254" w:rsidRPr="00FD0526" w:rsidRDefault="00FC7254" w:rsidP="00FC7254">
      <w:pPr>
        <w:jc w:val="both"/>
        <w:rPr>
          <w:bCs/>
          <w:sz w:val="22"/>
          <w:szCs w:val="22"/>
        </w:rPr>
      </w:pPr>
    </w:p>
    <w:p w:rsidR="00FC7254" w:rsidRPr="00FD0526" w:rsidRDefault="00FC7254" w:rsidP="00FC7254">
      <w:pPr>
        <w:jc w:val="both"/>
        <w:rPr>
          <w:bCs/>
          <w:sz w:val="22"/>
          <w:szCs w:val="22"/>
        </w:rPr>
      </w:pPr>
      <w:r w:rsidRPr="00FD0526">
        <w:rPr>
          <w:bCs/>
          <w:sz w:val="22"/>
          <w:szCs w:val="22"/>
        </w:rPr>
        <w:t xml:space="preserve">Ο φόρος εισοδήματος νομικών προσώπων προβλέπεται να παρουσιάσει μείωση κατά </w:t>
      </w:r>
      <w:r w:rsidR="00F632B1">
        <w:rPr>
          <w:bCs/>
          <w:sz w:val="22"/>
          <w:szCs w:val="22"/>
        </w:rPr>
        <w:t>111</w:t>
      </w:r>
      <w:r>
        <w:rPr>
          <w:bCs/>
          <w:sz w:val="22"/>
          <w:szCs w:val="22"/>
        </w:rPr>
        <w:t xml:space="preserve"> εκατ. ευρώ έναντι του 2017 </w:t>
      </w:r>
      <w:r w:rsidRPr="00FD0526">
        <w:rPr>
          <w:bCs/>
          <w:sz w:val="22"/>
          <w:szCs w:val="22"/>
        </w:rPr>
        <w:t>και να δ</w:t>
      </w:r>
      <w:r>
        <w:rPr>
          <w:bCs/>
          <w:sz w:val="22"/>
          <w:szCs w:val="22"/>
        </w:rPr>
        <w:t>ιαμορφωθεί στα 3.3</w:t>
      </w:r>
      <w:r w:rsidR="00F632B1">
        <w:rPr>
          <w:bCs/>
          <w:sz w:val="22"/>
          <w:szCs w:val="22"/>
        </w:rPr>
        <w:t>22</w:t>
      </w:r>
      <w:r>
        <w:rPr>
          <w:bCs/>
          <w:sz w:val="22"/>
          <w:szCs w:val="22"/>
        </w:rPr>
        <w:t xml:space="preserve"> εκατ. ευρώ, </w:t>
      </w:r>
      <w:r w:rsidRPr="00AF5967">
        <w:rPr>
          <w:bCs/>
          <w:sz w:val="22"/>
          <w:szCs w:val="22"/>
        </w:rPr>
        <w:t xml:space="preserve">λόγω της επίδρασης </w:t>
      </w:r>
      <w:r>
        <w:rPr>
          <w:bCs/>
          <w:sz w:val="22"/>
          <w:szCs w:val="22"/>
        </w:rPr>
        <w:t>της αυξημένης πρ</w:t>
      </w:r>
      <w:r>
        <w:rPr>
          <w:bCs/>
          <w:sz w:val="22"/>
          <w:szCs w:val="22"/>
        </w:rPr>
        <w:t>ο</w:t>
      </w:r>
      <w:r>
        <w:rPr>
          <w:bCs/>
          <w:sz w:val="22"/>
          <w:szCs w:val="22"/>
        </w:rPr>
        <w:t>καταβολής</w:t>
      </w:r>
      <w:r w:rsidRPr="00AF5967">
        <w:rPr>
          <w:bCs/>
          <w:sz w:val="22"/>
          <w:szCs w:val="22"/>
        </w:rPr>
        <w:t xml:space="preserve"> το</w:t>
      </w:r>
      <w:r>
        <w:rPr>
          <w:bCs/>
          <w:sz w:val="22"/>
          <w:szCs w:val="22"/>
        </w:rPr>
        <w:t>υ</w:t>
      </w:r>
      <w:r w:rsidRPr="00AF5967">
        <w:rPr>
          <w:bCs/>
          <w:sz w:val="22"/>
          <w:szCs w:val="22"/>
        </w:rPr>
        <w:t xml:space="preserve"> έτο</w:t>
      </w:r>
      <w:r>
        <w:rPr>
          <w:bCs/>
          <w:sz w:val="22"/>
          <w:szCs w:val="22"/>
        </w:rPr>
        <w:t>υ</w:t>
      </w:r>
      <w:r w:rsidRPr="00AF5967">
        <w:rPr>
          <w:bCs/>
          <w:sz w:val="22"/>
          <w:szCs w:val="22"/>
        </w:rPr>
        <w:t>ς 2017.</w:t>
      </w:r>
    </w:p>
    <w:p w:rsidR="00FC7254" w:rsidRPr="00FD0526" w:rsidRDefault="00FC7254" w:rsidP="00FC7254">
      <w:pPr>
        <w:jc w:val="both"/>
        <w:rPr>
          <w:bCs/>
          <w:sz w:val="22"/>
          <w:szCs w:val="22"/>
        </w:rPr>
      </w:pPr>
    </w:p>
    <w:p w:rsidR="00FC7254" w:rsidRDefault="00FC7254" w:rsidP="00FC7254">
      <w:pPr>
        <w:spacing w:line="228" w:lineRule="auto"/>
        <w:jc w:val="both"/>
        <w:rPr>
          <w:sz w:val="22"/>
          <w:szCs w:val="22"/>
        </w:rPr>
      </w:pPr>
      <w:r w:rsidRPr="00FD0526">
        <w:rPr>
          <w:bCs/>
          <w:sz w:val="22"/>
          <w:szCs w:val="22"/>
        </w:rPr>
        <w:t>Οι φόροι περιουσίας προβλέπεται να φθάσουν στα 3.</w:t>
      </w:r>
      <w:r>
        <w:rPr>
          <w:bCs/>
          <w:sz w:val="22"/>
          <w:szCs w:val="22"/>
        </w:rPr>
        <w:t>379</w:t>
      </w:r>
      <w:r w:rsidRPr="00FD0526">
        <w:rPr>
          <w:bCs/>
          <w:sz w:val="22"/>
          <w:szCs w:val="22"/>
        </w:rPr>
        <w:t xml:space="preserve"> εκατ. ευρώ, σημειώνοντας </w:t>
      </w:r>
      <w:r>
        <w:rPr>
          <w:bCs/>
          <w:sz w:val="22"/>
          <w:szCs w:val="22"/>
        </w:rPr>
        <w:t>αύξηση</w:t>
      </w:r>
      <w:r w:rsidRPr="00FD0526">
        <w:rPr>
          <w:bCs/>
          <w:sz w:val="22"/>
          <w:szCs w:val="22"/>
        </w:rPr>
        <w:t xml:space="preserve"> κατά </w:t>
      </w:r>
      <w:r>
        <w:rPr>
          <w:bCs/>
          <w:sz w:val="22"/>
          <w:szCs w:val="22"/>
        </w:rPr>
        <w:t>179 εκατ. ευρώ</w:t>
      </w:r>
      <w:r w:rsidRPr="00FD0526">
        <w:rPr>
          <w:bCs/>
          <w:sz w:val="22"/>
          <w:szCs w:val="22"/>
        </w:rPr>
        <w:t xml:space="preserve"> έναντι του </w:t>
      </w:r>
      <w:r>
        <w:rPr>
          <w:bCs/>
          <w:sz w:val="22"/>
          <w:szCs w:val="22"/>
        </w:rPr>
        <w:t>2017, η οποία οφείλεται, κυρίως, στη</w:t>
      </w:r>
      <w:r w:rsidR="005D278D">
        <w:rPr>
          <w:bCs/>
          <w:sz w:val="22"/>
          <w:szCs w:val="22"/>
        </w:rPr>
        <w:t>ν προαναφερόμενη</w:t>
      </w:r>
      <w:r>
        <w:rPr>
          <w:bCs/>
          <w:sz w:val="22"/>
          <w:szCs w:val="22"/>
        </w:rPr>
        <w:t xml:space="preserve"> </w:t>
      </w:r>
      <w:r w:rsidRPr="00AA6AEF">
        <w:rPr>
          <w:sz w:val="22"/>
          <w:szCs w:val="22"/>
        </w:rPr>
        <w:t>μετακύλιση της τελε</w:t>
      </w:r>
      <w:r w:rsidRPr="00AA6AEF">
        <w:rPr>
          <w:sz w:val="22"/>
          <w:szCs w:val="22"/>
        </w:rPr>
        <w:t>υ</w:t>
      </w:r>
      <w:r w:rsidRPr="00AA6AEF">
        <w:rPr>
          <w:sz w:val="22"/>
          <w:szCs w:val="22"/>
        </w:rPr>
        <w:t>ταίας δόσης του Ενιαίου Φόρου Ιδιοκτησίας Ακ</w:t>
      </w:r>
      <w:r>
        <w:rPr>
          <w:sz w:val="22"/>
          <w:szCs w:val="22"/>
        </w:rPr>
        <w:t>ινήτων (ΕΝΦΙΑ) του έτους 2017</w:t>
      </w:r>
      <w:r w:rsidRPr="00AA6AEF">
        <w:rPr>
          <w:sz w:val="22"/>
          <w:szCs w:val="22"/>
        </w:rPr>
        <w:t>, στον Ιανουάριο του 2018</w:t>
      </w:r>
      <w:r>
        <w:rPr>
          <w:sz w:val="22"/>
          <w:szCs w:val="22"/>
        </w:rPr>
        <w:t>.</w:t>
      </w:r>
    </w:p>
    <w:p w:rsidR="00FC7254" w:rsidRPr="003A71ED" w:rsidRDefault="00FC7254" w:rsidP="00FC7254">
      <w:pPr>
        <w:spacing w:line="228" w:lineRule="auto"/>
        <w:jc w:val="both"/>
        <w:rPr>
          <w:bCs/>
          <w:sz w:val="22"/>
          <w:szCs w:val="22"/>
        </w:rPr>
      </w:pPr>
    </w:p>
    <w:p w:rsidR="00FC7254" w:rsidRDefault="00FC7254" w:rsidP="00FC7254">
      <w:pPr>
        <w:jc w:val="both"/>
        <w:rPr>
          <w:bCs/>
          <w:sz w:val="22"/>
          <w:szCs w:val="22"/>
        </w:rPr>
      </w:pPr>
      <w:r w:rsidRPr="00FD0526">
        <w:rPr>
          <w:bCs/>
          <w:sz w:val="22"/>
          <w:szCs w:val="22"/>
        </w:rPr>
        <w:t xml:space="preserve">Οι άμεσοι φόροι ΠΟΕ αναμένεται να διαμορφωθούν στα </w:t>
      </w:r>
      <w:r>
        <w:rPr>
          <w:bCs/>
          <w:sz w:val="22"/>
          <w:szCs w:val="22"/>
        </w:rPr>
        <w:t>1.718</w:t>
      </w:r>
      <w:r w:rsidRPr="00FD0526">
        <w:rPr>
          <w:bCs/>
          <w:sz w:val="22"/>
          <w:szCs w:val="22"/>
        </w:rPr>
        <w:t xml:space="preserve"> εκατ. ευρώ, </w:t>
      </w:r>
      <w:r>
        <w:rPr>
          <w:bCs/>
          <w:sz w:val="22"/>
          <w:szCs w:val="22"/>
        </w:rPr>
        <w:t xml:space="preserve">μειωμένοι </w:t>
      </w:r>
      <w:r w:rsidRPr="00FD0526">
        <w:rPr>
          <w:bCs/>
          <w:sz w:val="22"/>
          <w:szCs w:val="22"/>
        </w:rPr>
        <w:t xml:space="preserve">κατά </w:t>
      </w:r>
      <w:r>
        <w:rPr>
          <w:bCs/>
          <w:sz w:val="22"/>
          <w:szCs w:val="22"/>
        </w:rPr>
        <w:t>103</w:t>
      </w:r>
      <w:r w:rsidRPr="00FD0526">
        <w:rPr>
          <w:bCs/>
          <w:sz w:val="22"/>
          <w:szCs w:val="22"/>
        </w:rPr>
        <w:t xml:space="preserve"> εκατ. ευρώ έναντι του </w:t>
      </w:r>
      <w:r>
        <w:rPr>
          <w:bCs/>
          <w:sz w:val="22"/>
          <w:szCs w:val="22"/>
        </w:rPr>
        <w:t xml:space="preserve">2017, ενώ οι </w:t>
      </w:r>
      <w:r w:rsidRPr="00FD0526">
        <w:rPr>
          <w:bCs/>
          <w:sz w:val="22"/>
          <w:szCs w:val="22"/>
        </w:rPr>
        <w:t xml:space="preserve">λοιποί άμεσοι φόροι θα </w:t>
      </w:r>
      <w:r>
        <w:rPr>
          <w:bCs/>
          <w:sz w:val="22"/>
          <w:szCs w:val="22"/>
        </w:rPr>
        <w:t>διαμορφωθούν</w:t>
      </w:r>
      <w:r w:rsidRPr="00FD0526">
        <w:rPr>
          <w:bCs/>
          <w:sz w:val="22"/>
          <w:szCs w:val="22"/>
        </w:rPr>
        <w:t xml:space="preserve"> στα 2.3</w:t>
      </w:r>
      <w:r>
        <w:rPr>
          <w:bCs/>
          <w:sz w:val="22"/>
          <w:szCs w:val="22"/>
        </w:rPr>
        <w:t>62</w:t>
      </w:r>
      <w:r w:rsidRPr="00FD0526">
        <w:rPr>
          <w:bCs/>
          <w:sz w:val="22"/>
          <w:szCs w:val="22"/>
        </w:rPr>
        <w:t xml:space="preserve"> εκατ. ευρώ, μειωμένοι κατά </w:t>
      </w:r>
      <w:r>
        <w:rPr>
          <w:bCs/>
          <w:sz w:val="22"/>
          <w:szCs w:val="22"/>
        </w:rPr>
        <w:t>8 εκατ. ευρώ έναντι του 2017.</w:t>
      </w:r>
    </w:p>
    <w:p w:rsidR="00FC7254" w:rsidRDefault="00FC7254" w:rsidP="00FC7254">
      <w:pPr>
        <w:jc w:val="both"/>
        <w:rPr>
          <w:bCs/>
          <w:sz w:val="22"/>
          <w:szCs w:val="22"/>
        </w:rPr>
      </w:pPr>
    </w:p>
    <w:p w:rsidR="00FC7254" w:rsidRPr="00081B47" w:rsidRDefault="00FC7254" w:rsidP="00FC7254">
      <w:pPr>
        <w:jc w:val="both"/>
        <w:rPr>
          <w:rFonts w:ascii="Arial Narrow" w:hAnsi="Arial Narrow"/>
          <w:b/>
          <w:bCs/>
          <w:i/>
          <w:sz w:val="22"/>
          <w:szCs w:val="22"/>
        </w:rPr>
      </w:pPr>
      <w:r w:rsidRPr="00FD0526">
        <w:rPr>
          <w:rFonts w:ascii="Arial Narrow" w:hAnsi="Arial Narrow"/>
          <w:b/>
          <w:bCs/>
          <w:i/>
          <w:sz w:val="22"/>
          <w:szCs w:val="22"/>
        </w:rPr>
        <w:t>Έμμεσοι φόροι</w:t>
      </w:r>
    </w:p>
    <w:p w:rsidR="00FC7254" w:rsidRPr="00FD0526" w:rsidRDefault="00FC7254" w:rsidP="00FC7254">
      <w:pPr>
        <w:jc w:val="both"/>
        <w:rPr>
          <w:bCs/>
          <w:sz w:val="22"/>
          <w:szCs w:val="22"/>
        </w:rPr>
      </w:pPr>
    </w:p>
    <w:p w:rsidR="00FC7254" w:rsidRPr="00FD0526" w:rsidRDefault="00FC7254" w:rsidP="00FC7254">
      <w:pPr>
        <w:jc w:val="both"/>
        <w:rPr>
          <w:bCs/>
          <w:sz w:val="22"/>
          <w:szCs w:val="22"/>
        </w:rPr>
      </w:pPr>
      <w:r w:rsidRPr="00FD0526">
        <w:rPr>
          <w:bCs/>
          <w:sz w:val="22"/>
          <w:szCs w:val="22"/>
        </w:rPr>
        <w:t xml:space="preserve">Οι έμμεσοι φόροι προβλέπεται να διαμορφωθούν στα </w:t>
      </w:r>
      <w:r w:rsidR="00F632B1">
        <w:rPr>
          <w:bCs/>
          <w:sz w:val="22"/>
          <w:szCs w:val="22"/>
        </w:rPr>
        <w:t>27.390</w:t>
      </w:r>
      <w:r w:rsidRPr="00FD0526">
        <w:rPr>
          <w:bCs/>
          <w:sz w:val="22"/>
          <w:szCs w:val="22"/>
        </w:rPr>
        <w:t xml:space="preserve"> εκατ. ευρώ, παρουσιάζοντας </w:t>
      </w:r>
      <w:r>
        <w:rPr>
          <w:bCs/>
          <w:sz w:val="22"/>
          <w:szCs w:val="22"/>
        </w:rPr>
        <w:t>αύξηση κ</w:t>
      </w:r>
      <w:r>
        <w:rPr>
          <w:bCs/>
          <w:sz w:val="22"/>
          <w:szCs w:val="22"/>
        </w:rPr>
        <w:t>α</w:t>
      </w:r>
      <w:r w:rsidR="00F632B1">
        <w:rPr>
          <w:bCs/>
          <w:sz w:val="22"/>
          <w:szCs w:val="22"/>
        </w:rPr>
        <w:t>τά 473</w:t>
      </w:r>
      <w:r>
        <w:rPr>
          <w:bCs/>
          <w:sz w:val="22"/>
          <w:szCs w:val="22"/>
        </w:rPr>
        <w:t xml:space="preserve"> </w:t>
      </w:r>
      <w:r w:rsidR="005978FE">
        <w:rPr>
          <w:bCs/>
          <w:sz w:val="22"/>
          <w:szCs w:val="22"/>
        </w:rPr>
        <w:t xml:space="preserve">εκατ. ευρώ </w:t>
      </w:r>
      <w:r>
        <w:rPr>
          <w:bCs/>
          <w:sz w:val="22"/>
          <w:szCs w:val="22"/>
        </w:rPr>
        <w:t xml:space="preserve">έναντι του 2017 και μείωση </w:t>
      </w:r>
      <w:r w:rsidRPr="00FD0526">
        <w:rPr>
          <w:bCs/>
          <w:sz w:val="22"/>
          <w:szCs w:val="22"/>
        </w:rPr>
        <w:t>κατά 1</w:t>
      </w:r>
      <w:r>
        <w:rPr>
          <w:bCs/>
          <w:sz w:val="22"/>
          <w:szCs w:val="22"/>
        </w:rPr>
        <w:t>1</w:t>
      </w:r>
      <w:r w:rsidR="00F632B1">
        <w:rPr>
          <w:bCs/>
          <w:sz w:val="22"/>
          <w:szCs w:val="22"/>
        </w:rPr>
        <w:t>2</w:t>
      </w:r>
      <w:r>
        <w:rPr>
          <w:bCs/>
          <w:sz w:val="22"/>
          <w:szCs w:val="22"/>
        </w:rPr>
        <w:t xml:space="preserve"> </w:t>
      </w:r>
      <w:r w:rsidRPr="00FD0526">
        <w:rPr>
          <w:bCs/>
          <w:sz w:val="22"/>
          <w:szCs w:val="22"/>
        </w:rPr>
        <w:t xml:space="preserve">εκατ. ευρώ έναντι του </w:t>
      </w:r>
      <w:r>
        <w:rPr>
          <w:bCs/>
          <w:sz w:val="22"/>
          <w:szCs w:val="22"/>
        </w:rPr>
        <w:t>στόχου ΜΠΔΣ 2018-2021</w:t>
      </w:r>
      <w:r w:rsidRPr="00FD0526">
        <w:rPr>
          <w:bCs/>
          <w:sz w:val="22"/>
          <w:szCs w:val="22"/>
        </w:rPr>
        <w:t>. Ειδικότερα:</w:t>
      </w:r>
    </w:p>
    <w:p w:rsidR="004953B8" w:rsidRDefault="004953B8" w:rsidP="00FC7254">
      <w:pPr>
        <w:jc w:val="both"/>
        <w:rPr>
          <w:bCs/>
          <w:sz w:val="22"/>
          <w:szCs w:val="22"/>
        </w:rPr>
      </w:pPr>
    </w:p>
    <w:p w:rsidR="00FC7254" w:rsidRDefault="00FC7254" w:rsidP="00FC7254">
      <w:pPr>
        <w:jc w:val="both"/>
        <w:rPr>
          <w:bCs/>
          <w:sz w:val="22"/>
          <w:szCs w:val="22"/>
        </w:rPr>
      </w:pPr>
      <w:r w:rsidRPr="00FD0526">
        <w:rPr>
          <w:bCs/>
          <w:sz w:val="22"/>
          <w:szCs w:val="22"/>
        </w:rPr>
        <w:lastRenderedPageBreak/>
        <w:t>Τα έσοδα από ΦΠΑ αναμένεται να ανέλθουν στα 15.</w:t>
      </w:r>
      <w:r>
        <w:rPr>
          <w:bCs/>
          <w:sz w:val="22"/>
          <w:szCs w:val="22"/>
        </w:rPr>
        <w:t>8</w:t>
      </w:r>
      <w:r w:rsidR="00F632B1">
        <w:rPr>
          <w:bCs/>
          <w:sz w:val="22"/>
          <w:szCs w:val="22"/>
        </w:rPr>
        <w:t>45</w:t>
      </w:r>
      <w:r w:rsidRPr="00FD0526">
        <w:rPr>
          <w:bCs/>
          <w:sz w:val="22"/>
          <w:szCs w:val="22"/>
        </w:rPr>
        <w:t xml:space="preserve"> εκατ. ευρώ </w:t>
      </w:r>
      <w:r>
        <w:rPr>
          <w:bCs/>
          <w:sz w:val="22"/>
          <w:szCs w:val="22"/>
        </w:rPr>
        <w:t>αυξημένα</w:t>
      </w:r>
      <w:r w:rsidRPr="00FD0526">
        <w:rPr>
          <w:bCs/>
          <w:sz w:val="22"/>
          <w:szCs w:val="22"/>
        </w:rPr>
        <w:t xml:space="preserve"> κατά</w:t>
      </w:r>
      <w:r w:rsidR="00F632B1">
        <w:rPr>
          <w:bCs/>
          <w:sz w:val="22"/>
          <w:szCs w:val="22"/>
        </w:rPr>
        <w:t xml:space="preserve"> 78</w:t>
      </w:r>
      <w:r>
        <w:rPr>
          <w:bCs/>
          <w:sz w:val="22"/>
          <w:szCs w:val="22"/>
        </w:rPr>
        <w:t xml:space="preserve"> εκατ. ευρώ έναντι του 2017.</w:t>
      </w:r>
    </w:p>
    <w:p w:rsidR="00FC7254" w:rsidRDefault="00FC7254" w:rsidP="00FC7254">
      <w:pPr>
        <w:jc w:val="both"/>
        <w:rPr>
          <w:bCs/>
          <w:sz w:val="22"/>
          <w:szCs w:val="22"/>
        </w:rPr>
      </w:pPr>
    </w:p>
    <w:p w:rsidR="00FC7254" w:rsidRPr="00DA33F0" w:rsidRDefault="00FC7254" w:rsidP="00FC7254">
      <w:pPr>
        <w:jc w:val="both"/>
        <w:rPr>
          <w:bCs/>
          <w:sz w:val="22"/>
          <w:szCs w:val="22"/>
        </w:rPr>
      </w:pPr>
      <w:r w:rsidRPr="00DA33F0">
        <w:rPr>
          <w:bCs/>
          <w:sz w:val="22"/>
          <w:szCs w:val="22"/>
        </w:rPr>
        <w:t xml:space="preserve">Οι φόροι κατανάλωσης θα διαμορφωθούν στα </w:t>
      </w:r>
      <w:r>
        <w:rPr>
          <w:bCs/>
          <w:sz w:val="22"/>
          <w:szCs w:val="22"/>
        </w:rPr>
        <w:t>9.706 εκατ. ευρώ αυξημένοι</w:t>
      </w:r>
      <w:r w:rsidRPr="00DA33F0">
        <w:rPr>
          <w:bCs/>
          <w:sz w:val="22"/>
          <w:szCs w:val="22"/>
        </w:rPr>
        <w:t xml:space="preserve"> κατά </w:t>
      </w:r>
      <w:r>
        <w:rPr>
          <w:bCs/>
          <w:sz w:val="22"/>
          <w:szCs w:val="22"/>
        </w:rPr>
        <w:t>439</w:t>
      </w:r>
      <w:r w:rsidRPr="00DA33F0">
        <w:rPr>
          <w:bCs/>
          <w:sz w:val="22"/>
          <w:szCs w:val="22"/>
        </w:rPr>
        <w:t xml:space="preserve"> εκατ. ευρώ έν</w:t>
      </w:r>
      <w:r w:rsidRPr="00DA33F0">
        <w:rPr>
          <w:bCs/>
          <w:sz w:val="22"/>
          <w:szCs w:val="22"/>
        </w:rPr>
        <w:t>α</w:t>
      </w:r>
      <w:r w:rsidRPr="00DA33F0">
        <w:rPr>
          <w:bCs/>
          <w:sz w:val="22"/>
          <w:szCs w:val="22"/>
        </w:rPr>
        <w:t xml:space="preserve">ντι του </w:t>
      </w:r>
      <w:r w:rsidR="005978FE">
        <w:rPr>
          <w:bCs/>
          <w:sz w:val="22"/>
          <w:szCs w:val="22"/>
        </w:rPr>
        <w:t xml:space="preserve">2017, </w:t>
      </w:r>
      <w:r>
        <w:rPr>
          <w:bCs/>
          <w:sz w:val="22"/>
          <w:szCs w:val="22"/>
        </w:rPr>
        <w:t>κυρίως</w:t>
      </w:r>
      <w:r w:rsidR="005978FE">
        <w:rPr>
          <w:bCs/>
          <w:sz w:val="22"/>
          <w:szCs w:val="22"/>
        </w:rPr>
        <w:t xml:space="preserve"> λόγω</w:t>
      </w:r>
      <w:r>
        <w:rPr>
          <w:bCs/>
          <w:sz w:val="22"/>
          <w:szCs w:val="22"/>
        </w:rPr>
        <w:t xml:space="preserve"> της </w:t>
      </w:r>
      <w:r w:rsidR="005978FE">
        <w:rPr>
          <w:bCs/>
          <w:sz w:val="22"/>
          <w:szCs w:val="22"/>
        </w:rPr>
        <w:t>αύξησης</w:t>
      </w:r>
      <w:r>
        <w:rPr>
          <w:bCs/>
          <w:sz w:val="22"/>
          <w:szCs w:val="22"/>
        </w:rPr>
        <w:t xml:space="preserve"> των εσόδων από καπνικά προϊόντα ύστερα από την αποθεμ</w:t>
      </w:r>
      <w:r>
        <w:rPr>
          <w:bCs/>
          <w:sz w:val="22"/>
          <w:szCs w:val="22"/>
        </w:rPr>
        <w:t>α</w:t>
      </w:r>
      <w:r>
        <w:rPr>
          <w:bCs/>
          <w:sz w:val="22"/>
          <w:szCs w:val="22"/>
        </w:rPr>
        <w:t>τοποίηση που συντελέστηκε το έτος 2016 και επηρέασε αρνητικά τα έσοδα του 2017.</w:t>
      </w:r>
    </w:p>
    <w:p w:rsidR="00FC7254" w:rsidRPr="00FD0526" w:rsidRDefault="00FC7254" w:rsidP="00FC7254">
      <w:pPr>
        <w:jc w:val="both"/>
        <w:rPr>
          <w:bCs/>
          <w:sz w:val="22"/>
          <w:szCs w:val="22"/>
        </w:rPr>
      </w:pPr>
    </w:p>
    <w:p w:rsidR="00FC7254" w:rsidRPr="00FD0526" w:rsidRDefault="00FC7254" w:rsidP="00FC7254">
      <w:pPr>
        <w:jc w:val="both"/>
        <w:rPr>
          <w:bCs/>
          <w:sz w:val="22"/>
          <w:szCs w:val="22"/>
        </w:rPr>
      </w:pPr>
      <w:r w:rsidRPr="00FD0526">
        <w:rPr>
          <w:bCs/>
          <w:sz w:val="22"/>
          <w:szCs w:val="22"/>
        </w:rPr>
        <w:t xml:space="preserve">Οι έμμεσοι φόροι ΠΟΕ θα διαμορφωθούν στα </w:t>
      </w:r>
      <w:r>
        <w:rPr>
          <w:bCs/>
          <w:sz w:val="22"/>
          <w:szCs w:val="22"/>
        </w:rPr>
        <w:t>851</w:t>
      </w:r>
      <w:r w:rsidRPr="00FD0526">
        <w:rPr>
          <w:bCs/>
          <w:sz w:val="22"/>
          <w:szCs w:val="22"/>
        </w:rPr>
        <w:t xml:space="preserve"> εκατ. ευρώ, </w:t>
      </w:r>
      <w:r>
        <w:rPr>
          <w:bCs/>
          <w:sz w:val="22"/>
          <w:szCs w:val="22"/>
        </w:rPr>
        <w:t>μειωμένοι</w:t>
      </w:r>
      <w:r w:rsidRPr="00FD0526">
        <w:rPr>
          <w:bCs/>
          <w:sz w:val="22"/>
          <w:szCs w:val="22"/>
        </w:rPr>
        <w:t xml:space="preserve"> κατά </w:t>
      </w:r>
      <w:r>
        <w:rPr>
          <w:bCs/>
          <w:sz w:val="22"/>
          <w:szCs w:val="22"/>
        </w:rPr>
        <w:t>71</w:t>
      </w:r>
      <w:r w:rsidRPr="00FD0526">
        <w:rPr>
          <w:bCs/>
          <w:sz w:val="22"/>
          <w:szCs w:val="22"/>
        </w:rPr>
        <w:t xml:space="preserve"> εκατ. ευρώ έναντι του </w:t>
      </w:r>
      <w:r>
        <w:rPr>
          <w:bCs/>
          <w:sz w:val="22"/>
          <w:szCs w:val="22"/>
        </w:rPr>
        <w:t>2017</w:t>
      </w:r>
      <w:r w:rsidRPr="00FD0526">
        <w:rPr>
          <w:bCs/>
          <w:sz w:val="22"/>
          <w:szCs w:val="22"/>
        </w:rPr>
        <w:t>.</w:t>
      </w:r>
    </w:p>
    <w:p w:rsidR="00FC7254" w:rsidRPr="00FD0526" w:rsidRDefault="00FC7254" w:rsidP="00FC7254">
      <w:pPr>
        <w:jc w:val="both"/>
        <w:rPr>
          <w:bCs/>
          <w:sz w:val="22"/>
          <w:szCs w:val="22"/>
        </w:rPr>
      </w:pPr>
    </w:p>
    <w:p w:rsidR="00FC7254" w:rsidRPr="00FD0526" w:rsidRDefault="00FC7254" w:rsidP="00FC7254">
      <w:pPr>
        <w:jc w:val="both"/>
        <w:rPr>
          <w:rFonts w:ascii="Arial Narrow" w:hAnsi="Arial Narrow"/>
          <w:b/>
          <w:bCs/>
          <w:i/>
          <w:sz w:val="22"/>
          <w:szCs w:val="22"/>
        </w:rPr>
      </w:pPr>
      <w:r w:rsidRPr="00FD0526">
        <w:rPr>
          <w:rFonts w:ascii="Arial Narrow" w:hAnsi="Arial Narrow"/>
          <w:b/>
          <w:bCs/>
          <w:i/>
          <w:sz w:val="22"/>
          <w:szCs w:val="22"/>
        </w:rPr>
        <w:t>Μη φορολογικά έσοδα</w:t>
      </w:r>
    </w:p>
    <w:p w:rsidR="00FC7254" w:rsidRPr="00FD0526" w:rsidRDefault="00FC7254" w:rsidP="00FC7254">
      <w:pPr>
        <w:jc w:val="both"/>
        <w:rPr>
          <w:bCs/>
          <w:sz w:val="22"/>
          <w:szCs w:val="22"/>
        </w:rPr>
      </w:pPr>
    </w:p>
    <w:p w:rsidR="00FC7254" w:rsidRDefault="00FC7254" w:rsidP="00FC7254">
      <w:pPr>
        <w:jc w:val="both"/>
        <w:rPr>
          <w:bCs/>
          <w:sz w:val="22"/>
          <w:szCs w:val="22"/>
        </w:rPr>
      </w:pPr>
      <w:r w:rsidRPr="00FD0526">
        <w:rPr>
          <w:bCs/>
          <w:sz w:val="22"/>
          <w:szCs w:val="22"/>
        </w:rPr>
        <w:t xml:space="preserve">Οι απολήψεις του Τακτικού Προϋπολογισμού από την ΕΕ προβλέπεται να φθάσουν στα </w:t>
      </w:r>
      <w:r>
        <w:rPr>
          <w:bCs/>
          <w:sz w:val="22"/>
          <w:szCs w:val="22"/>
        </w:rPr>
        <w:t>331</w:t>
      </w:r>
      <w:r w:rsidRPr="00FD0526">
        <w:rPr>
          <w:bCs/>
          <w:sz w:val="22"/>
          <w:szCs w:val="22"/>
        </w:rPr>
        <w:t xml:space="preserve"> εκατ. ε</w:t>
      </w:r>
      <w:r w:rsidRPr="00FD0526">
        <w:rPr>
          <w:bCs/>
          <w:sz w:val="22"/>
          <w:szCs w:val="22"/>
        </w:rPr>
        <w:t>υ</w:t>
      </w:r>
      <w:r w:rsidRPr="00FD0526">
        <w:rPr>
          <w:bCs/>
          <w:sz w:val="22"/>
          <w:szCs w:val="22"/>
        </w:rPr>
        <w:t>ρώ, σημαντικό μέρος των οποίων (</w:t>
      </w:r>
      <w:r>
        <w:rPr>
          <w:bCs/>
          <w:sz w:val="22"/>
          <w:szCs w:val="22"/>
        </w:rPr>
        <w:t>170</w:t>
      </w:r>
      <w:r w:rsidRPr="00FD0526">
        <w:rPr>
          <w:bCs/>
          <w:sz w:val="22"/>
          <w:szCs w:val="22"/>
        </w:rPr>
        <w:t xml:space="preserve"> εκατ. ευρώ) αφορά απολήψεις από το Ευρωπαϊκό Γεωργικό Ταμείο Αγροτικής Ανάπτυξης (ΕΓΤΑΑ) για τη χρηματοδότηση μέτρων και δράσεων αγροτικής αν</w:t>
      </w:r>
      <w:r w:rsidRPr="00FD0526">
        <w:rPr>
          <w:bCs/>
          <w:sz w:val="22"/>
          <w:szCs w:val="22"/>
        </w:rPr>
        <w:t>ά</w:t>
      </w:r>
      <w:r w:rsidRPr="00FD0526">
        <w:rPr>
          <w:bCs/>
          <w:sz w:val="22"/>
          <w:szCs w:val="22"/>
        </w:rPr>
        <w:t xml:space="preserve">πτυξης. Τα έσοδα από τις μεταναστευτικές ροές </w:t>
      </w:r>
      <w:r w:rsidR="005978FE">
        <w:rPr>
          <w:bCs/>
          <w:sz w:val="22"/>
          <w:szCs w:val="22"/>
        </w:rPr>
        <w:t xml:space="preserve">προβλέπονται </w:t>
      </w:r>
      <w:r w:rsidRPr="00FD0526">
        <w:rPr>
          <w:bCs/>
          <w:sz w:val="22"/>
          <w:szCs w:val="22"/>
        </w:rPr>
        <w:t>στα 100 εκατ. ευρώ</w:t>
      </w:r>
      <w:r>
        <w:rPr>
          <w:bCs/>
          <w:sz w:val="22"/>
          <w:szCs w:val="22"/>
        </w:rPr>
        <w:t>.</w:t>
      </w:r>
    </w:p>
    <w:p w:rsidR="00FC7254" w:rsidRPr="00FD0526" w:rsidRDefault="00FC7254" w:rsidP="00FC7254">
      <w:pPr>
        <w:jc w:val="both"/>
        <w:rPr>
          <w:bCs/>
          <w:sz w:val="22"/>
          <w:szCs w:val="22"/>
        </w:rPr>
      </w:pPr>
    </w:p>
    <w:p w:rsidR="00FC7254" w:rsidRPr="00F632B1" w:rsidRDefault="00FC7254" w:rsidP="00FC7254">
      <w:pPr>
        <w:jc w:val="both"/>
        <w:rPr>
          <w:bCs/>
          <w:sz w:val="22"/>
          <w:szCs w:val="22"/>
        </w:rPr>
      </w:pPr>
      <w:r>
        <w:rPr>
          <w:bCs/>
          <w:sz w:val="22"/>
          <w:szCs w:val="22"/>
        </w:rPr>
        <w:t>Τέλος</w:t>
      </w:r>
      <w:r w:rsidRPr="00FD0526">
        <w:rPr>
          <w:bCs/>
          <w:sz w:val="22"/>
          <w:szCs w:val="22"/>
        </w:rPr>
        <w:t xml:space="preserve">, τα λοιπά μη φορολογικά έσοδα </w:t>
      </w:r>
      <w:r w:rsidR="00B629E3">
        <w:rPr>
          <w:bCs/>
          <w:sz w:val="22"/>
          <w:szCs w:val="22"/>
        </w:rPr>
        <w:t xml:space="preserve">προβλέπονται </w:t>
      </w:r>
      <w:r w:rsidRPr="00FD0526">
        <w:rPr>
          <w:bCs/>
          <w:sz w:val="22"/>
          <w:szCs w:val="22"/>
        </w:rPr>
        <w:t>στα 3.</w:t>
      </w:r>
      <w:r w:rsidR="00F632B1">
        <w:rPr>
          <w:bCs/>
          <w:sz w:val="22"/>
          <w:szCs w:val="22"/>
        </w:rPr>
        <w:t>942</w:t>
      </w:r>
      <w:r w:rsidRPr="00FD0526">
        <w:rPr>
          <w:bCs/>
          <w:sz w:val="22"/>
          <w:szCs w:val="22"/>
        </w:rPr>
        <w:t xml:space="preserve"> εκατ. ευρώ, </w:t>
      </w:r>
      <w:r>
        <w:rPr>
          <w:bCs/>
          <w:sz w:val="22"/>
          <w:szCs w:val="22"/>
        </w:rPr>
        <w:t>μειω</w:t>
      </w:r>
      <w:r w:rsidRPr="00FD0526">
        <w:rPr>
          <w:bCs/>
          <w:sz w:val="22"/>
          <w:szCs w:val="22"/>
        </w:rPr>
        <w:t>μένα κατ</w:t>
      </w:r>
      <w:r>
        <w:rPr>
          <w:bCs/>
          <w:sz w:val="22"/>
          <w:szCs w:val="22"/>
        </w:rPr>
        <w:t xml:space="preserve">ά </w:t>
      </w:r>
      <w:r w:rsidR="00F632B1">
        <w:rPr>
          <w:bCs/>
          <w:sz w:val="22"/>
          <w:szCs w:val="22"/>
        </w:rPr>
        <w:t>398</w:t>
      </w:r>
      <w:r>
        <w:rPr>
          <w:bCs/>
          <w:sz w:val="22"/>
          <w:szCs w:val="22"/>
        </w:rPr>
        <w:t xml:space="preserve"> εκατ. ευρώ ένα</w:t>
      </w:r>
      <w:r w:rsidR="00F632B1">
        <w:rPr>
          <w:bCs/>
          <w:sz w:val="22"/>
          <w:szCs w:val="22"/>
        </w:rPr>
        <w:t>ντι του 2017 και αυξημένα κατά 280</w:t>
      </w:r>
      <w:r>
        <w:rPr>
          <w:bCs/>
          <w:sz w:val="22"/>
          <w:szCs w:val="22"/>
        </w:rPr>
        <w:t xml:space="preserve"> εκατ. ευρώ έναντι του στόχου του ΜΠΔΣ 2018-2021.</w:t>
      </w:r>
      <w:r w:rsidR="00F632B1">
        <w:rPr>
          <w:bCs/>
          <w:sz w:val="22"/>
          <w:szCs w:val="22"/>
        </w:rPr>
        <w:t xml:space="preserve"> Στο ποσό αυτό συμπεριλαμβάνονται τα πρόσθετα έσοδα από την εισαγωγή των παιγνιομηχανημάτων (</w:t>
      </w:r>
      <w:r w:rsidR="00F632B1">
        <w:rPr>
          <w:bCs/>
          <w:sz w:val="22"/>
          <w:szCs w:val="22"/>
          <w:lang w:val="en-GB"/>
        </w:rPr>
        <w:t>VLTs</w:t>
      </w:r>
      <w:r w:rsidR="00F632B1" w:rsidRPr="00F632B1">
        <w:rPr>
          <w:bCs/>
          <w:sz w:val="22"/>
          <w:szCs w:val="22"/>
        </w:rPr>
        <w:t xml:space="preserve">), </w:t>
      </w:r>
      <w:r w:rsidR="00F632B1">
        <w:rPr>
          <w:bCs/>
          <w:sz w:val="22"/>
          <w:szCs w:val="22"/>
        </w:rPr>
        <w:t>ύψους 100 εκατ. ευρώ.</w:t>
      </w:r>
    </w:p>
    <w:p w:rsidR="00FC7254" w:rsidRPr="00C71FFE" w:rsidRDefault="00FC7254" w:rsidP="00FC7254">
      <w:pPr>
        <w:jc w:val="both"/>
        <w:rPr>
          <w:b/>
          <w:sz w:val="22"/>
          <w:szCs w:val="22"/>
        </w:rPr>
      </w:pPr>
    </w:p>
    <w:p w:rsidR="00FC7254" w:rsidRPr="00FD0526" w:rsidRDefault="00FC7254" w:rsidP="00FC7254">
      <w:pPr>
        <w:jc w:val="both"/>
        <w:rPr>
          <w:rFonts w:ascii="Arial Narrow" w:hAnsi="Arial Narrow"/>
          <w:b/>
          <w:i/>
          <w:sz w:val="22"/>
          <w:szCs w:val="22"/>
        </w:rPr>
      </w:pPr>
      <w:r w:rsidRPr="00FD0526">
        <w:rPr>
          <w:rFonts w:ascii="Arial Narrow" w:hAnsi="Arial Narrow"/>
          <w:b/>
          <w:i/>
          <w:sz w:val="22"/>
          <w:szCs w:val="22"/>
        </w:rPr>
        <w:t xml:space="preserve">Μη τακτικά έσοδα </w:t>
      </w:r>
    </w:p>
    <w:p w:rsidR="00FC7254" w:rsidRPr="00FD0526" w:rsidRDefault="00FC7254" w:rsidP="00FC7254">
      <w:pPr>
        <w:jc w:val="both"/>
        <w:rPr>
          <w:sz w:val="22"/>
          <w:szCs w:val="22"/>
        </w:rPr>
      </w:pPr>
    </w:p>
    <w:p w:rsidR="00FC7254" w:rsidRDefault="00FC7254" w:rsidP="00FC7254">
      <w:pPr>
        <w:jc w:val="both"/>
        <w:rPr>
          <w:sz w:val="22"/>
          <w:szCs w:val="22"/>
        </w:rPr>
      </w:pPr>
      <w:r w:rsidRPr="00FD0526">
        <w:rPr>
          <w:sz w:val="22"/>
          <w:szCs w:val="22"/>
        </w:rPr>
        <w:t xml:space="preserve">Τα έσοδα των καταργηθέντων ειδικών λογαριασμών </w:t>
      </w:r>
      <w:r w:rsidR="005978FE">
        <w:rPr>
          <w:sz w:val="22"/>
          <w:szCs w:val="22"/>
        </w:rPr>
        <w:t>προβλέπ</w:t>
      </w:r>
      <w:r w:rsidR="00CB2EC2">
        <w:rPr>
          <w:sz w:val="22"/>
          <w:szCs w:val="22"/>
        </w:rPr>
        <w:t>ε</w:t>
      </w:r>
      <w:r w:rsidR="005978FE">
        <w:rPr>
          <w:sz w:val="22"/>
          <w:szCs w:val="22"/>
        </w:rPr>
        <w:t>ται</w:t>
      </w:r>
      <w:r w:rsidRPr="00FD0526">
        <w:rPr>
          <w:sz w:val="22"/>
          <w:szCs w:val="22"/>
        </w:rPr>
        <w:t xml:space="preserve"> να διαμορφωθούν σε </w:t>
      </w:r>
      <w:r>
        <w:rPr>
          <w:sz w:val="22"/>
          <w:szCs w:val="22"/>
        </w:rPr>
        <w:t>304</w:t>
      </w:r>
      <w:r w:rsidRPr="00FD0526">
        <w:rPr>
          <w:sz w:val="22"/>
          <w:szCs w:val="22"/>
        </w:rPr>
        <w:t xml:space="preserve"> εκατ. ε</w:t>
      </w:r>
      <w:r w:rsidRPr="00FD0526">
        <w:rPr>
          <w:sz w:val="22"/>
          <w:szCs w:val="22"/>
        </w:rPr>
        <w:t>υ</w:t>
      </w:r>
      <w:r w:rsidRPr="00FD0526">
        <w:rPr>
          <w:sz w:val="22"/>
          <w:szCs w:val="22"/>
        </w:rPr>
        <w:t xml:space="preserve">ρώ, </w:t>
      </w:r>
      <w:r>
        <w:rPr>
          <w:sz w:val="22"/>
          <w:szCs w:val="22"/>
        </w:rPr>
        <w:t>αυξημένα κατά 7</w:t>
      </w:r>
      <w:r w:rsidRPr="00FD0526">
        <w:rPr>
          <w:sz w:val="22"/>
          <w:szCs w:val="22"/>
        </w:rPr>
        <w:t xml:space="preserve"> εκατ. ευρώ έναντι του </w:t>
      </w:r>
      <w:r>
        <w:rPr>
          <w:sz w:val="22"/>
          <w:szCs w:val="22"/>
        </w:rPr>
        <w:t>2017 και κατά 21 εκατ. ευρώ έναντι του στόχου του ΜΠΔΣ 2018-2021.</w:t>
      </w:r>
    </w:p>
    <w:p w:rsidR="00FC7254" w:rsidRPr="00FD0526" w:rsidRDefault="00FC7254" w:rsidP="00FC7254">
      <w:pPr>
        <w:jc w:val="both"/>
        <w:rPr>
          <w:sz w:val="22"/>
          <w:szCs w:val="22"/>
        </w:rPr>
      </w:pPr>
    </w:p>
    <w:p w:rsidR="00FC7254" w:rsidRPr="00FD0526" w:rsidRDefault="00FC7254" w:rsidP="00FC7254">
      <w:pPr>
        <w:jc w:val="both"/>
        <w:rPr>
          <w:rFonts w:ascii="Arial Narrow" w:hAnsi="Arial Narrow"/>
          <w:b/>
          <w:i/>
          <w:sz w:val="22"/>
          <w:szCs w:val="22"/>
        </w:rPr>
      </w:pPr>
      <w:r w:rsidRPr="00FD0526">
        <w:rPr>
          <w:rFonts w:ascii="Arial Narrow" w:hAnsi="Arial Narrow"/>
          <w:b/>
          <w:i/>
          <w:sz w:val="22"/>
          <w:szCs w:val="22"/>
        </w:rPr>
        <w:t>Μεταφορά απoδόσεων από τη διακράτηση ομολόγων του Ελληνικού Δημοσίου στα χαρτοφυλάκια Κ</w:t>
      </w:r>
      <w:r w:rsidRPr="00FD0526">
        <w:rPr>
          <w:rFonts w:ascii="Arial Narrow" w:hAnsi="Arial Narrow"/>
          <w:b/>
          <w:i/>
          <w:sz w:val="22"/>
          <w:szCs w:val="22"/>
        </w:rPr>
        <w:t>ε</w:t>
      </w:r>
      <w:r w:rsidRPr="00FD0526">
        <w:rPr>
          <w:rFonts w:ascii="Arial Narrow" w:hAnsi="Arial Narrow"/>
          <w:b/>
          <w:i/>
          <w:sz w:val="22"/>
          <w:szCs w:val="22"/>
        </w:rPr>
        <w:t>ντρικών Τραπεζών του Ευρωσυστήματος (</w:t>
      </w:r>
      <w:r w:rsidRPr="00FD0526">
        <w:rPr>
          <w:rFonts w:ascii="Arial Narrow" w:hAnsi="Arial Narrow"/>
          <w:b/>
          <w:i/>
          <w:sz w:val="22"/>
          <w:szCs w:val="22"/>
          <w:lang w:val="en-US"/>
        </w:rPr>
        <w:t>ANFA</w:t>
      </w:r>
      <w:r w:rsidRPr="00FD0526">
        <w:rPr>
          <w:rFonts w:ascii="Arial Narrow" w:hAnsi="Arial Narrow"/>
          <w:b/>
          <w:i/>
          <w:sz w:val="22"/>
          <w:szCs w:val="22"/>
        </w:rPr>
        <w:t>)</w:t>
      </w:r>
    </w:p>
    <w:p w:rsidR="00FC7254" w:rsidRPr="00FD0526" w:rsidRDefault="00FC7254" w:rsidP="00FC7254">
      <w:pPr>
        <w:jc w:val="both"/>
        <w:rPr>
          <w:sz w:val="22"/>
          <w:szCs w:val="22"/>
        </w:rPr>
      </w:pPr>
    </w:p>
    <w:p w:rsidR="00FC7254" w:rsidRPr="00FD0526" w:rsidRDefault="00FC7254" w:rsidP="00FC7254">
      <w:pPr>
        <w:jc w:val="both"/>
        <w:rPr>
          <w:sz w:val="22"/>
          <w:szCs w:val="22"/>
        </w:rPr>
      </w:pPr>
      <w:r w:rsidRPr="00FD0526">
        <w:rPr>
          <w:sz w:val="22"/>
          <w:szCs w:val="22"/>
        </w:rPr>
        <w:t>Από τη μεταφορά αποδόσεων από τη διακράτηση ομολόγων του Ελληνικού Δημοσίου στα χαρτοφ</w:t>
      </w:r>
      <w:r w:rsidRPr="00FD0526">
        <w:rPr>
          <w:sz w:val="22"/>
          <w:szCs w:val="22"/>
        </w:rPr>
        <w:t>υ</w:t>
      </w:r>
      <w:r w:rsidRPr="00FD0526">
        <w:rPr>
          <w:sz w:val="22"/>
          <w:szCs w:val="22"/>
        </w:rPr>
        <w:t>λάκια των Κεντρικών Τραπεζών του Ευρωσυστήματος (ANFAs), καθώς και από το Πρόγραμμα Αγ</w:t>
      </w:r>
      <w:r w:rsidRPr="00FD0526">
        <w:rPr>
          <w:sz w:val="22"/>
          <w:szCs w:val="22"/>
        </w:rPr>
        <w:t>ο</w:t>
      </w:r>
      <w:r w:rsidRPr="00FD0526">
        <w:rPr>
          <w:sz w:val="22"/>
          <w:szCs w:val="22"/>
        </w:rPr>
        <w:t xml:space="preserve">ράς Ομολόγων (SMPs), της Ευρωπαϊκής Κεντρικής Τράπεζας (ΕΚΤ), αναμένεται να εισπραχθούν </w:t>
      </w:r>
      <w:r>
        <w:rPr>
          <w:sz w:val="22"/>
          <w:szCs w:val="22"/>
        </w:rPr>
        <w:t>314</w:t>
      </w:r>
      <w:r w:rsidRPr="00FD0526">
        <w:rPr>
          <w:sz w:val="22"/>
          <w:szCs w:val="22"/>
        </w:rPr>
        <w:t xml:space="preserve"> εκατ. ευρώ.</w:t>
      </w:r>
    </w:p>
    <w:p w:rsidR="00FC7254" w:rsidRDefault="00FC7254" w:rsidP="00FC7254">
      <w:pPr>
        <w:jc w:val="both"/>
        <w:rPr>
          <w:sz w:val="22"/>
          <w:szCs w:val="22"/>
        </w:rPr>
      </w:pPr>
    </w:p>
    <w:p w:rsidR="00FC7254" w:rsidRPr="00FD0526" w:rsidRDefault="00FC7254" w:rsidP="00FC7254">
      <w:pPr>
        <w:jc w:val="both"/>
        <w:rPr>
          <w:rFonts w:ascii="Arial Narrow" w:hAnsi="Arial Narrow"/>
          <w:b/>
          <w:i/>
          <w:sz w:val="22"/>
          <w:szCs w:val="22"/>
        </w:rPr>
      </w:pPr>
      <w:r w:rsidRPr="00FD0526">
        <w:rPr>
          <w:rFonts w:ascii="Arial Narrow" w:hAnsi="Arial Narrow"/>
          <w:b/>
          <w:i/>
          <w:sz w:val="22"/>
          <w:szCs w:val="22"/>
        </w:rPr>
        <w:t>Επιστροφές αχρεωστήτως εισπραχθέντων εσόδων</w:t>
      </w:r>
    </w:p>
    <w:p w:rsidR="00FC7254" w:rsidRPr="00FD0526" w:rsidRDefault="00FC7254" w:rsidP="00FC7254">
      <w:pPr>
        <w:jc w:val="both"/>
        <w:rPr>
          <w:sz w:val="22"/>
          <w:szCs w:val="22"/>
        </w:rPr>
      </w:pPr>
    </w:p>
    <w:p w:rsidR="00FC7254" w:rsidRPr="00F17B45" w:rsidRDefault="00FC7254" w:rsidP="00FC7254">
      <w:pPr>
        <w:jc w:val="both"/>
        <w:rPr>
          <w:sz w:val="22"/>
          <w:szCs w:val="22"/>
        </w:rPr>
      </w:pPr>
      <w:r w:rsidRPr="00FD0526">
        <w:rPr>
          <w:sz w:val="22"/>
          <w:szCs w:val="22"/>
        </w:rPr>
        <w:t>Οι επιστροφές αχρεωστήτως εισπραχθέντων εσόδων προβλέπεται να διαμορφωθούν στα 3.</w:t>
      </w:r>
      <w:r>
        <w:rPr>
          <w:sz w:val="22"/>
          <w:szCs w:val="22"/>
        </w:rPr>
        <w:t>648 εκατ. ευρώ, αυξημένες κατά 265 εκατ. ευρώ έναντι του στόχου του ΜΠΔΣ 2018-2021</w:t>
      </w:r>
      <w:r w:rsidRPr="00F17B45">
        <w:rPr>
          <w:sz w:val="22"/>
          <w:szCs w:val="22"/>
        </w:rPr>
        <w:t>.</w:t>
      </w:r>
    </w:p>
    <w:p w:rsidR="00FC7254" w:rsidRPr="00FD0526" w:rsidRDefault="00FC7254" w:rsidP="00FC7254">
      <w:pPr>
        <w:jc w:val="both"/>
        <w:rPr>
          <w:sz w:val="22"/>
          <w:szCs w:val="22"/>
        </w:rPr>
      </w:pPr>
    </w:p>
    <w:p w:rsidR="00FC7254" w:rsidRPr="00FD0526" w:rsidRDefault="00FC7254" w:rsidP="00FC7254">
      <w:pPr>
        <w:jc w:val="both"/>
        <w:rPr>
          <w:rFonts w:ascii="Arial Narrow" w:hAnsi="Arial Narrow"/>
          <w:b/>
          <w:i/>
          <w:sz w:val="22"/>
          <w:szCs w:val="22"/>
        </w:rPr>
      </w:pPr>
      <w:r w:rsidRPr="00FD0526">
        <w:rPr>
          <w:rFonts w:ascii="Arial Narrow" w:hAnsi="Arial Narrow"/>
          <w:b/>
          <w:i/>
          <w:sz w:val="22"/>
          <w:szCs w:val="22"/>
        </w:rPr>
        <w:t>Έσοδα Προγράμματος Δημοσίων Επενδύσεων</w:t>
      </w:r>
    </w:p>
    <w:p w:rsidR="00FC7254" w:rsidRPr="00FD0526" w:rsidRDefault="00FC7254" w:rsidP="00FC7254">
      <w:pPr>
        <w:jc w:val="both"/>
        <w:rPr>
          <w:bCs/>
          <w:sz w:val="22"/>
          <w:szCs w:val="22"/>
        </w:rPr>
      </w:pPr>
    </w:p>
    <w:p w:rsidR="00FC7254" w:rsidRPr="00FD0526" w:rsidRDefault="00FC7254" w:rsidP="00FC7254">
      <w:pPr>
        <w:jc w:val="both"/>
        <w:rPr>
          <w:bCs/>
          <w:sz w:val="22"/>
          <w:szCs w:val="22"/>
        </w:rPr>
      </w:pPr>
      <w:r>
        <w:rPr>
          <w:bCs/>
          <w:sz w:val="22"/>
          <w:szCs w:val="22"/>
        </w:rPr>
        <w:t>Τα έσοδα του ΠΔΕ για το έτος 2018</w:t>
      </w:r>
      <w:r w:rsidRPr="00FD0526">
        <w:rPr>
          <w:bCs/>
          <w:sz w:val="22"/>
          <w:szCs w:val="22"/>
        </w:rPr>
        <w:t xml:space="preserve"> προβλέπεται να διαμορφωθούν στα </w:t>
      </w:r>
      <w:r>
        <w:rPr>
          <w:bCs/>
          <w:sz w:val="22"/>
          <w:szCs w:val="22"/>
        </w:rPr>
        <w:t>3.735</w:t>
      </w:r>
      <w:r w:rsidRPr="00FD0526">
        <w:rPr>
          <w:bCs/>
          <w:sz w:val="22"/>
          <w:szCs w:val="22"/>
        </w:rPr>
        <w:t xml:space="preserve"> εκατ. ευρώ σε ταμει</w:t>
      </w:r>
      <w:r w:rsidRPr="00FD0526">
        <w:rPr>
          <w:bCs/>
          <w:sz w:val="22"/>
          <w:szCs w:val="22"/>
        </w:rPr>
        <w:t>α</w:t>
      </w:r>
      <w:r w:rsidRPr="00FD0526">
        <w:rPr>
          <w:bCs/>
          <w:sz w:val="22"/>
          <w:szCs w:val="22"/>
        </w:rPr>
        <w:t>κή βάση, και στα 3</w:t>
      </w:r>
      <w:r>
        <w:rPr>
          <w:bCs/>
          <w:sz w:val="22"/>
          <w:szCs w:val="22"/>
        </w:rPr>
        <w:t xml:space="preserve">.764 </w:t>
      </w:r>
      <w:r w:rsidRPr="00FD0526">
        <w:rPr>
          <w:bCs/>
          <w:sz w:val="22"/>
          <w:szCs w:val="22"/>
        </w:rPr>
        <w:t>εκατ. ευρώ σε δεδο</w:t>
      </w:r>
      <w:r>
        <w:rPr>
          <w:bCs/>
          <w:sz w:val="22"/>
          <w:szCs w:val="22"/>
        </w:rPr>
        <w:t>υλευμένη βάση, χωρίς να παρουσιάζουν απόκλιση από το στόχο του ΜΠΔΣ 2018-2021.</w:t>
      </w:r>
    </w:p>
    <w:p w:rsidR="00FD0526" w:rsidRPr="00301426" w:rsidRDefault="00FD0526" w:rsidP="00FD0526">
      <w:pPr>
        <w:jc w:val="both"/>
        <w:rPr>
          <w:sz w:val="22"/>
          <w:szCs w:val="22"/>
        </w:rPr>
      </w:pPr>
    </w:p>
    <w:p w:rsidR="005D0BB1" w:rsidRPr="00EA4082" w:rsidRDefault="005D0BB1" w:rsidP="005D0BB1">
      <w:pPr>
        <w:rPr>
          <w:rFonts w:ascii="Arial Narrow" w:hAnsi="Arial Narrow"/>
          <w:b/>
          <w:color w:val="000080"/>
          <w:szCs w:val="22"/>
        </w:rPr>
      </w:pPr>
      <w:r w:rsidRPr="00EA4082">
        <w:rPr>
          <w:rFonts w:ascii="Arial Narrow" w:hAnsi="Arial Narrow"/>
          <w:b/>
          <w:color w:val="000080"/>
          <w:szCs w:val="22"/>
        </w:rPr>
        <w:t>Δαπάνες</w:t>
      </w:r>
    </w:p>
    <w:p w:rsidR="008B5DDB" w:rsidRDefault="008B5DDB" w:rsidP="008B5DDB">
      <w:pPr>
        <w:jc w:val="both"/>
        <w:rPr>
          <w:bCs/>
          <w:sz w:val="22"/>
          <w:szCs w:val="22"/>
        </w:rPr>
      </w:pPr>
    </w:p>
    <w:p w:rsidR="00912F91" w:rsidRDefault="00912F91" w:rsidP="00912F91">
      <w:pPr>
        <w:jc w:val="both"/>
        <w:rPr>
          <w:bCs/>
          <w:sz w:val="22"/>
        </w:rPr>
      </w:pPr>
      <w:r w:rsidRPr="00912F91">
        <w:rPr>
          <w:bCs/>
          <w:sz w:val="22"/>
        </w:rPr>
        <w:t>Οι συνολικές δαπάνες του Τακτικού Προϋπολογισμού (σε ταμειακή βάση) για το έτος 2018 προβλ</w:t>
      </w:r>
      <w:r w:rsidRPr="00912F91">
        <w:rPr>
          <w:bCs/>
          <w:sz w:val="22"/>
        </w:rPr>
        <w:t>έ</w:t>
      </w:r>
      <w:r w:rsidRPr="00912F91">
        <w:rPr>
          <w:bCs/>
          <w:sz w:val="22"/>
        </w:rPr>
        <w:t xml:space="preserve">πεται να διαμορφωθούν στα 48.438 εκατ. ευρώ, μειωμένες κατά </w:t>
      </w:r>
      <w:r w:rsidR="00574127">
        <w:rPr>
          <w:bCs/>
          <w:sz w:val="22"/>
        </w:rPr>
        <w:t xml:space="preserve">916 εκατ. ευρώ σε σχέση </w:t>
      </w:r>
      <w:r w:rsidRPr="00912F91">
        <w:rPr>
          <w:bCs/>
          <w:sz w:val="22"/>
        </w:rPr>
        <w:t>το στόχο του ΜΠΔΣ 2018-2021, κυρίως λόγω της μείωσης της δαπάνης τόκων, της επανεκτίμησης της επιχ</w:t>
      </w:r>
      <w:r w:rsidRPr="00912F91">
        <w:rPr>
          <w:bCs/>
          <w:sz w:val="22"/>
        </w:rPr>
        <w:t>ο</w:t>
      </w:r>
      <w:r w:rsidRPr="00912F91">
        <w:rPr>
          <w:bCs/>
          <w:sz w:val="22"/>
        </w:rPr>
        <w:t>ρήγησης στον ΕΦΚΑ για την πληρωμή των συντάξεων του Δημοσίου, της μείωσης του ελλείμματος του ΕΛΕΓΕΠ, της επανεκτίμησης των αποδιδόμενων πόρων στους Οργανισμούς Τοπικής Αυτοδιο</w:t>
      </w:r>
      <w:r w:rsidRPr="00912F91">
        <w:rPr>
          <w:bCs/>
          <w:sz w:val="22"/>
        </w:rPr>
        <w:t>ί</w:t>
      </w:r>
      <w:r w:rsidRPr="00912F91">
        <w:rPr>
          <w:bCs/>
          <w:sz w:val="22"/>
        </w:rPr>
        <w:lastRenderedPageBreak/>
        <w:t xml:space="preserve">κησης, καθώς και της </w:t>
      </w:r>
      <w:r w:rsidR="005D782A">
        <w:rPr>
          <w:bCs/>
          <w:sz w:val="22"/>
        </w:rPr>
        <w:t>επανεκτίμησης</w:t>
      </w:r>
      <w:r w:rsidRPr="00912F91">
        <w:rPr>
          <w:bCs/>
          <w:sz w:val="22"/>
        </w:rPr>
        <w:t xml:space="preserve"> των δαπανών για καταπτώσεις εγγυήσεων σε φορείς εκτός Γεν</w:t>
      </w:r>
      <w:r w:rsidRPr="00912F91">
        <w:rPr>
          <w:bCs/>
          <w:sz w:val="22"/>
        </w:rPr>
        <w:t>ι</w:t>
      </w:r>
      <w:r w:rsidRPr="00912F91">
        <w:rPr>
          <w:bCs/>
          <w:sz w:val="22"/>
        </w:rPr>
        <w:t xml:space="preserve">κής Κυβέρνησης. </w:t>
      </w:r>
    </w:p>
    <w:p w:rsidR="00CE2712" w:rsidRPr="00912F91" w:rsidRDefault="00CE2712" w:rsidP="00912F91">
      <w:pPr>
        <w:jc w:val="both"/>
        <w:rPr>
          <w:bCs/>
          <w:sz w:val="22"/>
        </w:rPr>
      </w:pPr>
    </w:p>
    <w:p w:rsidR="00912F91" w:rsidRPr="00912F91" w:rsidRDefault="00912F91" w:rsidP="00912F91">
      <w:pPr>
        <w:jc w:val="both"/>
        <w:rPr>
          <w:bCs/>
          <w:sz w:val="22"/>
        </w:rPr>
      </w:pPr>
      <w:r w:rsidRPr="00912F91">
        <w:rPr>
          <w:bCs/>
          <w:sz w:val="22"/>
        </w:rPr>
        <w:t>Οι πρωτογενείς δαπάνες του Τακτικού Προϋπολογισμού προβλέπεται ότι θα διαμορφωθούν στα 43.238 εκατ. ευρώ, μειωμένες κατά 216 εκατ. ευρώ έναντι του στόχου του ΜΠΔΣ 2018-2021.</w:t>
      </w:r>
    </w:p>
    <w:p w:rsidR="00D44302" w:rsidRPr="00301426" w:rsidRDefault="00D44302" w:rsidP="008B5DDB">
      <w:pPr>
        <w:jc w:val="both"/>
        <w:rPr>
          <w:sz w:val="22"/>
          <w:szCs w:val="22"/>
        </w:rPr>
      </w:pPr>
    </w:p>
    <w:p w:rsidR="00B0472D" w:rsidRPr="00EA4082" w:rsidRDefault="00B0472D" w:rsidP="00B0472D">
      <w:pPr>
        <w:jc w:val="both"/>
        <w:rPr>
          <w:rFonts w:ascii="Arial Narrow" w:hAnsi="Arial Narrow"/>
          <w:b/>
          <w:i/>
          <w:color w:val="000080"/>
          <w:sz w:val="22"/>
        </w:rPr>
      </w:pPr>
      <w:r w:rsidRPr="00EA4082">
        <w:rPr>
          <w:rFonts w:ascii="Arial Narrow" w:hAnsi="Arial Narrow"/>
          <w:b/>
          <w:i/>
          <w:color w:val="000080"/>
          <w:sz w:val="22"/>
        </w:rPr>
        <w:t>Ανάλυση δαπανών κατά μείζονα κατηγορία</w:t>
      </w:r>
    </w:p>
    <w:p w:rsidR="00B0472D" w:rsidRPr="00EA4082" w:rsidRDefault="00B0472D" w:rsidP="00B0472D">
      <w:pPr>
        <w:jc w:val="both"/>
        <w:rPr>
          <w:color w:val="000080"/>
          <w:sz w:val="22"/>
        </w:rPr>
      </w:pPr>
    </w:p>
    <w:p w:rsidR="001C5C74" w:rsidRPr="001C5C74" w:rsidRDefault="001C5C74" w:rsidP="001C5C74">
      <w:pPr>
        <w:jc w:val="both"/>
        <w:rPr>
          <w:rFonts w:ascii="Arial Narrow" w:hAnsi="Arial Narrow"/>
          <w:b/>
          <w:bCs/>
          <w:sz w:val="22"/>
        </w:rPr>
      </w:pPr>
      <w:r w:rsidRPr="001C5C74">
        <w:rPr>
          <w:rFonts w:ascii="Arial Narrow" w:hAnsi="Arial Narrow"/>
          <w:b/>
          <w:bCs/>
          <w:sz w:val="22"/>
        </w:rPr>
        <w:t>Αποδοχές και συντάξεις</w:t>
      </w:r>
    </w:p>
    <w:p w:rsidR="001C5C74" w:rsidRPr="001C5C74" w:rsidRDefault="001C5C74" w:rsidP="001C5C74">
      <w:pPr>
        <w:tabs>
          <w:tab w:val="left" w:pos="180"/>
        </w:tabs>
        <w:jc w:val="both"/>
        <w:rPr>
          <w:sz w:val="22"/>
        </w:rPr>
      </w:pPr>
    </w:p>
    <w:p w:rsidR="001C5C74" w:rsidRPr="001C5C74" w:rsidRDefault="001C5C74" w:rsidP="001C5C74">
      <w:pPr>
        <w:tabs>
          <w:tab w:val="left" w:pos="180"/>
        </w:tabs>
        <w:jc w:val="both"/>
        <w:rPr>
          <w:bCs/>
          <w:color w:val="0000FF"/>
          <w:sz w:val="22"/>
        </w:rPr>
      </w:pPr>
      <w:r w:rsidRPr="001C5C74">
        <w:rPr>
          <w:bCs/>
          <w:sz w:val="22"/>
        </w:rPr>
        <w:t>Οι δαπάνες αποδοχών και συντάξεων προβλέπεται να ανέλθουν στα 12.298 εκατ. ευρώ, αυξημένες κατά 371 εκατ. ευρώ σε σχέση με το 2017, κυρίως λόγω των αυξημένων εργοδοτικών εισφορών του κράτους ως εργοδότη υπέρ του ΕΦΚΑ για τους υπαλλήλους που υπάγονταν στο συνταξιοδοτικό κ</w:t>
      </w:r>
      <w:r w:rsidRPr="001C5C74">
        <w:rPr>
          <w:bCs/>
          <w:sz w:val="22"/>
        </w:rPr>
        <w:t>α</w:t>
      </w:r>
      <w:r w:rsidR="00A977B0">
        <w:rPr>
          <w:bCs/>
          <w:sz w:val="22"/>
        </w:rPr>
        <w:t>θεστώς του Δημοσίου έως 31/12/</w:t>
      </w:r>
      <w:r w:rsidRPr="001C5C74">
        <w:rPr>
          <w:bCs/>
          <w:sz w:val="22"/>
        </w:rPr>
        <w:t>2016 (από 3,33% το 2017 σε 6,67% το 2018), της αναμόρφωσης των ειδικών μισθολογίων, καθώς και της συνεχιζόμενης από το 2017 μείωσης του αριθμού των αποχωρ</w:t>
      </w:r>
      <w:r w:rsidRPr="001C5C74">
        <w:rPr>
          <w:bCs/>
          <w:sz w:val="22"/>
        </w:rPr>
        <w:t>ή</w:t>
      </w:r>
      <w:r w:rsidRPr="001C5C74">
        <w:rPr>
          <w:bCs/>
          <w:sz w:val="22"/>
        </w:rPr>
        <w:t>σεων λόγω συνταξιοδότησης.</w:t>
      </w:r>
    </w:p>
    <w:p w:rsidR="001C5C74" w:rsidRPr="001C5C74" w:rsidRDefault="001C5C74" w:rsidP="001C5C74">
      <w:pPr>
        <w:tabs>
          <w:tab w:val="left" w:pos="180"/>
        </w:tabs>
        <w:jc w:val="both"/>
        <w:rPr>
          <w:bCs/>
          <w:sz w:val="22"/>
        </w:rPr>
      </w:pPr>
    </w:p>
    <w:p w:rsidR="001C5C74" w:rsidRPr="001C5C74" w:rsidRDefault="001C5C74" w:rsidP="001C5C74">
      <w:pPr>
        <w:jc w:val="both"/>
        <w:rPr>
          <w:rFonts w:ascii="Arial Narrow" w:hAnsi="Arial Narrow"/>
          <w:b/>
          <w:bCs/>
          <w:sz w:val="22"/>
        </w:rPr>
      </w:pPr>
      <w:r w:rsidRPr="001C5C74">
        <w:rPr>
          <w:rFonts w:ascii="Arial Narrow" w:hAnsi="Arial Narrow"/>
          <w:b/>
          <w:bCs/>
          <w:sz w:val="22"/>
        </w:rPr>
        <w:t>Πρόσθετες και παρεπόμενες παροχές</w:t>
      </w:r>
    </w:p>
    <w:p w:rsidR="001C5C74" w:rsidRPr="001C5C74" w:rsidRDefault="001C5C74" w:rsidP="001C5C74">
      <w:pPr>
        <w:tabs>
          <w:tab w:val="left" w:pos="180"/>
        </w:tabs>
        <w:spacing w:line="235" w:lineRule="auto"/>
        <w:jc w:val="both"/>
        <w:rPr>
          <w:sz w:val="22"/>
        </w:rPr>
      </w:pPr>
    </w:p>
    <w:p w:rsidR="001C5C74" w:rsidRPr="001C5C74" w:rsidRDefault="001C5C74" w:rsidP="001C5C74">
      <w:pPr>
        <w:tabs>
          <w:tab w:val="left" w:pos="180"/>
        </w:tabs>
        <w:spacing w:line="235" w:lineRule="auto"/>
        <w:jc w:val="both"/>
        <w:rPr>
          <w:bCs/>
          <w:sz w:val="22"/>
        </w:rPr>
      </w:pPr>
      <w:r w:rsidRPr="001C5C74">
        <w:rPr>
          <w:bCs/>
          <w:sz w:val="22"/>
        </w:rPr>
        <w:t>Οι δαπάνες της κατηγορίας αυτής προβλέπεται να ανέλθουν στα 417 εκατ. ευρώ, έναντι 348 εκατ. ε</w:t>
      </w:r>
      <w:r w:rsidRPr="001C5C74">
        <w:rPr>
          <w:bCs/>
          <w:sz w:val="22"/>
        </w:rPr>
        <w:t>υ</w:t>
      </w:r>
      <w:r w:rsidRPr="001C5C74">
        <w:rPr>
          <w:bCs/>
          <w:sz w:val="22"/>
        </w:rPr>
        <w:t>ρώ για το έτος 2017. Η εν λόγω αύξηση οφείλεται κυρίως στη</w:t>
      </w:r>
      <w:r w:rsidR="00A977B0">
        <w:rPr>
          <w:bCs/>
          <w:sz w:val="22"/>
        </w:rPr>
        <w:t xml:space="preserve"> μεταφορά της δαπάνης </w:t>
      </w:r>
      <w:r w:rsidR="0037504E">
        <w:rPr>
          <w:bCs/>
          <w:sz w:val="22"/>
        </w:rPr>
        <w:t xml:space="preserve">της </w:t>
      </w:r>
      <w:r w:rsidRPr="001C5C74">
        <w:rPr>
          <w:bCs/>
          <w:sz w:val="22"/>
        </w:rPr>
        <w:t>ειδική</w:t>
      </w:r>
      <w:r w:rsidR="0037504E">
        <w:rPr>
          <w:bCs/>
          <w:sz w:val="22"/>
        </w:rPr>
        <w:t>ς</w:t>
      </w:r>
      <w:r w:rsidRPr="001C5C74">
        <w:rPr>
          <w:bCs/>
          <w:sz w:val="22"/>
        </w:rPr>
        <w:t xml:space="preserve"> απ</w:t>
      </w:r>
      <w:r w:rsidRPr="001C5C74">
        <w:rPr>
          <w:bCs/>
          <w:sz w:val="22"/>
        </w:rPr>
        <w:t>ο</w:t>
      </w:r>
      <w:r w:rsidRPr="001C5C74">
        <w:rPr>
          <w:bCs/>
          <w:sz w:val="22"/>
        </w:rPr>
        <w:t>ζημίωση</w:t>
      </w:r>
      <w:r w:rsidR="0037504E">
        <w:rPr>
          <w:bCs/>
          <w:sz w:val="22"/>
        </w:rPr>
        <w:t>ς</w:t>
      </w:r>
      <w:r w:rsidRPr="001C5C74">
        <w:rPr>
          <w:bCs/>
          <w:sz w:val="22"/>
        </w:rPr>
        <w:t xml:space="preserve"> </w:t>
      </w:r>
      <w:r w:rsidR="0037504E">
        <w:rPr>
          <w:bCs/>
          <w:sz w:val="22"/>
        </w:rPr>
        <w:t xml:space="preserve">για </w:t>
      </w:r>
      <w:r w:rsidRPr="001C5C74">
        <w:rPr>
          <w:bCs/>
          <w:sz w:val="22"/>
        </w:rPr>
        <w:t xml:space="preserve">νυχτερινή απασχόληση στα στελέχη των </w:t>
      </w:r>
      <w:r w:rsidR="00A977B0">
        <w:rPr>
          <w:bCs/>
          <w:sz w:val="22"/>
        </w:rPr>
        <w:t>Σωμάτων Ασφαλείας από τη μείζονα κατηγ</w:t>
      </w:r>
      <w:r w:rsidR="00A977B0">
        <w:rPr>
          <w:bCs/>
          <w:sz w:val="22"/>
        </w:rPr>
        <w:t>ο</w:t>
      </w:r>
      <w:r w:rsidR="00A977B0">
        <w:rPr>
          <w:bCs/>
          <w:sz w:val="22"/>
        </w:rPr>
        <w:t>ρία των αποδοχών και συντάξεων</w:t>
      </w:r>
      <w:r w:rsidR="001E3AFF">
        <w:rPr>
          <w:bCs/>
          <w:sz w:val="22"/>
        </w:rPr>
        <w:t xml:space="preserve"> στην κατηγορία πρόσθετες και παρεπόμενες παροχές, σύμφωνα με νομοθετικές παρεμβάσεις που</w:t>
      </w:r>
      <w:r w:rsidR="00A977B0">
        <w:rPr>
          <w:bCs/>
          <w:sz w:val="22"/>
        </w:rPr>
        <w:t xml:space="preserve"> </w:t>
      </w:r>
      <w:r w:rsidR="001E3AFF">
        <w:rPr>
          <w:bCs/>
          <w:sz w:val="22"/>
        </w:rPr>
        <w:t>περιελήφθησαν στα ειδικά μισθολόγια.</w:t>
      </w:r>
    </w:p>
    <w:p w:rsidR="001C5C74" w:rsidRPr="001C5C74" w:rsidRDefault="001C5C74" w:rsidP="001C5C74">
      <w:pPr>
        <w:tabs>
          <w:tab w:val="left" w:pos="180"/>
        </w:tabs>
        <w:spacing w:line="235" w:lineRule="auto"/>
        <w:jc w:val="both"/>
        <w:rPr>
          <w:sz w:val="22"/>
        </w:rPr>
      </w:pPr>
    </w:p>
    <w:p w:rsidR="001C5C74" w:rsidRPr="001C5C74" w:rsidRDefault="001C5C74" w:rsidP="001C5C74">
      <w:pPr>
        <w:jc w:val="both"/>
        <w:rPr>
          <w:rFonts w:ascii="Arial Narrow" w:hAnsi="Arial Narrow"/>
          <w:b/>
          <w:bCs/>
          <w:sz w:val="22"/>
        </w:rPr>
      </w:pPr>
      <w:r w:rsidRPr="001C5C74">
        <w:rPr>
          <w:rFonts w:ascii="Arial Narrow" w:hAnsi="Arial Narrow"/>
          <w:b/>
          <w:bCs/>
          <w:sz w:val="22"/>
        </w:rPr>
        <w:t>Καταναλωτικές και σύνθετες δαπάνες (πλην αποθεματικού)</w:t>
      </w:r>
    </w:p>
    <w:p w:rsidR="001C5C74" w:rsidRPr="001C5C74" w:rsidRDefault="001C5C74" w:rsidP="001C5C74">
      <w:pPr>
        <w:tabs>
          <w:tab w:val="left" w:pos="180"/>
        </w:tabs>
        <w:spacing w:line="235" w:lineRule="auto"/>
        <w:jc w:val="both"/>
        <w:rPr>
          <w:b/>
          <w:sz w:val="22"/>
        </w:rPr>
      </w:pPr>
    </w:p>
    <w:p w:rsidR="001C5C74" w:rsidRDefault="001C5C74" w:rsidP="001C5C74">
      <w:pPr>
        <w:tabs>
          <w:tab w:val="left" w:pos="180"/>
        </w:tabs>
        <w:spacing w:line="235" w:lineRule="auto"/>
        <w:jc w:val="both"/>
        <w:rPr>
          <w:bCs/>
          <w:sz w:val="22"/>
        </w:rPr>
      </w:pPr>
      <w:r w:rsidRPr="001C5C74">
        <w:rPr>
          <w:bCs/>
          <w:sz w:val="22"/>
        </w:rPr>
        <w:t>Οι δαπάνες αυτές προβλέπεται να διαμορφωθούν στα 1.951 εκατ. ευρώ, καλύπτοντας κυρίως:</w:t>
      </w:r>
    </w:p>
    <w:p w:rsidR="00A977B0" w:rsidRPr="001C5C74" w:rsidRDefault="00A977B0" w:rsidP="001C5C74">
      <w:pPr>
        <w:tabs>
          <w:tab w:val="left" w:pos="180"/>
        </w:tabs>
        <w:spacing w:line="235" w:lineRule="auto"/>
        <w:jc w:val="both"/>
        <w:rPr>
          <w:bCs/>
          <w:sz w:val="22"/>
        </w:rPr>
      </w:pPr>
    </w:p>
    <w:p w:rsidR="001C5C74" w:rsidRPr="001C5C74" w:rsidRDefault="001C5C74" w:rsidP="001C5C74">
      <w:pPr>
        <w:numPr>
          <w:ilvl w:val="0"/>
          <w:numId w:val="9"/>
        </w:numPr>
        <w:tabs>
          <w:tab w:val="clear" w:pos="348"/>
        </w:tabs>
        <w:jc w:val="both"/>
        <w:rPr>
          <w:bCs/>
          <w:sz w:val="22"/>
        </w:rPr>
      </w:pPr>
      <w:r w:rsidRPr="001C5C74">
        <w:rPr>
          <w:bCs/>
          <w:sz w:val="22"/>
        </w:rPr>
        <w:t xml:space="preserve">τις καταναλωτικού χαρακτήρα δαπάνες λειτουργίας των φορέων </w:t>
      </w:r>
      <w:r w:rsidR="00A977B0">
        <w:rPr>
          <w:bCs/>
          <w:sz w:val="22"/>
        </w:rPr>
        <w:t>της κεντρικής διοίκησης</w:t>
      </w:r>
      <w:r w:rsidRPr="001C5C74">
        <w:rPr>
          <w:bCs/>
          <w:sz w:val="22"/>
        </w:rPr>
        <w:t>,</w:t>
      </w:r>
    </w:p>
    <w:p w:rsidR="001C5C74" w:rsidRPr="001C5C74" w:rsidRDefault="001C5C74" w:rsidP="001C5C74">
      <w:pPr>
        <w:numPr>
          <w:ilvl w:val="0"/>
          <w:numId w:val="9"/>
        </w:numPr>
        <w:tabs>
          <w:tab w:val="clear" w:pos="348"/>
        </w:tabs>
        <w:ind w:left="346" w:hanging="346"/>
        <w:jc w:val="both"/>
        <w:rPr>
          <w:bCs/>
          <w:sz w:val="22"/>
        </w:rPr>
      </w:pPr>
      <w:r w:rsidRPr="001C5C74">
        <w:rPr>
          <w:bCs/>
          <w:sz w:val="22"/>
        </w:rPr>
        <w:t xml:space="preserve">τις δαπάνες για προμήθεια αγαθών και υπηρεσιών και </w:t>
      </w:r>
    </w:p>
    <w:p w:rsidR="001C5C74" w:rsidRPr="001C5C74" w:rsidRDefault="001C5C74" w:rsidP="001C5C74">
      <w:pPr>
        <w:numPr>
          <w:ilvl w:val="0"/>
          <w:numId w:val="9"/>
        </w:numPr>
        <w:tabs>
          <w:tab w:val="clear" w:pos="348"/>
        </w:tabs>
        <w:ind w:left="346" w:hanging="346"/>
        <w:jc w:val="both"/>
        <w:rPr>
          <w:bCs/>
          <w:sz w:val="22"/>
        </w:rPr>
      </w:pPr>
      <w:r w:rsidRPr="001C5C74">
        <w:rPr>
          <w:bCs/>
          <w:sz w:val="22"/>
        </w:rPr>
        <w:t>τις δαπάνες μετακίνησης του προσωπικού για εκτέλεση υπηρεσίας.</w:t>
      </w:r>
    </w:p>
    <w:p w:rsidR="00A977B0" w:rsidRDefault="00A977B0" w:rsidP="001C5C74">
      <w:pPr>
        <w:tabs>
          <w:tab w:val="left" w:pos="180"/>
        </w:tabs>
        <w:spacing w:line="235" w:lineRule="auto"/>
        <w:jc w:val="both"/>
        <w:rPr>
          <w:bCs/>
          <w:sz w:val="22"/>
        </w:rPr>
      </w:pPr>
    </w:p>
    <w:p w:rsidR="001C5C74" w:rsidRPr="001C5C74" w:rsidRDefault="001C5C74" w:rsidP="001C5C74">
      <w:pPr>
        <w:tabs>
          <w:tab w:val="left" w:pos="180"/>
        </w:tabs>
        <w:spacing w:line="235" w:lineRule="auto"/>
        <w:jc w:val="both"/>
        <w:rPr>
          <w:bCs/>
          <w:sz w:val="22"/>
        </w:rPr>
      </w:pPr>
      <w:r w:rsidRPr="001C5C74">
        <w:rPr>
          <w:bCs/>
          <w:sz w:val="22"/>
        </w:rPr>
        <w:t xml:space="preserve">Στην κατηγορία αυτή περιλαμβάνονται και δράσεις συνολικού ύψους </w:t>
      </w:r>
      <w:r w:rsidRPr="001C5C74">
        <w:rPr>
          <w:bCs/>
          <w:sz w:val="22"/>
          <w:szCs w:val="22"/>
        </w:rPr>
        <w:t xml:space="preserve">260 εκατ. ευρώ περίπου </w:t>
      </w:r>
      <w:r w:rsidRPr="001C5C74">
        <w:rPr>
          <w:bCs/>
          <w:sz w:val="22"/>
        </w:rPr>
        <w:t xml:space="preserve">για την ενίσχυση της κοινωνικής συνοχής </w:t>
      </w:r>
      <w:r w:rsidRPr="001C5C74">
        <w:rPr>
          <w:bCs/>
          <w:sz w:val="22"/>
          <w:szCs w:val="22"/>
        </w:rPr>
        <w:t>που χρηματοδοτούνται από την επισκόπηση</w:t>
      </w:r>
      <w:r w:rsidR="00CE2712">
        <w:rPr>
          <w:bCs/>
          <w:sz w:val="22"/>
          <w:szCs w:val="22"/>
        </w:rPr>
        <w:t xml:space="preserve"> των</w:t>
      </w:r>
      <w:r w:rsidRPr="001C5C74">
        <w:rPr>
          <w:bCs/>
          <w:sz w:val="22"/>
          <w:szCs w:val="22"/>
        </w:rPr>
        <w:t xml:space="preserve"> πρωτογενών λε</w:t>
      </w:r>
      <w:r w:rsidRPr="001C5C74">
        <w:rPr>
          <w:bCs/>
          <w:sz w:val="22"/>
          <w:szCs w:val="22"/>
        </w:rPr>
        <w:t>ι</w:t>
      </w:r>
      <w:r w:rsidRPr="001C5C74">
        <w:rPr>
          <w:bCs/>
          <w:sz w:val="22"/>
          <w:szCs w:val="22"/>
        </w:rPr>
        <w:t xml:space="preserve">τουργικών δαπανών </w:t>
      </w:r>
      <w:r w:rsidR="00CE2712">
        <w:rPr>
          <w:bCs/>
          <w:sz w:val="22"/>
          <w:szCs w:val="22"/>
        </w:rPr>
        <w:t xml:space="preserve">των φορέων </w:t>
      </w:r>
      <w:r w:rsidRPr="001C5C74">
        <w:rPr>
          <w:bCs/>
          <w:sz w:val="22"/>
          <w:szCs w:val="22"/>
        </w:rPr>
        <w:t>της Γενικής Κυβέρνησης.</w:t>
      </w:r>
    </w:p>
    <w:p w:rsidR="001C5C74" w:rsidRPr="001C5C74" w:rsidRDefault="001C5C74" w:rsidP="001C5C74">
      <w:pPr>
        <w:tabs>
          <w:tab w:val="left" w:pos="180"/>
        </w:tabs>
        <w:spacing w:line="235" w:lineRule="auto"/>
        <w:jc w:val="both"/>
        <w:rPr>
          <w:b/>
          <w:bCs/>
          <w:sz w:val="22"/>
        </w:rPr>
      </w:pPr>
    </w:p>
    <w:p w:rsidR="001C5C74" w:rsidRPr="001C5C74" w:rsidRDefault="001C5C74" w:rsidP="001C5C74">
      <w:pPr>
        <w:rPr>
          <w:rFonts w:ascii="Arial Narrow" w:hAnsi="Arial Narrow"/>
          <w:b/>
          <w:bCs/>
          <w:sz w:val="22"/>
        </w:rPr>
      </w:pPr>
      <w:r w:rsidRPr="001C5C74">
        <w:rPr>
          <w:rFonts w:ascii="Arial Narrow" w:hAnsi="Arial Narrow"/>
          <w:b/>
          <w:bCs/>
          <w:sz w:val="22"/>
        </w:rPr>
        <w:t xml:space="preserve">Αποθεματικό </w:t>
      </w:r>
    </w:p>
    <w:p w:rsidR="001C5C74" w:rsidRPr="001C5C74" w:rsidRDefault="001C5C74" w:rsidP="001C5C74">
      <w:pPr>
        <w:tabs>
          <w:tab w:val="left" w:pos="180"/>
        </w:tabs>
        <w:spacing w:line="235" w:lineRule="auto"/>
        <w:jc w:val="both"/>
        <w:rPr>
          <w:b/>
          <w:sz w:val="22"/>
        </w:rPr>
      </w:pPr>
    </w:p>
    <w:p w:rsidR="001C5C74" w:rsidRPr="001C5C74" w:rsidRDefault="001C5C74" w:rsidP="001C5C74">
      <w:pPr>
        <w:tabs>
          <w:tab w:val="left" w:pos="180"/>
        </w:tabs>
        <w:spacing w:line="235" w:lineRule="auto"/>
        <w:jc w:val="both"/>
        <w:rPr>
          <w:bCs/>
          <w:sz w:val="22"/>
        </w:rPr>
      </w:pPr>
      <w:r w:rsidRPr="001C5C74">
        <w:rPr>
          <w:bCs/>
          <w:sz w:val="22"/>
        </w:rPr>
        <w:t>Για την αντιμετώπιση απρόβλεπτων και έκτακτου χαρακτήρα δαπανών έχουν προβλεφθεί πιστώσεις ύψους 1.000 εκατ. ευρώ, όπως είχε προβλεφθεί αρχικά και στον προϋπολογισμό του 2017.</w:t>
      </w:r>
    </w:p>
    <w:p w:rsidR="0096602F" w:rsidRDefault="0096602F" w:rsidP="0096602F">
      <w:pPr>
        <w:rPr>
          <w:sz w:val="20"/>
          <w:szCs w:val="22"/>
        </w:rPr>
      </w:pPr>
    </w:p>
    <w:p w:rsidR="001C5C74" w:rsidRPr="001C5C74" w:rsidRDefault="001C5C74" w:rsidP="001C5C74">
      <w:pPr>
        <w:rPr>
          <w:rFonts w:ascii="Arial Narrow" w:hAnsi="Arial Narrow"/>
          <w:b/>
          <w:bCs/>
          <w:sz w:val="22"/>
        </w:rPr>
      </w:pPr>
      <w:r w:rsidRPr="001C5C74">
        <w:rPr>
          <w:rFonts w:ascii="Arial Narrow" w:hAnsi="Arial Narrow"/>
          <w:b/>
          <w:bCs/>
          <w:sz w:val="22"/>
        </w:rPr>
        <w:t>Μεταβιβαστικές πληρωμές</w:t>
      </w:r>
    </w:p>
    <w:p w:rsidR="001C5C74" w:rsidRPr="001C5C74" w:rsidRDefault="001C5C74" w:rsidP="001C5C74">
      <w:pPr>
        <w:tabs>
          <w:tab w:val="left" w:pos="180"/>
        </w:tabs>
        <w:spacing w:line="235" w:lineRule="auto"/>
        <w:jc w:val="both"/>
        <w:rPr>
          <w:sz w:val="22"/>
        </w:rPr>
      </w:pPr>
    </w:p>
    <w:p w:rsidR="001C5C74" w:rsidRPr="001C5C74" w:rsidRDefault="001C5C74" w:rsidP="001C5C74">
      <w:pPr>
        <w:jc w:val="both"/>
        <w:outlineLvl w:val="3"/>
        <w:rPr>
          <w:bCs/>
          <w:sz w:val="22"/>
        </w:rPr>
      </w:pPr>
      <w:r w:rsidRPr="001C5C74">
        <w:rPr>
          <w:bCs/>
          <w:sz w:val="22"/>
        </w:rPr>
        <w:t>Οι δαπάνες της κατηγορίας αυτής προβλέπεται να διαμορφωθούν στα 20.272 εκατ. ευρώ και θα κ</w:t>
      </w:r>
      <w:r w:rsidRPr="001C5C74">
        <w:rPr>
          <w:bCs/>
          <w:sz w:val="22"/>
        </w:rPr>
        <w:t>α</w:t>
      </w:r>
      <w:r w:rsidRPr="001C5C74">
        <w:rPr>
          <w:bCs/>
          <w:sz w:val="22"/>
        </w:rPr>
        <w:t>λύψουν κυρίως ανάγκες επιχορήγησης της κοινωνικής ασφάλισης, των νοσηλευτικών ιδρυμάτων και των δαπανών για την κοινωνική προστασία (επιδόματα πολυτέκνων, επίδομα θέρμανσης, επιχορήγ</w:t>
      </w:r>
      <w:r w:rsidRPr="001C5C74">
        <w:rPr>
          <w:bCs/>
          <w:sz w:val="22"/>
        </w:rPr>
        <w:t>η</w:t>
      </w:r>
      <w:r w:rsidRPr="001C5C74">
        <w:rPr>
          <w:bCs/>
          <w:sz w:val="22"/>
        </w:rPr>
        <w:t xml:space="preserve">ση στο ΑΚΑΓΕ, καθώς και άλλες δαπάνες κοινωνικού χαρακτήρα). </w:t>
      </w:r>
    </w:p>
    <w:p w:rsidR="001C5C74" w:rsidRPr="001C5C74" w:rsidRDefault="001C5C74" w:rsidP="001C5C74">
      <w:pPr>
        <w:jc w:val="both"/>
        <w:outlineLvl w:val="3"/>
        <w:rPr>
          <w:bCs/>
          <w:sz w:val="22"/>
        </w:rPr>
      </w:pPr>
    </w:p>
    <w:p w:rsidR="001C5C74" w:rsidRPr="001C5C74" w:rsidRDefault="001C5C74" w:rsidP="001C5C74">
      <w:pPr>
        <w:jc w:val="both"/>
        <w:outlineLvl w:val="3"/>
        <w:rPr>
          <w:bCs/>
          <w:sz w:val="22"/>
        </w:rPr>
      </w:pPr>
      <w:r w:rsidRPr="001C5C74">
        <w:rPr>
          <w:bCs/>
          <w:sz w:val="22"/>
        </w:rPr>
        <w:t>Στις παραπάνω δαπάνες περιλαμβάνονται και δράσεις για:</w:t>
      </w:r>
    </w:p>
    <w:p w:rsidR="001C5C74" w:rsidRPr="001C5C74" w:rsidRDefault="001C5C74" w:rsidP="001C5C74">
      <w:pPr>
        <w:numPr>
          <w:ilvl w:val="0"/>
          <w:numId w:val="9"/>
        </w:numPr>
        <w:jc w:val="both"/>
        <w:outlineLvl w:val="3"/>
        <w:rPr>
          <w:bCs/>
          <w:sz w:val="22"/>
        </w:rPr>
      </w:pPr>
      <w:r w:rsidRPr="001C5C74">
        <w:rPr>
          <w:bCs/>
          <w:sz w:val="22"/>
        </w:rPr>
        <w:t>την πλήρη εφαρμογή του Κοινωνικού Εισοδήματος Αλληλεγγύης (ύψους 760 εκατ. ευρώ),</w:t>
      </w:r>
    </w:p>
    <w:p w:rsidR="001C5C74" w:rsidRPr="001C5C74" w:rsidRDefault="001C5C74" w:rsidP="001C5C74">
      <w:pPr>
        <w:numPr>
          <w:ilvl w:val="0"/>
          <w:numId w:val="9"/>
        </w:numPr>
        <w:jc w:val="both"/>
        <w:rPr>
          <w:bCs/>
          <w:sz w:val="22"/>
        </w:rPr>
      </w:pPr>
      <w:r w:rsidRPr="001C5C74">
        <w:rPr>
          <w:bCs/>
          <w:sz w:val="22"/>
        </w:rPr>
        <w:t xml:space="preserve">την επιχορήγηση του ΕΦΚΑ για την πληρωμή των συντάξεων του Δημοσίου και </w:t>
      </w:r>
    </w:p>
    <w:p w:rsidR="001C5C74" w:rsidRPr="001C5C74" w:rsidRDefault="001C5C74" w:rsidP="001C5C74">
      <w:pPr>
        <w:numPr>
          <w:ilvl w:val="0"/>
          <w:numId w:val="9"/>
        </w:numPr>
        <w:jc w:val="both"/>
        <w:rPr>
          <w:bCs/>
          <w:sz w:val="22"/>
        </w:rPr>
      </w:pPr>
      <w:r w:rsidRPr="001C5C74">
        <w:rPr>
          <w:bCs/>
          <w:sz w:val="22"/>
        </w:rPr>
        <w:t>τη συνεισφορά του Δημοσίου για την προστασία της κύριας κατοικίας των υπερχρεωμένων νο</w:t>
      </w:r>
      <w:r w:rsidRPr="001C5C74">
        <w:rPr>
          <w:bCs/>
          <w:sz w:val="22"/>
        </w:rPr>
        <w:t>ι</w:t>
      </w:r>
      <w:r w:rsidRPr="001C5C74">
        <w:rPr>
          <w:bCs/>
          <w:sz w:val="22"/>
        </w:rPr>
        <w:t xml:space="preserve">κοκυριών (ύψους 50 εκατ. ευρώ). </w:t>
      </w:r>
    </w:p>
    <w:p w:rsidR="001C5C74" w:rsidRDefault="001C5C74" w:rsidP="001C5C74">
      <w:pPr>
        <w:tabs>
          <w:tab w:val="left" w:pos="180"/>
        </w:tabs>
        <w:spacing w:line="235" w:lineRule="auto"/>
        <w:jc w:val="both"/>
        <w:rPr>
          <w:bCs/>
          <w:sz w:val="22"/>
        </w:rPr>
      </w:pPr>
    </w:p>
    <w:p w:rsidR="00D16A56" w:rsidRDefault="00D16A56" w:rsidP="001C5C74">
      <w:pPr>
        <w:tabs>
          <w:tab w:val="left" w:pos="180"/>
        </w:tabs>
        <w:spacing w:line="235" w:lineRule="auto"/>
        <w:jc w:val="both"/>
        <w:rPr>
          <w:bCs/>
          <w:sz w:val="22"/>
        </w:rPr>
      </w:pPr>
    </w:p>
    <w:p w:rsidR="001C5C74" w:rsidRPr="001C5C74" w:rsidRDefault="001C5C74" w:rsidP="001C5C74">
      <w:pPr>
        <w:rPr>
          <w:rFonts w:ascii="Arial Narrow" w:hAnsi="Arial Narrow"/>
          <w:b/>
          <w:bCs/>
          <w:sz w:val="22"/>
        </w:rPr>
      </w:pPr>
      <w:r w:rsidRPr="001C5C74">
        <w:rPr>
          <w:rFonts w:ascii="Arial Narrow" w:hAnsi="Arial Narrow"/>
          <w:b/>
          <w:bCs/>
          <w:sz w:val="22"/>
        </w:rPr>
        <w:t xml:space="preserve">Πληρωμές που αντικρίζονται από πραγματοποιούμενα έσοδα </w:t>
      </w:r>
    </w:p>
    <w:p w:rsidR="001C5C74" w:rsidRPr="001C5C74" w:rsidRDefault="001C5C74" w:rsidP="001C5C74">
      <w:pPr>
        <w:tabs>
          <w:tab w:val="left" w:pos="180"/>
        </w:tabs>
        <w:spacing w:line="235" w:lineRule="auto"/>
        <w:jc w:val="both"/>
        <w:rPr>
          <w:bCs/>
          <w:sz w:val="22"/>
        </w:rPr>
      </w:pPr>
    </w:p>
    <w:p w:rsidR="001C5C74" w:rsidRPr="001C5C74" w:rsidRDefault="001C5C74" w:rsidP="001C5C74">
      <w:pPr>
        <w:tabs>
          <w:tab w:val="left" w:pos="180"/>
        </w:tabs>
        <w:spacing w:line="235" w:lineRule="auto"/>
        <w:jc w:val="both"/>
        <w:rPr>
          <w:bCs/>
          <w:sz w:val="22"/>
        </w:rPr>
      </w:pPr>
      <w:r w:rsidRPr="001C5C74">
        <w:rPr>
          <w:bCs/>
          <w:sz w:val="22"/>
        </w:rPr>
        <w:t>Οι πιστώσεις της κατηγορίας αυτής αφορούν αποδόσεις πόρων σε τρίτους κ.λπ. Στην κατηγορία αυτή περιλαμβάνονται κυρίως οι αποδόσεις πόρων στους ΟΤΑ και οι αποδόσεις στην ΕΕ. Οι δαπάνες αυτές προβλέπεται να διαμορφωθούν στα 5.138 εκατ. ευρώ παρουσιάζοντας αύξηση σε σχέση με το 2017 κατά 149 εκατ. ευρώ, η οποία οφείλεται κυρίως στις αυξημένες αποδόσεις προς τους ΟΤΑ.</w:t>
      </w:r>
    </w:p>
    <w:p w:rsidR="001C5C74" w:rsidRPr="001C5C74" w:rsidRDefault="001C5C74" w:rsidP="001C5C74">
      <w:pPr>
        <w:tabs>
          <w:tab w:val="left" w:pos="180"/>
        </w:tabs>
        <w:spacing w:line="235" w:lineRule="auto"/>
        <w:jc w:val="both"/>
        <w:rPr>
          <w:sz w:val="22"/>
        </w:rPr>
      </w:pPr>
    </w:p>
    <w:p w:rsidR="001C5C74" w:rsidRPr="001C5C74" w:rsidRDefault="001C5C74" w:rsidP="001C5C74">
      <w:pPr>
        <w:jc w:val="both"/>
        <w:rPr>
          <w:rFonts w:ascii="Arial Narrow" w:hAnsi="Arial Narrow"/>
          <w:b/>
          <w:bCs/>
          <w:sz w:val="22"/>
        </w:rPr>
      </w:pPr>
      <w:r w:rsidRPr="001C5C74">
        <w:rPr>
          <w:rFonts w:ascii="Arial Narrow" w:hAnsi="Arial Narrow"/>
          <w:b/>
          <w:bCs/>
          <w:sz w:val="22"/>
        </w:rPr>
        <w:t>Καταπτώσεις εγγυήσεων</w:t>
      </w:r>
    </w:p>
    <w:p w:rsidR="001C5C74" w:rsidRPr="001C5C74" w:rsidRDefault="001C5C74" w:rsidP="001C5C74">
      <w:pPr>
        <w:jc w:val="both"/>
        <w:outlineLvl w:val="3"/>
        <w:rPr>
          <w:sz w:val="22"/>
        </w:rPr>
      </w:pPr>
    </w:p>
    <w:p w:rsidR="001C5C74" w:rsidRPr="001C5C74" w:rsidRDefault="001C5C74" w:rsidP="001C5C74">
      <w:pPr>
        <w:jc w:val="both"/>
        <w:outlineLvl w:val="3"/>
        <w:rPr>
          <w:bCs/>
          <w:sz w:val="22"/>
        </w:rPr>
      </w:pPr>
      <w:r w:rsidRPr="001C5C74">
        <w:rPr>
          <w:bCs/>
          <w:sz w:val="22"/>
        </w:rPr>
        <w:t>Το συνολικό ύψος των δαπανών για καταπτώσεις εγγυήσεων προς φορείς εντός και εκτός Γενικής Κυβέρνησης, εκτιμάται ότι θα διαμορφωθεί στα 970 εκατ. ευρώ, έναντι 890 εκατ. ευρώ για το 2017. Η αύξηση αυτή θα προέλθει κυρίως από τις καταπτώσεις εγγυήσεων σε φορείς εντός της Γενικής Κ</w:t>
      </w:r>
      <w:r w:rsidRPr="001C5C74">
        <w:rPr>
          <w:bCs/>
          <w:sz w:val="22"/>
        </w:rPr>
        <w:t>υ</w:t>
      </w:r>
      <w:r w:rsidRPr="001C5C74">
        <w:rPr>
          <w:bCs/>
          <w:sz w:val="22"/>
        </w:rPr>
        <w:t>βέρνησης.</w:t>
      </w:r>
    </w:p>
    <w:p w:rsidR="001C5C74" w:rsidRPr="001C5C74" w:rsidRDefault="001C5C74" w:rsidP="001C5C74">
      <w:pPr>
        <w:tabs>
          <w:tab w:val="left" w:pos="180"/>
        </w:tabs>
        <w:spacing w:line="235" w:lineRule="auto"/>
        <w:jc w:val="both"/>
        <w:rPr>
          <w:sz w:val="22"/>
        </w:rPr>
      </w:pPr>
    </w:p>
    <w:p w:rsidR="001C5C74" w:rsidRPr="001C5C74" w:rsidRDefault="001C5C74" w:rsidP="001C5C74">
      <w:pPr>
        <w:jc w:val="both"/>
        <w:rPr>
          <w:rFonts w:ascii="Arial Narrow" w:hAnsi="Arial Narrow"/>
          <w:b/>
          <w:bCs/>
          <w:sz w:val="22"/>
        </w:rPr>
      </w:pPr>
      <w:r w:rsidRPr="001C5C74">
        <w:rPr>
          <w:rFonts w:ascii="Arial Narrow" w:hAnsi="Arial Narrow"/>
          <w:b/>
          <w:bCs/>
          <w:sz w:val="22"/>
        </w:rPr>
        <w:t>Δαπάνες προμηθειών τραπεζών, Ευρωπαϊκού Μηχανισμού Σταθερότητας και λοιπές δαπάνες δημόσιου χρέους</w:t>
      </w:r>
    </w:p>
    <w:p w:rsidR="001C5C74" w:rsidRPr="001C5C74" w:rsidRDefault="001C5C74" w:rsidP="001C5C74">
      <w:pPr>
        <w:tabs>
          <w:tab w:val="left" w:pos="180"/>
        </w:tabs>
        <w:spacing w:line="235" w:lineRule="auto"/>
        <w:jc w:val="both"/>
        <w:rPr>
          <w:bCs/>
          <w:sz w:val="22"/>
        </w:rPr>
      </w:pPr>
    </w:p>
    <w:p w:rsidR="001C5C74" w:rsidRPr="001C5C74" w:rsidRDefault="001C5C74" w:rsidP="001C5C74">
      <w:pPr>
        <w:tabs>
          <w:tab w:val="left" w:pos="180"/>
        </w:tabs>
        <w:spacing w:line="235" w:lineRule="auto"/>
        <w:jc w:val="both"/>
        <w:rPr>
          <w:bCs/>
          <w:sz w:val="22"/>
        </w:rPr>
      </w:pPr>
      <w:r w:rsidRPr="001C5C74">
        <w:rPr>
          <w:bCs/>
          <w:sz w:val="22"/>
        </w:rPr>
        <w:t xml:space="preserve">Οι δαπάνες αυτές προβλέπονται στα 65 εκατ. ευρώ, μειωμένες κατά 10 εκατ. ευρώ σε σχέση με το </w:t>
      </w:r>
      <w:r w:rsidRPr="001C5C74">
        <w:rPr>
          <w:bCs/>
          <w:sz w:val="22"/>
        </w:rPr>
        <w:t>έ</w:t>
      </w:r>
      <w:r w:rsidRPr="001C5C74">
        <w:rPr>
          <w:bCs/>
          <w:sz w:val="22"/>
        </w:rPr>
        <w:t>τος 2017.</w:t>
      </w:r>
    </w:p>
    <w:p w:rsidR="00F404A1" w:rsidRPr="001C5C74" w:rsidRDefault="00F404A1" w:rsidP="001C5C74">
      <w:pPr>
        <w:rPr>
          <w:rFonts w:ascii="Arial Narrow" w:hAnsi="Arial Narrow"/>
          <w:b/>
          <w:bCs/>
          <w:sz w:val="22"/>
        </w:rPr>
      </w:pPr>
    </w:p>
    <w:p w:rsidR="001C5C74" w:rsidRPr="001C5C74" w:rsidRDefault="001C5C74" w:rsidP="001C5C74">
      <w:pPr>
        <w:rPr>
          <w:rFonts w:ascii="Arial Narrow" w:hAnsi="Arial Narrow"/>
          <w:b/>
          <w:bCs/>
          <w:sz w:val="22"/>
        </w:rPr>
      </w:pPr>
      <w:r w:rsidRPr="001C5C74">
        <w:rPr>
          <w:rFonts w:ascii="Arial Narrow" w:hAnsi="Arial Narrow"/>
          <w:b/>
          <w:bCs/>
          <w:sz w:val="22"/>
        </w:rPr>
        <w:t>Δαπάνες για την υλοποίηση εξοπλιστικών προγραμμάτων Υπουργείου Εθνικής Άμυνας</w:t>
      </w:r>
    </w:p>
    <w:p w:rsidR="001C5C74" w:rsidRPr="001C5C74" w:rsidRDefault="001C5C74" w:rsidP="001C5C74">
      <w:pPr>
        <w:tabs>
          <w:tab w:val="left" w:pos="180"/>
        </w:tabs>
        <w:spacing w:line="235" w:lineRule="auto"/>
        <w:jc w:val="both"/>
        <w:rPr>
          <w:b/>
          <w:bCs/>
          <w:i/>
          <w:sz w:val="22"/>
        </w:rPr>
      </w:pPr>
    </w:p>
    <w:p w:rsidR="001C5C74" w:rsidRPr="001C5C74" w:rsidRDefault="001C5C74" w:rsidP="001C5C74">
      <w:pPr>
        <w:tabs>
          <w:tab w:val="left" w:pos="180"/>
        </w:tabs>
        <w:spacing w:line="235" w:lineRule="auto"/>
        <w:jc w:val="both"/>
        <w:rPr>
          <w:bCs/>
          <w:sz w:val="22"/>
        </w:rPr>
      </w:pPr>
      <w:r w:rsidRPr="001C5C74">
        <w:rPr>
          <w:bCs/>
          <w:sz w:val="22"/>
        </w:rPr>
        <w:t>Οι ταμειακές δαπάνες της κατηγορίας αυτής προβλέπεται να διαμορφωθούν στα 510 εκατ. ευρώ, α</w:t>
      </w:r>
      <w:r w:rsidRPr="001C5C74">
        <w:rPr>
          <w:bCs/>
          <w:sz w:val="22"/>
        </w:rPr>
        <w:t>υ</w:t>
      </w:r>
      <w:r w:rsidRPr="001C5C74">
        <w:rPr>
          <w:bCs/>
          <w:sz w:val="22"/>
        </w:rPr>
        <w:t>ξημένες κατά 36</w:t>
      </w:r>
      <w:r w:rsidR="00A977B0">
        <w:rPr>
          <w:bCs/>
          <w:sz w:val="22"/>
        </w:rPr>
        <w:t xml:space="preserve"> εκατ. ευρώ σε σχέση με το 2017, ενώ οι φυσικές παραλαβές </w:t>
      </w:r>
      <w:r w:rsidR="00B111C3">
        <w:rPr>
          <w:bCs/>
          <w:sz w:val="22"/>
        </w:rPr>
        <w:t>προβλέπ</w:t>
      </w:r>
      <w:r w:rsidR="00B26A4B">
        <w:rPr>
          <w:bCs/>
          <w:sz w:val="22"/>
        </w:rPr>
        <w:t>ε</w:t>
      </w:r>
      <w:r w:rsidR="00B111C3">
        <w:rPr>
          <w:bCs/>
          <w:sz w:val="22"/>
        </w:rPr>
        <w:t>ται να φθ</w:t>
      </w:r>
      <w:r w:rsidR="00B111C3">
        <w:rPr>
          <w:bCs/>
          <w:sz w:val="22"/>
        </w:rPr>
        <w:t>ά</w:t>
      </w:r>
      <w:r w:rsidR="00B111C3">
        <w:rPr>
          <w:bCs/>
          <w:sz w:val="22"/>
        </w:rPr>
        <w:t>σουν στα 306 εκατ. ευρώ.</w:t>
      </w:r>
    </w:p>
    <w:p w:rsidR="001C5C74" w:rsidRPr="001C5C74" w:rsidRDefault="001C5C74" w:rsidP="001C5C74">
      <w:pPr>
        <w:tabs>
          <w:tab w:val="left" w:pos="180"/>
        </w:tabs>
        <w:spacing w:line="235" w:lineRule="auto"/>
        <w:jc w:val="both"/>
        <w:rPr>
          <w:sz w:val="22"/>
        </w:rPr>
      </w:pPr>
    </w:p>
    <w:p w:rsidR="001C5C74" w:rsidRPr="001C5C74" w:rsidRDefault="001C5C74" w:rsidP="001C5C74">
      <w:pPr>
        <w:rPr>
          <w:rFonts w:ascii="Arial Narrow" w:hAnsi="Arial Narrow"/>
          <w:b/>
          <w:bCs/>
          <w:sz w:val="22"/>
        </w:rPr>
      </w:pPr>
      <w:r w:rsidRPr="001C5C74">
        <w:rPr>
          <w:rFonts w:ascii="Arial Narrow" w:hAnsi="Arial Narrow"/>
          <w:b/>
          <w:bCs/>
          <w:sz w:val="22"/>
        </w:rPr>
        <w:t>Δαπάνες τόκων</w:t>
      </w:r>
    </w:p>
    <w:p w:rsidR="001C5C74" w:rsidRPr="001C5C74" w:rsidRDefault="001C5C74" w:rsidP="001C5C74">
      <w:pPr>
        <w:tabs>
          <w:tab w:val="left" w:pos="180"/>
        </w:tabs>
        <w:spacing w:line="235" w:lineRule="auto"/>
        <w:jc w:val="both"/>
        <w:rPr>
          <w:b/>
          <w:bCs/>
          <w:i/>
          <w:sz w:val="22"/>
        </w:rPr>
      </w:pPr>
    </w:p>
    <w:p w:rsidR="001C5C74" w:rsidRPr="001C5C74" w:rsidRDefault="001C5C74" w:rsidP="001C5C74">
      <w:pPr>
        <w:tabs>
          <w:tab w:val="left" w:pos="180"/>
        </w:tabs>
        <w:spacing w:line="235" w:lineRule="auto"/>
        <w:jc w:val="both"/>
        <w:rPr>
          <w:bCs/>
          <w:sz w:val="22"/>
        </w:rPr>
      </w:pPr>
      <w:r w:rsidRPr="001C5C74">
        <w:rPr>
          <w:bCs/>
          <w:sz w:val="22"/>
        </w:rPr>
        <w:t xml:space="preserve">Οι δαπάνες για τόκους </w:t>
      </w:r>
      <w:r w:rsidR="00B26A4B">
        <w:rPr>
          <w:bCs/>
          <w:sz w:val="22"/>
        </w:rPr>
        <w:t>θα ανέλθουν</w:t>
      </w:r>
      <w:r w:rsidRPr="001C5C74">
        <w:rPr>
          <w:bCs/>
          <w:sz w:val="22"/>
        </w:rPr>
        <w:t xml:space="preserve"> στα 5.200 εκατ. ευρώ, έναντι των 6.000 εκατ. ευρώ της εκτίμησης του 2017.</w:t>
      </w:r>
    </w:p>
    <w:p w:rsidR="00B0472D" w:rsidRDefault="00B0472D" w:rsidP="00B0472D">
      <w:pPr>
        <w:tabs>
          <w:tab w:val="left" w:pos="180"/>
        </w:tabs>
        <w:spacing w:line="235" w:lineRule="auto"/>
        <w:jc w:val="both"/>
        <w:rPr>
          <w:sz w:val="20"/>
          <w:szCs w:val="22"/>
        </w:rPr>
      </w:pPr>
    </w:p>
    <w:p w:rsidR="00D16A56" w:rsidRPr="00F647CB" w:rsidRDefault="00D16A56" w:rsidP="00B0472D">
      <w:pPr>
        <w:tabs>
          <w:tab w:val="left" w:pos="180"/>
        </w:tabs>
        <w:spacing w:line="235" w:lineRule="auto"/>
        <w:jc w:val="both"/>
        <w:rPr>
          <w:sz w:val="20"/>
          <w:szCs w:val="22"/>
        </w:rPr>
      </w:pPr>
    </w:p>
    <w:p w:rsidR="005D0BB1" w:rsidRPr="00511F09" w:rsidRDefault="005D0BB1" w:rsidP="005D0BB1">
      <w:pPr>
        <w:jc w:val="both"/>
        <w:rPr>
          <w:rFonts w:ascii="Arial Narrow" w:hAnsi="Arial Narrow"/>
          <w:b/>
          <w:i/>
          <w:color w:val="000080"/>
          <w:sz w:val="22"/>
        </w:rPr>
      </w:pPr>
      <w:r w:rsidRPr="00511F09">
        <w:rPr>
          <w:rFonts w:ascii="Arial Narrow" w:hAnsi="Arial Narrow"/>
          <w:b/>
          <w:i/>
          <w:color w:val="000080"/>
          <w:sz w:val="22"/>
        </w:rPr>
        <w:t>Δαπάνες κατά Υπουργείο</w:t>
      </w:r>
    </w:p>
    <w:p w:rsidR="005D0BB1" w:rsidRPr="00F647CB" w:rsidRDefault="005D0BB1" w:rsidP="005D0BB1">
      <w:pPr>
        <w:tabs>
          <w:tab w:val="left" w:pos="180"/>
        </w:tabs>
        <w:spacing w:line="235" w:lineRule="auto"/>
        <w:jc w:val="both"/>
        <w:rPr>
          <w:sz w:val="20"/>
        </w:rPr>
      </w:pPr>
    </w:p>
    <w:p w:rsidR="00E6117F" w:rsidRDefault="00E6117F" w:rsidP="00E6117F">
      <w:pPr>
        <w:jc w:val="both"/>
        <w:rPr>
          <w:sz w:val="22"/>
        </w:rPr>
      </w:pPr>
      <w:r>
        <w:rPr>
          <w:sz w:val="22"/>
        </w:rPr>
        <w:t>Στον προϋπολογισμό κάθε Υπουργείου προβλέπονται πιστώσεις για να καλυφθούν δαπάνες αποδοχών των υπαλλήλων με οποιαδήποτε σχέση εργασίας, των δημόσιων λειτουργών, των στελεχών των Εν</w:t>
      </w:r>
      <w:r>
        <w:rPr>
          <w:sz w:val="22"/>
        </w:rPr>
        <w:t>ό</w:t>
      </w:r>
      <w:r>
        <w:rPr>
          <w:sz w:val="22"/>
        </w:rPr>
        <w:t>πλων Δυνάμεων και των Σωμάτων Ασφαλείας, των διπλωματών, των ιατρών του ΕΣΥ, των αρχιερέων κ.λπ., συμπεριλαμβανόμενων και των δαπανών βάσει των αλλαγών που επήλθαν με τις τελευταίες μ</w:t>
      </w:r>
      <w:r>
        <w:rPr>
          <w:sz w:val="22"/>
        </w:rPr>
        <w:t>ι</w:t>
      </w:r>
      <w:r>
        <w:rPr>
          <w:sz w:val="22"/>
        </w:rPr>
        <w:t>σθολογικές ρυθμίσεις.</w:t>
      </w:r>
    </w:p>
    <w:p w:rsidR="0096602F" w:rsidRPr="00A61B01" w:rsidRDefault="0096602F" w:rsidP="0096602F">
      <w:pPr>
        <w:jc w:val="both"/>
        <w:rPr>
          <w:sz w:val="22"/>
        </w:rPr>
      </w:pPr>
    </w:p>
    <w:p w:rsidR="0096602F" w:rsidRDefault="0096602F" w:rsidP="0096602F">
      <w:pPr>
        <w:jc w:val="both"/>
        <w:rPr>
          <w:sz w:val="22"/>
        </w:rPr>
      </w:pPr>
      <w:r>
        <w:rPr>
          <w:sz w:val="22"/>
        </w:rPr>
        <w:t>Ο προϋπολογισμός κάθε Υπουργείου καλύπτει και τις δαπάνες μετακίνησης των υπαλλήλων, τις λε</w:t>
      </w:r>
      <w:r>
        <w:rPr>
          <w:sz w:val="22"/>
        </w:rPr>
        <w:t>ι</w:t>
      </w:r>
      <w:r>
        <w:rPr>
          <w:sz w:val="22"/>
        </w:rPr>
        <w:t>τουργικές δαπάνες ενοικίων, φωτισμού, ύδρευσης, τηλεπικοινωνιών, τις ανάγκες για συντήρηση του πάσης φύσεως εξοπλισμού, τις προμήθειες αναλωσίμων και κεφαλαιουχικών αγαθών κ.λπ.</w:t>
      </w:r>
    </w:p>
    <w:p w:rsidR="0096602F" w:rsidRPr="00E23B8F" w:rsidRDefault="0096602F" w:rsidP="0096602F">
      <w:pPr>
        <w:jc w:val="both"/>
        <w:rPr>
          <w:sz w:val="22"/>
        </w:rPr>
      </w:pPr>
    </w:p>
    <w:p w:rsidR="0096602F" w:rsidRPr="00A61B01" w:rsidRDefault="0096602F" w:rsidP="0096602F">
      <w:pPr>
        <w:jc w:val="both"/>
        <w:rPr>
          <w:sz w:val="22"/>
        </w:rPr>
      </w:pPr>
      <w:r>
        <w:rPr>
          <w:sz w:val="22"/>
        </w:rPr>
        <w:t>Πέραν της κάλυψης των παραπάνω δαπανών, που αποτελεί αναγκαία προϋπόθεση για την ομαλή λε</w:t>
      </w:r>
      <w:r>
        <w:rPr>
          <w:sz w:val="22"/>
        </w:rPr>
        <w:t>ι</w:t>
      </w:r>
      <w:r>
        <w:rPr>
          <w:sz w:val="22"/>
        </w:rPr>
        <w:t xml:space="preserve">τουργία </w:t>
      </w:r>
      <w:r w:rsidR="00B26A4B">
        <w:rPr>
          <w:sz w:val="22"/>
        </w:rPr>
        <w:t>κάθε Υπουργείου</w:t>
      </w:r>
      <w:r>
        <w:rPr>
          <w:sz w:val="22"/>
        </w:rPr>
        <w:t>, προβλέπονται και πιστώσεις για ειδικές δράσεις οι οποίες αναπτύσσονται είτε από τα ίδια τα Υπουργεία, είτε από τους εποπτευόμενους φορείς τους οι οποίες κατά κύριο λόγο καλύπτονται με επιχορήγηση από τα αρμόδια Υπουργεία. Τέτοιες δραστηριότητες αναφέρονται, για κάθε Υπουργείο αναλυτικά, ως ακολούθως</w:t>
      </w:r>
      <w:r w:rsidRPr="00A61B01">
        <w:rPr>
          <w:sz w:val="22"/>
        </w:rPr>
        <w:t>:</w:t>
      </w:r>
    </w:p>
    <w:p w:rsidR="009566E0" w:rsidRDefault="009566E0">
      <w:pPr>
        <w:rPr>
          <w:sz w:val="22"/>
        </w:rPr>
      </w:pPr>
      <w:r>
        <w:rPr>
          <w:sz w:val="22"/>
        </w:rPr>
        <w:br w:type="page"/>
      </w:r>
    </w:p>
    <w:p w:rsidR="009566E0" w:rsidRDefault="009566E0">
      <w:pPr>
        <w:rPr>
          <w:sz w:val="22"/>
        </w:rPr>
      </w:pPr>
    </w:p>
    <w:p w:rsidR="008E1BB1" w:rsidRDefault="008E1BB1">
      <w:pPr>
        <w:rPr>
          <w:sz w:val="22"/>
        </w:rPr>
      </w:pPr>
    </w:p>
    <w:p w:rsidR="008E1BB1" w:rsidRDefault="008E1BB1">
      <w:pPr>
        <w:rPr>
          <w:sz w:val="22"/>
        </w:rPr>
      </w:pPr>
    </w:p>
    <w:tbl>
      <w:tblPr>
        <w:tblW w:w="9141" w:type="dxa"/>
        <w:tblInd w:w="10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63"/>
        <w:gridCol w:w="3773"/>
        <w:gridCol w:w="1375"/>
        <w:gridCol w:w="907"/>
        <w:gridCol w:w="953"/>
        <w:gridCol w:w="907"/>
        <w:gridCol w:w="963"/>
      </w:tblGrid>
      <w:tr w:rsidR="009566E0" w:rsidRPr="00363FAE" w:rsidTr="008E1BB1">
        <w:trPr>
          <w:trHeight w:val="170"/>
          <w:tblHeader/>
        </w:trPr>
        <w:tc>
          <w:tcPr>
            <w:tcW w:w="9139" w:type="dxa"/>
            <w:gridSpan w:val="7"/>
            <w:shd w:val="clear" w:color="auto" w:fill="404040" w:themeFill="text1" w:themeFillTint="BF"/>
            <w:vAlign w:val="center"/>
            <w:hideMark/>
          </w:tcPr>
          <w:p w:rsidR="009566E0" w:rsidRPr="00363FAE" w:rsidRDefault="003A6110" w:rsidP="009566E0">
            <w:pPr>
              <w:jc w:val="center"/>
              <w:rPr>
                <w:rFonts w:ascii="Arial Narrow" w:hAnsi="Arial Narrow"/>
                <w:b/>
                <w:color w:val="FFFFFF"/>
              </w:rPr>
            </w:pPr>
            <w:r>
              <w:rPr>
                <w:rFonts w:ascii="Arial Narrow" w:hAnsi="Arial Narrow"/>
                <w:b/>
                <w:color w:val="FFFFFF"/>
              </w:rPr>
              <w:t>Πίνακας 3.9</w:t>
            </w:r>
            <w:r w:rsidR="009566E0" w:rsidRPr="00363FAE">
              <w:rPr>
                <w:rFonts w:ascii="Arial Narrow" w:hAnsi="Arial Narrow"/>
                <w:b/>
                <w:color w:val="FFFFFF"/>
              </w:rPr>
              <w:t xml:space="preserve">  Ανώτατα όρια δαπανών φορέων Κρατικού Προϋπολογισμού σε ταμειακή και </w:t>
            </w:r>
          </w:p>
          <w:p w:rsidR="009566E0" w:rsidRPr="00363FAE" w:rsidRDefault="009566E0" w:rsidP="009566E0">
            <w:pPr>
              <w:jc w:val="center"/>
              <w:rPr>
                <w:rFonts w:ascii="Arial Narrow" w:hAnsi="Arial Narrow"/>
                <w:b/>
                <w:color w:val="FFFFFF"/>
              </w:rPr>
            </w:pPr>
            <w:r w:rsidRPr="00363FAE">
              <w:rPr>
                <w:rFonts w:ascii="Arial Narrow" w:hAnsi="Arial Narrow"/>
                <w:b/>
                <w:color w:val="FFFFFF"/>
              </w:rPr>
              <w:t>δεδουλευμένη βάση σύμφωνα με την μεθοδολογία του ESA για τα έτη 2016-2018</w:t>
            </w:r>
            <w:r w:rsidRPr="00363FAE">
              <w:rPr>
                <w:rFonts w:ascii="Arial Narrow" w:hAnsi="Arial Narrow"/>
                <w:b/>
                <w:color w:val="FFFFFF"/>
              </w:rPr>
              <w:br/>
              <w:t>(σε εκατ. ευρώ)</w:t>
            </w:r>
          </w:p>
        </w:tc>
      </w:tr>
      <w:tr w:rsidR="009566E0" w:rsidRPr="009566E0" w:rsidTr="008E1BB1">
        <w:trPr>
          <w:trHeight w:val="170"/>
          <w:tblHeader/>
        </w:trPr>
        <w:tc>
          <w:tcPr>
            <w:tcW w:w="9139" w:type="dxa"/>
            <w:gridSpan w:val="7"/>
            <w:tcBorders>
              <w:bottom w:val="single" w:sz="4" w:space="0" w:color="auto"/>
            </w:tcBorders>
            <w:shd w:val="clear" w:color="000000" w:fill="FFFFFF"/>
            <w:vAlign w:val="center"/>
            <w:hideMark/>
          </w:tcPr>
          <w:p w:rsidR="009566E0" w:rsidRPr="009566E0" w:rsidRDefault="009566E0" w:rsidP="009566E0">
            <w:pPr>
              <w:jc w:val="center"/>
              <w:rPr>
                <w:rFonts w:ascii="Arial Narrow" w:hAnsi="Arial Narrow"/>
                <w:b/>
                <w:bCs/>
                <w:i/>
                <w:iCs/>
                <w:sz w:val="16"/>
                <w:szCs w:val="16"/>
                <w:u w:val="single"/>
              </w:rPr>
            </w:pPr>
          </w:p>
        </w:tc>
      </w:tr>
      <w:tr w:rsidR="009566E0" w:rsidRPr="009566E0" w:rsidTr="008E1BB1">
        <w:trPr>
          <w:trHeight w:val="170"/>
          <w:tblHeader/>
        </w:trPr>
        <w:tc>
          <w:tcPr>
            <w:tcW w:w="4036" w:type="dxa"/>
            <w:gridSpan w:val="2"/>
            <w:vMerge w:val="restart"/>
            <w:tcBorders>
              <w:top w:val="single" w:sz="4" w:space="0" w:color="auto"/>
              <w:bottom w:val="single" w:sz="4" w:space="0" w:color="auto"/>
              <w:right w:val="single" w:sz="4" w:space="0" w:color="auto"/>
            </w:tcBorders>
            <w:shd w:val="clear" w:color="auto" w:fill="auto"/>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Φορείς</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2016</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2017</w:t>
            </w:r>
          </w:p>
        </w:tc>
        <w:tc>
          <w:tcPr>
            <w:tcW w:w="1869" w:type="dxa"/>
            <w:gridSpan w:val="2"/>
            <w:tcBorders>
              <w:top w:val="single" w:sz="4" w:space="0" w:color="auto"/>
              <w:left w:val="single" w:sz="4" w:space="0" w:color="auto"/>
              <w:bottom w:val="single" w:sz="4" w:space="0" w:color="auto"/>
            </w:tcBorders>
            <w:shd w:val="clear" w:color="auto" w:fill="auto"/>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2018</w:t>
            </w:r>
          </w:p>
        </w:tc>
      </w:tr>
      <w:tr w:rsidR="009566E0" w:rsidRPr="009566E0" w:rsidTr="008E1BB1">
        <w:trPr>
          <w:trHeight w:val="170"/>
          <w:tblHeader/>
        </w:trPr>
        <w:tc>
          <w:tcPr>
            <w:tcW w:w="4036" w:type="dxa"/>
            <w:gridSpan w:val="2"/>
            <w:vMerge/>
            <w:tcBorders>
              <w:top w:val="single" w:sz="4" w:space="0" w:color="auto"/>
              <w:bottom w:val="single" w:sz="4" w:space="0" w:color="auto"/>
              <w:right w:val="single" w:sz="4" w:space="0" w:color="auto"/>
            </w:tcBorders>
            <w:shd w:val="clear" w:color="auto" w:fill="auto"/>
            <w:vAlign w:val="center"/>
            <w:hideMark/>
          </w:tcPr>
          <w:p w:rsidR="009566E0" w:rsidRPr="009566E0" w:rsidRDefault="009566E0" w:rsidP="009566E0">
            <w:pPr>
              <w:jc w:val="center"/>
              <w:rPr>
                <w:rFonts w:ascii="Arial Narrow" w:hAnsi="Arial Narrow"/>
                <w:b/>
                <w:bCs/>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Πραγματοποιήσεις</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 xml:space="preserve">ΜΠΔΣ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Εκτιμήσεις</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 xml:space="preserve">ΜΠΔΣ </w:t>
            </w:r>
          </w:p>
        </w:tc>
        <w:tc>
          <w:tcPr>
            <w:tcW w:w="963" w:type="dxa"/>
            <w:tcBorders>
              <w:top w:val="single" w:sz="4" w:space="0" w:color="auto"/>
              <w:left w:val="single" w:sz="4" w:space="0" w:color="auto"/>
              <w:bottom w:val="single" w:sz="4" w:space="0" w:color="auto"/>
            </w:tcBorders>
            <w:shd w:val="clear" w:color="auto" w:fill="auto"/>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Προβλέψεις</w:t>
            </w:r>
          </w:p>
        </w:tc>
      </w:tr>
      <w:tr w:rsidR="009566E0" w:rsidRPr="009566E0" w:rsidTr="008E1BB1">
        <w:trPr>
          <w:trHeight w:val="170"/>
          <w:tblHeader/>
        </w:trPr>
        <w:tc>
          <w:tcPr>
            <w:tcW w:w="263" w:type="dxa"/>
            <w:tcBorders>
              <w:top w:val="single" w:sz="4" w:space="0" w:color="auto"/>
            </w:tcBorders>
            <w:shd w:val="clear" w:color="auto" w:fill="auto"/>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 </w:t>
            </w:r>
          </w:p>
        </w:tc>
        <w:tc>
          <w:tcPr>
            <w:tcW w:w="3773" w:type="dxa"/>
            <w:tcBorders>
              <w:top w:val="single" w:sz="4" w:space="0" w:color="auto"/>
            </w:tcBorders>
            <w:shd w:val="clear" w:color="auto" w:fill="auto"/>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 </w:t>
            </w:r>
          </w:p>
        </w:tc>
        <w:tc>
          <w:tcPr>
            <w:tcW w:w="1375" w:type="dxa"/>
            <w:tcBorders>
              <w:top w:val="single" w:sz="4" w:space="0" w:color="auto"/>
            </w:tcBorders>
            <w:shd w:val="clear" w:color="000000" w:fill="FFFFFF"/>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 </w:t>
            </w:r>
          </w:p>
        </w:tc>
        <w:tc>
          <w:tcPr>
            <w:tcW w:w="907" w:type="dxa"/>
            <w:tcBorders>
              <w:top w:val="single" w:sz="4" w:space="0" w:color="auto"/>
            </w:tcBorders>
            <w:shd w:val="clear" w:color="000000" w:fill="FFFFFF"/>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 </w:t>
            </w:r>
          </w:p>
        </w:tc>
        <w:tc>
          <w:tcPr>
            <w:tcW w:w="953" w:type="dxa"/>
            <w:tcBorders>
              <w:top w:val="single" w:sz="4" w:space="0" w:color="auto"/>
            </w:tcBorders>
            <w:shd w:val="clear" w:color="000000" w:fill="FFFFFF"/>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 </w:t>
            </w:r>
          </w:p>
        </w:tc>
        <w:tc>
          <w:tcPr>
            <w:tcW w:w="907" w:type="dxa"/>
            <w:tcBorders>
              <w:top w:val="single" w:sz="4" w:space="0" w:color="auto"/>
            </w:tcBorders>
            <w:shd w:val="clear" w:color="000000" w:fill="FFFFFF"/>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 </w:t>
            </w:r>
          </w:p>
        </w:tc>
        <w:tc>
          <w:tcPr>
            <w:tcW w:w="963" w:type="dxa"/>
            <w:tcBorders>
              <w:top w:val="single" w:sz="4" w:space="0" w:color="auto"/>
            </w:tcBorders>
            <w:shd w:val="clear" w:color="000000" w:fill="FFFFFF"/>
            <w:vAlign w:val="center"/>
            <w:hideMark/>
          </w:tcPr>
          <w:p w:rsidR="009566E0" w:rsidRPr="009566E0" w:rsidRDefault="009566E0" w:rsidP="009566E0">
            <w:pPr>
              <w:jc w:val="center"/>
              <w:rPr>
                <w:rFonts w:ascii="Arial Narrow" w:hAnsi="Arial Narrow"/>
                <w:b/>
                <w:bCs/>
                <w:sz w:val="16"/>
                <w:szCs w:val="16"/>
              </w:rPr>
            </w:pPr>
            <w:r w:rsidRPr="009566E0">
              <w:rPr>
                <w:rFonts w:ascii="Arial Narrow" w:hAnsi="Arial Narrow"/>
                <w:b/>
                <w:bCs/>
                <w:sz w:val="16"/>
                <w:szCs w:val="16"/>
              </w:rPr>
              <w:t> </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Προεδρία της Δημοκρατίας</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000000" w:fill="FFFFFF"/>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000000" w:fill="FFFFFF"/>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000000" w:fill="FFFFFF"/>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w:t>
            </w:r>
          </w:p>
        </w:tc>
        <w:tc>
          <w:tcPr>
            <w:tcW w:w="907" w:type="dxa"/>
            <w:shd w:val="clear" w:color="000000" w:fill="FFFFFF"/>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w:t>
            </w:r>
          </w:p>
        </w:tc>
        <w:tc>
          <w:tcPr>
            <w:tcW w:w="953" w:type="dxa"/>
            <w:shd w:val="clear" w:color="000000" w:fill="FFFFFF"/>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w:t>
            </w:r>
          </w:p>
        </w:tc>
        <w:tc>
          <w:tcPr>
            <w:tcW w:w="907" w:type="dxa"/>
            <w:shd w:val="clear" w:color="000000" w:fill="FFFFFF"/>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w:t>
            </w:r>
          </w:p>
        </w:tc>
        <w:tc>
          <w:tcPr>
            <w:tcW w:w="963" w:type="dxa"/>
            <w:shd w:val="clear" w:color="000000" w:fill="FFFFFF"/>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w:t>
            </w:r>
          </w:p>
        </w:tc>
      </w:tr>
      <w:tr w:rsidR="009566E0" w:rsidRPr="009566E0" w:rsidTr="008E1BB1">
        <w:trPr>
          <w:trHeight w:val="170"/>
        </w:trPr>
        <w:tc>
          <w:tcPr>
            <w:tcW w:w="263" w:type="dxa"/>
            <w:shd w:val="clear" w:color="000000" w:fill="FFFFFF"/>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000000" w:fill="FFFFFF"/>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000000" w:fill="FFFFFF"/>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07" w:type="dxa"/>
            <w:shd w:val="clear" w:color="000000" w:fill="FFFFFF"/>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53" w:type="dxa"/>
            <w:shd w:val="clear" w:color="000000" w:fill="FFFFFF"/>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07" w:type="dxa"/>
            <w:shd w:val="clear" w:color="000000" w:fill="FFFFFF"/>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63" w:type="dxa"/>
            <w:shd w:val="clear" w:color="000000" w:fill="FFFFFF"/>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r>
      <w:tr w:rsidR="009566E0" w:rsidRPr="009566E0" w:rsidTr="008E1BB1">
        <w:trPr>
          <w:trHeight w:val="170"/>
        </w:trPr>
        <w:tc>
          <w:tcPr>
            <w:tcW w:w="263" w:type="dxa"/>
            <w:shd w:val="clear" w:color="000000" w:fill="FFFFFF"/>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000000" w:fill="FFFFFF"/>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c>
          <w:tcPr>
            <w:tcW w:w="953"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c>
          <w:tcPr>
            <w:tcW w:w="963"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r>
      <w:tr w:rsidR="009566E0" w:rsidRPr="009566E0" w:rsidTr="008E1BB1">
        <w:trPr>
          <w:trHeight w:val="170"/>
        </w:trPr>
        <w:tc>
          <w:tcPr>
            <w:tcW w:w="263" w:type="dxa"/>
            <w:shd w:val="clear" w:color="000000" w:fill="FFFFFF"/>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000000" w:fill="FFFFFF"/>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000000" w:fill="FFFFFF"/>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000000" w:fill="FFFFFF"/>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c>
          <w:tcPr>
            <w:tcW w:w="953"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c>
          <w:tcPr>
            <w:tcW w:w="963" w:type="dxa"/>
            <w:shd w:val="clear" w:color="000000" w:fill="FFFFFF"/>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2</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xml:space="preserve">Βουλή των Ελλήνων </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136</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133</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133</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134</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134</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136</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134</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134</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135</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136</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134</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134</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135</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135</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3</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Υπουργείο Εσωτερικών</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5.138</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5.028</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5.066</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5.329</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5.213</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161</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216</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216</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199</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192</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5.298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5.244</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5.282</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5.528</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5.405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5.268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5.214</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5.252</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5.528</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5.405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xml:space="preserve">πρώην Υπουργείο Εσωτερικών </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3.251</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3.055</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3.047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3.342</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3.215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131</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147</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141</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137</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124</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3.383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3.202</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3.188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3.479</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3.339</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3.383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3.202</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3.188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3.479</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3.339</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πρώην Υπουργείο Δημόσιας Τάξης και Προστασίας του Πολίτη</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1.883</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1.968</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2.014</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1.982</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1.994</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29</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67</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66</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1.911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2.035</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2.081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2.042</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2.060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1.881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2.005</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2.051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2.042</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2.060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πρώην Υπουργείο Μακεδονίας και Θράκης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8</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7</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7</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7</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7</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7</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7</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4</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Υπουργείο Οικονομίας και Ανάπτυξης</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41</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148</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79</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148</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97</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1.358</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2.198</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2.152</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2.154</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2.148</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1.398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2.346</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2.231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2.302</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2.245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1.398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2.346</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2.231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2.302</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2.245</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5</w:t>
            </w:r>
          </w:p>
        </w:tc>
        <w:tc>
          <w:tcPr>
            <w:tcW w:w="3773" w:type="dxa"/>
            <w:shd w:val="clear" w:color="auto" w:fill="D9D9D9" w:themeFill="background1" w:themeFillShade="D9"/>
            <w:vAlign w:val="center"/>
            <w:hideMark/>
          </w:tcPr>
          <w:p w:rsidR="009566E0" w:rsidRPr="008E1BB1" w:rsidRDefault="009566E0" w:rsidP="009566E0">
            <w:pPr>
              <w:rPr>
                <w:rFonts w:ascii="Arial Narrow" w:hAnsi="Arial Narrow"/>
                <w:b/>
                <w:bCs/>
                <w:sz w:val="16"/>
                <w:szCs w:val="16"/>
                <w:vertAlign w:val="superscript"/>
              </w:rPr>
            </w:pPr>
            <w:r w:rsidRPr="009566E0">
              <w:rPr>
                <w:rFonts w:ascii="Arial Narrow" w:hAnsi="Arial Narrow"/>
                <w:b/>
                <w:bCs/>
                <w:sz w:val="16"/>
                <w:szCs w:val="16"/>
              </w:rPr>
              <w:t xml:space="preserve">Υπουργείο Ψηφιακής Πολιτικής, Τηλεπικοινωνιών και </w:t>
            </w:r>
            <w:r w:rsidRPr="009566E0">
              <w:rPr>
                <w:rFonts w:ascii="Arial Narrow" w:hAnsi="Arial Narrow"/>
                <w:b/>
                <w:bCs/>
                <w:sz w:val="16"/>
                <w:szCs w:val="16"/>
              </w:rPr>
              <w:t>Ε</w:t>
            </w:r>
            <w:r w:rsidRPr="009566E0">
              <w:rPr>
                <w:rFonts w:ascii="Arial Narrow" w:hAnsi="Arial Narrow"/>
                <w:b/>
                <w:bCs/>
                <w:sz w:val="16"/>
                <w:szCs w:val="16"/>
              </w:rPr>
              <w:t>νημέρω</w:t>
            </w:r>
            <w:r w:rsidR="008E1BB1">
              <w:rPr>
                <w:rFonts w:ascii="Arial Narrow" w:hAnsi="Arial Narrow"/>
                <w:b/>
                <w:bCs/>
                <w:sz w:val="16"/>
                <w:szCs w:val="16"/>
              </w:rPr>
              <w:t>σης</w:t>
            </w:r>
            <w:r w:rsidR="008967F1">
              <w:rPr>
                <w:rFonts w:ascii="Arial Narrow" w:hAnsi="Arial Narrow"/>
                <w:b/>
                <w:bCs/>
                <w:sz w:val="16"/>
                <w:szCs w:val="16"/>
              </w:rPr>
              <w:t xml:space="preserve"> </w:t>
            </w:r>
            <w:r w:rsidR="008E1BB1">
              <w:rPr>
                <w:rFonts w:ascii="Arial Narrow" w:hAnsi="Arial Narrow"/>
                <w:b/>
                <w:bCs/>
                <w:sz w:val="16"/>
                <w:szCs w:val="16"/>
                <w:vertAlign w:val="superscript"/>
              </w:rPr>
              <w:t>1</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34</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36</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44</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16</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28</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73</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73</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6</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xml:space="preserve">Υπουργείο Εθνικής Άμυνας </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3.259</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3.155</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3.246</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3.175</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3.181</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(εκ των οποίων -Εξοπλιστικά προγράμματα - ταμειακή βάση)</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584</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475</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475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510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510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14</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18</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12</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9</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3.263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3.169</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3.264</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3.187</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3.190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344</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-360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-313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207</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204</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2.920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3.528</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3.578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2.980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2.985</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7</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xml:space="preserve">Υπουργείο Παιδείας, Έρευνας και Θρησκευμάτων </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4.369</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4.506</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4.539</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4.626</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4.697</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505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615</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615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565</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620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4.873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5.121</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5.154</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5.191</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5.317</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4.873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5.121</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5.154</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5.191</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5.317</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lastRenderedPageBreak/>
              <w:t>8</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Υπουργείο Εργασίας, Κοινωνικής Ασφάλισης και Κοινων</w:t>
            </w:r>
            <w:r w:rsidRPr="009566E0">
              <w:rPr>
                <w:rFonts w:ascii="Arial Narrow" w:hAnsi="Arial Narrow"/>
                <w:b/>
                <w:bCs/>
                <w:sz w:val="16"/>
                <w:szCs w:val="16"/>
              </w:rPr>
              <w:t>ι</w:t>
            </w:r>
            <w:r w:rsidRPr="009566E0">
              <w:rPr>
                <w:rFonts w:ascii="Arial Narrow" w:hAnsi="Arial Narrow"/>
                <w:b/>
                <w:bCs/>
                <w:sz w:val="16"/>
                <w:szCs w:val="16"/>
              </w:rPr>
              <w:t>κής Αλληλεγγύης</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13.394</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17.559</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17.462</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17.698</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17.697</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267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380</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391</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370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370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13.662</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17.939</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17.853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18.068</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18.067</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13.662</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17.939</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17.853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18.068</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18.067</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9</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xml:space="preserve">Υπουργείο Εξωτερικών </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243</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267</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274</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268</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268</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Εκ των οποίων</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 </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 </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 </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 </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(Τόκοι -σε καθαρή βάση)</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246</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273</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280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274</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273</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246</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273</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280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274</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273</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10</w:t>
            </w:r>
          </w:p>
        </w:tc>
        <w:tc>
          <w:tcPr>
            <w:tcW w:w="3773" w:type="dxa"/>
            <w:shd w:val="clear" w:color="auto" w:fill="D9D9D9" w:themeFill="background1" w:themeFillShade="D9"/>
            <w:vAlign w:val="center"/>
            <w:hideMark/>
          </w:tcPr>
          <w:p w:rsidR="00BC465D" w:rsidRDefault="009566E0" w:rsidP="009566E0">
            <w:pPr>
              <w:rPr>
                <w:rFonts w:ascii="Arial Narrow" w:hAnsi="Arial Narrow"/>
                <w:b/>
                <w:bCs/>
                <w:sz w:val="16"/>
                <w:szCs w:val="16"/>
              </w:rPr>
            </w:pPr>
            <w:r w:rsidRPr="009566E0">
              <w:rPr>
                <w:rFonts w:ascii="Arial Narrow" w:hAnsi="Arial Narrow"/>
                <w:b/>
                <w:bCs/>
                <w:sz w:val="16"/>
                <w:szCs w:val="16"/>
              </w:rPr>
              <w:t>Υπουργείο Δικαιοσύνης, Διαφάνειας και Ανθρωπίνων</w:t>
            </w:r>
          </w:p>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Δικαιωμάτων</w:t>
            </w:r>
            <w:r w:rsidR="008967F1">
              <w:rPr>
                <w:rFonts w:ascii="Arial Narrow" w:hAnsi="Arial Narrow"/>
                <w:b/>
                <w:bCs/>
                <w:sz w:val="16"/>
                <w:szCs w:val="16"/>
              </w:rPr>
              <w:t xml:space="preserve"> </w:t>
            </w:r>
            <w:r w:rsidRPr="009566E0">
              <w:rPr>
                <w:rFonts w:ascii="Arial Narrow" w:hAnsi="Arial Narrow"/>
                <w:b/>
                <w:bCs/>
                <w:sz w:val="16"/>
                <w:szCs w:val="16"/>
              </w:rPr>
              <w:t xml:space="preserve"> </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581</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608</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610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606</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609</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12</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12</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11</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11</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588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620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622</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617</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620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16</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29</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16</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572</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591</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606</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617</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620</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11</w:t>
            </w:r>
          </w:p>
        </w:tc>
        <w:tc>
          <w:tcPr>
            <w:tcW w:w="3773" w:type="dxa"/>
            <w:shd w:val="clear" w:color="auto" w:fill="D9D9D9" w:themeFill="background1" w:themeFillShade="D9"/>
            <w:vAlign w:val="center"/>
            <w:hideMark/>
          </w:tcPr>
          <w:p w:rsidR="00BC465D" w:rsidRDefault="009566E0" w:rsidP="009566E0">
            <w:pPr>
              <w:rPr>
                <w:rFonts w:ascii="Arial Narrow" w:hAnsi="Arial Narrow"/>
                <w:b/>
                <w:bCs/>
                <w:sz w:val="16"/>
                <w:szCs w:val="16"/>
              </w:rPr>
            </w:pPr>
            <w:r w:rsidRPr="009566E0">
              <w:rPr>
                <w:rFonts w:ascii="Arial Narrow" w:hAnsi="Arial Narrow"/>
                <w:b/>
                <w:bCs/>
                <w:sz w:val="16"/>
                <w:szCs w:val="16"/>
              </w:rPr>
              <w:t xml:space="preserve">Υπουργείο Οικονομικών (πλην Γενικών Κρατικών </w:t>
            </w:r>
          </w:p>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xml:space="preserve">Δαπανών) </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579</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648</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666</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649</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660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7</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7</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579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655</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673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653</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667</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578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653</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671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653</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667</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12</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Γενικές Κρατικές Δαπάνες</w:t>
            </w:r>
            <w:r w:rsidR="008967F1">
              <w:rPr>
                <w:rFonts w:ascii="Arial Narrow" w:hAnsi="Arial Narrow"/>
                <w:b/>
                <w:bCs/>
                <w:sz w:val="16"/>
                <w:szCs w:val="16"/>
              </w:rPr>
              <w:t xml:space="preserve"> </w:t>
            </w:r>
            <w:r w:rsidRPr="009566E0">
              <w:rPr>
                <w:rFonts w:ascii="Arial Narrow" w:hAnsi="Arial Narrow"/>
                <w:b/>
                <w:bCs/>
                <w:sz w:val="16"/>
                <w:szCs w:val="16"/>
              </w:rPr>
              <w:t xml:space="preserve"> </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16.458</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11.399</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11.877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10.922</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10.198</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Εκ των οποίων</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 </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 </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 </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 </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(Τόκοι -σε καθαρή βάση)</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5.577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5.650</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6.000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5.900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5.200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(Δαπάνες ανάληψης δανείων από τον Ευρωπαϊκό Μηχανισμό Στήριξης (ΕΜΣ) και παράλληλες δαπάνες δημοσίου χρέου</w:t>
            </w:r>
            <w:r w:rsidR="00742CA6">
              <w:rPr>
                <w:rFonts w:ascii="Arial Narrow" w:hAnsi="Arial Narrow"/>
                <w:i/>
                <w:iCs/>
                <w:sz w:val="16"/>
                <w:szCs w:val="16"/>
              </w:rPr>
              <w:t>ς</w:t>
            </w:r>
            <w:r w:rsidRPr="009566E0">
              <w:rPr>
                <w:rFonts w:ascii="Arial Narrow" w:hAnsi="Arial Narrow"/>
                <w:i/>
                <w:iCs/>
                <w:sz w:val="16"/>
                <w:szCs w:val="16"/>
              </w:rPr>
              <w:t>)</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75</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75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(Καταπτώσεις εγγυήσεων -σε ακαθάριστη βάση)</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1.651</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995</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890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1.045</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970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742CA6" w:rsidP="009566E0">
            <w:pPr>
              <w:rPr>
                <w:rFonts w:ascii="Arial Narrow" w:hAnsi="Arial Narrow"/>
                <w:i/>
                <w:iCs/>
                <w:sz w:val="16"/>
                <w:szCs w:val="16"/>
              </w:rPr>
            </w:pPr>
            <w:r>
              <w:rPr>
                <w:rFonts w:ascii="Arial Narrow" w:hAnsi="Arial Narrow"/>
                <w:i/>
                <w:iCs/>
                <w:sz w:val="16"/>
                <w:szCs w:val="16"/>
              </w:rPr>
              <w:t>(Αναλή</w:t>
            </w:r>
            <w:r w:rsidR="009566E0" w:rsidRPr="009566E0">
              <w:rPr>
                <w:rFonts w:ascii="Arial Narrow" w:hAnsi="Arial Narrow"/>
                <w:i/>
                <w:iCs/>
                <w:sz w:val="16"/>
                <w:szCs w:val="16"/>
              </w:rPr>
              <w:t>ψεις χρεών φορέων Γενικής Κυβέρνησης)</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553</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193</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193</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16.458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11.399</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11.877</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10.922</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10.198</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-758</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-361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-1.055</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-2.069</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16.629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12.157</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12.238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11.977</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12.267</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13</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xml:space="preserve">Υπουργείο Υγείας </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4.356</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4.217</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4.257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3.670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3.725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70</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64</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75</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4.363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4.287</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4.321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3.745</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3.760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4.363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4.287</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4.321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3.745</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3.760</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14</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Υπουργείο Διοικητικής Ανασυγκρότησης</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44</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43</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43</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38</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140</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112</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120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118</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97</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184</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157</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163</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161</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97</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184</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157</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163</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161</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15</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Υπουργείο Πολιτισμού και Αθλητισμού</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300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296</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297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299</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298</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96</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96</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71</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41</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330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392</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393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339</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330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392</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393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339</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16</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Υπουργείο Περιβάλλοντος και Ενέργειας</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55</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55</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282</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390</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413</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390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410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329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445</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468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445</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470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329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445</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468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445</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470</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17</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Υπουργείο Υποδομών και Μεταφορών</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591</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534</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643</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523</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514</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lastRenderedPageBreak/>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2.895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1.922</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1.922</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1.985</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1.964</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3.486</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2.456</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2.565</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2.508</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2.478</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470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464</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3.486</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1.986</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2.101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2.508</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2.472</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18</w:t>
            </w:r>
          </w:p>
        </w:tc>
        <w:tc>
          <w:tcPr>
            <w:tcW w:w="3773" w:type="dxa"/>
            <w:shd w:val="clear" w:color="auto" w:fill="D9D9D9" w:themeFill="background1" w:themeFillShade="D9"/>
            <w:vAlign w:val="center"/>
            <w:hideMark/>
          </w:tcPr>
          <w:p w:rsidR="009566E0" w:rsidRPr="008E1BB1" w:rsidRDefault="009566E0" w:rsidP="009566E0">
            <w:pPr>
              <w:rPr>
                <w:rFonts w:ascii="Arial Narrow" w:hAnsi="Arial Narrow"/>
                <w:b/>
                <w:bCs/>
                <w:sz w:val="16"/>
                <w:szCs w:val="16"/>
                <w:vertAlign w:val="superscript"/>
              </w:rPr>
            </w:pPr>
            <w:r w:rsidRPr="009566E0">
              <w:rPr>
                <w:rFonts w:ascii="Arial Narrow" w:hAnsi="Arial Narrow"/>
                <w:b/>
                <w:bCs/>
                <w:sz w:val="16"/>
                <w:szCs w:val="16"/>
              </w:rPr>
              <w:t>Υπουργείο Μεταναστευτικής Πολιτι</w:t>
            </w:r>
            <w:r w:rsidR="008E1BB1">
              <w:rPr>
                <w:rFonts w:ascii="Arial Narrow" w:hAnsi="Arial Narrow"/>
                <w:b/>
                <w:bCs/>
                <w:sz w:val="16"/>
                <w:szCs w:val="16"/>
              </w:rPr>
              <w:t xml:space="preserve">κής </w:t>
            </w:r>
            <w:r w:rsidR="008E1BB1">
              <w:rPr>
                <w:rFonts w:ascii="Arial Narrow" w:hAnsi="Arial Narrow"/>
                <w:b/>
                <w:bCs/>
                <w:sz w:val="16"/>
                <w:szCs w:val="16"/>
                <w:vertAlign w:val="superscript"/>
              </w:rPr>
              <w:t>1</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9</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40</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44</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41</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25</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25</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25</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24</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65</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65</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66</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24</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65</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65</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66</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19</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Υπουργείο Ναυτιλίας και Νησιωτικής Πολιτικής</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306</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327</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338</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331</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332</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37</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38</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38</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321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364</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375</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369</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318</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361</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372</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369</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370</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20</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Υπουργείο Αγροτικής Ανάπτυξης και Τροφίμων</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575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627</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627</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569</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402</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674</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582</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612</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672</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692</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1.249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1.209</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1.239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1.241</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1.094</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-223</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94</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115</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1.472</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1.115</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1.239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1.126</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1.094</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21</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Υπουργείο Τουρισμού</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26</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44</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43</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44</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44</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23</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36</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48</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36</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36</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80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91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80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80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49</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80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91</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80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80</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22</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xml:space="preserve">Αποκεντρωμένες Διοικήσεις </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Pr>
                <w:rFonts w:ascii="Arial Narrow" w:hAnsi="Arial Narrow"/>
                <w:i/>
                <w:iCs/>
                <w:sz w:val="16"/>
                <w:szCs w:val="16"/>
              </w:rPr>
              <w:t>ΤΠ</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165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173</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175</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176</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176</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i/>
                <w:iCs/>
                <w:sz w:val="16"/>
                <w:szCs w:val="16"/>
              </w:rPr>
            </w:pPr>
            <w:r w:rsidRPr="009566E0">
              <w:rPr>
                <w:rFonts w:ascii="Arial Narrow" w:hAnsi="Arial Narrow"/>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i/>
                <w:iCs/>
                <w:sz w:val="16"/>
                <w:szCs w:val="16"/>
              </w:rPr>
            </w:pPr>
            <w:r w:rsidRPr="009566E0">
              <w:rPr>
                <w:rFonts w:ascii="Arial Narrow" w:hAnsi="Arial Narrow"/>
                <w:i/>
                <w:iCs/>
                <w:sz w:val="16"/>
                <w:szCs w:val="16"/>
              </w:rPr>
              <w:t>ΠΔΕ</w:t>
            </w:r>
          </w:p>
        </w:tc>
        <w:tc>
          <w:tcPr>
            <w:tcW w:w="1375"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i/>
                <w:iCs/>
                <w:sz w:val="16"/>
                <w:szCs w:val="16"/>
              </w:rPr>
            </w:pPr>
            <w:r w:rsidRPr="009566E0">
              <w:rPr>
                <w:rFonts w:ascii="Arial Narrow" w:hAnsi="Arial Narrow"/>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Ταμειακό Σύνολο</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165</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173</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175</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176</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176</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Εθνικολογιστικές προσαρμογές</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0</w:t>
            </w:r>
          </w:p>
        </w:tc>
      </w:tr>
      <w:tr w:rsidR="009566E0" w:rsidRPr="009566E0" w:rsidTr="008E1BB1">
        <w:trPr>
          <w:trHeight w:val="170"/>
        </w:trPr>
        <w:tc>
          <w:tcPr>
            <w:tcW w:w="263" w:type="dxa"/>
            <w:shd w:val="clear" w:color="auto" w:fill="auto"/>
            <w:hideMark/>
          </w:tcPr>
          <w:p w:rsidR="009566E0" w:rsidRPr="009566E0" w:rsidRDefault="009566E0" w:rsidP="009566E0">
            <w:pPr>
              <w:jc w:val="right"/>
              <w:rPr>
                <w:rFonts w:ascii="Arial Narrow" w:hAnsi="Arial Narrow"/>
                <w:b/>
                <w:bCs/>
                <w:i/>
                <w:iCs/>
                <w:sz w:val="16"/>
                <w:szCs w:val="16"/>
              </w:rPr>
            </w:pPr>
            <w:r w:rsidRPr="009566E0">
              <w:rPr>
                <w:rFonts w:ascii="Arial Narrow" w:hAnsi="Arial Narrow"/>
                <w:b/>
                <w:bCs/>
                <w:i/>
                <w:iCs/>
                <w:sz w:val="16"/>
                <w:szCs w:val="16"/>
              </w:rPr>
              <w:t> </w:t>
            </w:r>
          </w:p>
        </w:tc>
        <w:tc>
          <w:tcPr>
            <w:tcW w:w="3773" w:type="dxa"/>
            <w:shd w:val="clear" w:color="auto" w:fill="auto"/>
            <w:vAlign w:val="center"/>
            <w:hideMark/>
          </w:tcPr>
          <w:p w:rsidR="009566E0" w:rsidRPr="009566E0" w:rsidRDefault="009566E0" w:rsidP="009566E0">
            <w:pPr>
              <w:rPr>
                <w:rFonts w:ascii="Arial Narrow" w:hAnsi="Arial Narrow"/>
                <w:b/>
                <w:bCs/>
                <w:i/>
                <w:iCs/>
                <w:sz w:val="16"/>
                <w:szCs w:val="16"/>
              </w:rPr>
            </w:pPr>
            <w:r w:rsidRPr="009566E0">
              <w:rPr>
                <w:rFonts w:ascii="Arial Narrow" w:hAnsi="Arial Narrow"/>
                <w:b/>
                <w:bCs/>
                <w:i/>
                <w:iCs/>
                <w:sz w:val="16"/>
                <w:szCs w:val="16"/>
              </w:rPr>
              <w:t>Σύνολο κατά ESA</w:t>
            </w:r>
          </w:p>
        </w:tc>
        <w:tc>
          <w:tcPr>
            <w:tcW w:w="1375"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165</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173</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175</w:t>
            </w:r>
          </w:p>
        </w:tc>
        <w:tc>
          <w:tcPr>
            <w:tcW w:w="907"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176</w:t>
            </w:r>
          </w:p>
        </w:tc>
        <w:tc>
          <w:tcPr>
            <w:tcW w:w="963" w:type="dxa"/>
            <w:shd w:val="clear" w:color="auto" w:fill="auto"/>
            <w:vAlign w:val="center"/>
            <w:hideMark/>
          </w:tcPr>
          <w:p w:rsidR="009566E0" w:rsidRPr="009566E0" w:rsidRDefault="009566E0" w:rsidP="008E1BB1">
            <w:pPr>
              <w:ind w:right="198"/>
              <w:jc w:val="right"/>
              <w:rPr>
                <w:rFonts w:ascii="Arial Narrow" w:hAnsi="Arial Narrow"/>
                <w:b/>
                <w:bCs/>
                <w:i/>
                <w:iCs/>
                <w:sz w:val="16"/>
                <w:szCs w:val="16"/>
              </w:rPr>
            </w:pPr>
            <w:r w:rsidRPr="009566E0">
              <w:rPr>
                <w:rFonts w:ascii="Arial Narrow" w:hAnsi="Arial Narrow"/>
                <w:b/>
                <w:bCs/>
                <w:i/>
                <w:iCs/>
                <w:sz w:val="16"/>
                <w:szCs w:val="16"/>
              </w:rPr>
              <w:t>176</w:t>
            </w:r>
          </w:p>
        </w:tc>
      </w:tr>
      <w:tr w:rsidR="009566E0" w:rsidRPr="009566E0" w:rsidTr="00363FAE">
        <w:trPr>
          <w:trHeight w:val="170"/>
        </w:trPr>
        <w:tc>
          <w:tcPr>
            <w:tcW w:w="263" w:type="dxa"/>
            <w:shd w:val="clear" w:color="auto" w:fill="BFBFBF" w:themeFill="background1" w:themeFillShade="BF"/>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Ι.</w:t>
            </w:r>
          </w:p>
        </w:tc>
        <w:tc>
          <w:tcPr>
            <w:tcW w:w="3773" w:type="dxa"/>
            <w:shd w:val="clear" w:color="auto" w:fill="BFBFBF" w:themeFill="background1" w:themeFillShade="BF"/>
            <w:vAlign w:val="center"/>
            <w:hideMark/>
          </w:tcPr>
          <w:p w:rsidR="009566E0" w:rsidRPr="009566E0" w:rsidRDefault="00BC465D" w:rsidP="00BC465D">
            <w:pPr>
              <w:rPr>
                <w:rFonts w:ascii="Arial Narrow" w:hAnsi="Arial Narrow"/>
                <w:b/>
                <w:bCs/>
                <w:sz w:val="16"/>
                <w:szCs w:val="16"/>
              </w:rPr>
            </w:pPr>
            <w:r>
              <w:rPr>
                <w:rFonts w:ascii="Arial Narrow" w:hAnsi="Arial Narrow"/>
                <w:b/>
                <w:bCs/>
                <w:sz w:val="16"/>
                <w:szCs w:val="16"/>
              </w:rPr>
              <w:t>Ταμειακό σύνολο δαπανών κρατικού προϋπολογισμού</w:t>
            </w:r>
            <w:r w:rsidR="009566E0" w:rsidRPr="009566E0">
              <w:rPr>
                <w:rFonts w:ascii="Arial Narrow" w:hAnsi="Arial Narrow"/>
                <w:b/>
                <w:bCs/>
                <w:sz w:val="16"/>
                <w:szCs w:val="16"/>
              </w:rPr>
              <w:t xml:space="preserve"> (Α+Β)</w:t>
            </w:r>
          </w:p>
        </w:tc>
        <w:tc>
          <w:tcPr>
            <w:tcW w:w="1375" w:type="dxa"/>
            <w:shd w:val="clear" w:color="auto" w:fill="BFBFBF" w:themeFill="background1" w:themeFillShade="B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56.949</w:t>
            </w:r>
          </w:p>
        </w:tc>
        <w:tc>
          <w:tcPr>
            <w:tcW w:w="907" w:type="dxa"/>
            <w:shd w:val="clear" w:color="auto" w:fill="BFBFBF" w:themeFill="background1" w:themeFillShade="B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56.594</w:t>
            </w:r>
          </w:p>
        </w:tc>
        <w:tc>
          <w:tcPr>
            <w:tcW w:w="953" w:type="dxa"/>
            <w:shd w:val="clear" w:color="auto" w:fill="BFBFBF" w:themeFill="background1" w:themeFillShade="B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57.265</w:t>
            </w:r>
          </w:p>
        </w:tc>
        <w:tc>
          <w:tcPr>
            <w:tcW w:w="907" w:type="dxa"/>
            <w:shd w:val="clear" w:color="auto" w:fill="BFBFBF" w:themeFill="background1" w:themeFillShade="B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56.104</w:t>
            </w:r>
          </w:p>
        </w:tc>
        <w:tc>
          <w:tcPr>
            <w:tcW w:w="963" w:type="dxa"/>
            <w:shd w:val="clear" w:color="auto" w:fill="BFBFBF" w:themeFill="background1" w:themeFillShade="B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55.188</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Α.</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xml:space="preserve">Δαπάνες Τακτικού </w:t>
            </w:r>
            <w:r w:rsidR="008E1BB1" w:rsidRPr="009566E0">
              <w:rPr>
                <w:rFonts w:ascii="Arial Narrow" w:hAnsi="Arial Narrow"/>
                <w:b/>
                <w:bCs/>
                <w:sz w:val="16"/>
                <w:szCs w:val="16"/>
              </w:rPr>
              <w:t>Προϋπολογισμού</w:t>
            </w:r>
            <w:r w:rsidRPr="009566E0">
              <w:rPr>
                <w:rFonts w:ascii="Arial Narrow" w:hAnsi="Arial Narrow"/>
                <w:b/>
                <w:bCs/>
                <w:sz w:val="16"/>
                <w:szCs w:val="16"/>
              </w:rPr>
              <w:t xml:space="preserve"> (1+2)</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50.666</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49.844</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50.515</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49.354</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48.438</w:t>
            </w:r>
          </w:p>
        </w:tc>
      </w:tr>
      <w:tr w:rsidR="009566E0" w:rsidRPr="009566E0" w:rsidTr="008E1BB1">
        <w:trPr>
          <w:trHeight w:val="170"/>
        </w:trPr>
        <w:tc>
          <w:tcPr>
            <w:tcW w:w="263" w:type="dxa"/>
            <w:shd w:val="clear" w:color="000000" w:fill="FFFFFF"/>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 </w:t>
            </w:r>
          </w:p>
        </w:tc>
        <w:tc>
          <w:tcPr>
            <w:tcW w:w="3773" w:type="dxa"/>
            <w:shd w:val="clear" w:color="000000" w:fill="FFFFFF"/>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w:t>
            </w:r>
          </w:p>
        </w:tc>
        <w:tc>
          <w:tcPr>
            <w:tcW w:w="1375"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8E1BB1">
        <w:trPr>
          <w:trHeight w:val="170"/>
        </w:trPr>
        <w:tc>
          <w:tcPr>
            <w:tcW w:w="263" w:type="dxa"/>
            <w:shd w:val="clear" w:color="000000" w:fill="FFFFFF"/>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1</w:t>
            </w:r>
          </w:p>
        </w:tc>
        <w:tc>
          <w:tcPr>
            <w:tcW w:w="3773" w:type="dxa"/>
            <w:shd w:val="clear" w:color="000000" w:fill="FFFFFF"/>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Πρωτογενείς δαπάνες</w:t>
            </w:r>
          </w:p>
        </w:tc>
        <w:tc>
          <w:tcPr>
            <w:tcW w:w="1375"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45.089</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44.194</w:t>
            </w:r>
          </w:p>
        </w:tc>
        <w:tc>
          <w:tcPr>
            <w:tcW w:w="953"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44.514</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43.454</w:t>
            </w:r>
          </w:p>
        </w:tc>
        <w:tc>
          <w:tcPr>
            <w:tcW w:w="963"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43.238</w:t>
            </w:r>
          </w:p>
        </w:tc>
      </w:tr>
      <w:tr w:rsidR="009566E0" w:rsidRPr="00563BD4" w:rsidTr="008E1BB1">
        <w:trPr>
          <w:trHeight w:val="170"/>
        </w:trPr>
        <w:tc>
          <w:tcPr>
            <w:tcW w:w="263" w:type="dxa"/>
            <w:shd w:val="clear" w:color="000000" w:fill="FFFFFF"/>
            <w:hideMark/>
          </w:tcPr>
          <w:p w:rsidR="009566E0" w:rsidRPr="00563BD4" w:rsidRDefault="009566E0" w:rsidP="009566E0">
            <w:pPr>
              <w:jc w:val="right"/>
              <w:rPr>
                <w:rFonts w:ascii="Arial Narrow" w:hAnsi="Arial Narrow"/>
                <w:bCs/>
                <w:sz w:val="16"/>
                <w:szCs w:val="16"/>
              </w:rPr>
            </w:pPr>
            <w:r w:rsidRPr="00563BD4">
              <w:rPr>
                <w:rFonts w:ascii="Arial Narrow" w:hAnsi="Arial Narrow"/>
                <w:bCs/>
                <w:sz w:val="16"/>
                <w:szCs w:val="16"/>
              </w:rPr>
              <w:t> </w:t>
            </w:r>
          </w:p>
        </w:tc>
        <w:tc>
          <w:tcPr>
            <w:tcW w:w="3773" w:type="dxa"/>
            <w:shd w:val="clear" w:color="000000" w:fill="FFFFFF"/>
            <w:vAlign w:val="center"/>
            <w:hideMark/>
          </w:tcPr>
          <w:p w:rsidR="009566E0" w:rsidRPr="00563BD4" w:rsidRDefault="009566E0" w:rsidP="009566E0">
            <w:pPr>
              <w:rPr>
                <w:rFonts w:ascii="Arial Narrow" w:hAnsi="Arial Narrow"/>
                <w:bCs/>
                <w:i/>
                <w:iCs/>
                <w:sz w:val="16"/>
                <w:szCs w:val="16"/>
              </w:rPr>
            </w:pPr>
            <w:r w:rsidRPr="00563BD4">
              <w:rPr>
                <w:rFonts w:ascii="Arial Narrow" w:hAnsi="Arial Narrow"/>
                <w:bCs/>
                <w:i/>
                <w:iCs/>
                <w:sz w:val="16"/>
                <w:szCs w:val="16"/>
              </w:rPr>
              <w:t>εκ των οποίων:</w:t>
            </w:r>
          </w:p>
        </w:tc>
        <w:tc>
          <w:tcPr>
            <w:tcW w:w="1375" w:type="dxa"/>
            <w:shd w:val="clear" w:color="auto" w:fill="auto"/>
            <w:vAlign w:val="center"/>
            <w:hideMark/>
          </w:tcPr>
          <w:p w:rsidR="009566E0" w:rsidRPr="00563BD4" w:rsidRDefault="009566E0" w:rsidP="008E1BB1">
            <w:pPr>
              <w:ind w:right="198"/>
              <w:jc w:val="right"/>
              <w:rPr>
                <w:rFonts w:ascii="Arial Narrow" w:hAnsi="Arial Narrow"/>
                <w:bCs/>
                <w:sz w:val="16"/>
                <w:szCs w:val="16"/>
              </w:rPr>
            </w:pPr>
            <w:r w:rsidRPr="00563BD4">
              <w:rPr>
                <w:rFonts w:ascii="Arial Narrow" w:hAnsi="Arial Narrow"/>
                <w:bCs/>
                <w:sz w:val="16"/>
                <w:szCs w:val="16"/>
              </w:rPr>
              <w:t> </w:t>
            </w:r>
          </w:p>
        </w:tc>
        <w:tc>
          <w:tcPr>
            <w:tcW w:w="907" w:type="dxa"/>
            <w:shd w:val="clear" w:color="auto" w:fill="auto"/>
            <w:vAlign w:val="center"/>
            <w:hideMark/>
          </w:tcPr>
          <w:p w:rsidR="009566E0" w:rsidRPr="00563BD4" w:rsidRDefault="009566E0" w:rsidP="008E1BB1">
            <w:pPr>
              <w:ind w:right="198"/>
              <w:jc w:val="right"/>
              <w:rPr>
                <w:rFonts w:ascii="Arial Narrow" w:hAnsi="Arial Narrow"/>
                <w:bCs/>
                <w:sz w:val="16"/>
                <w:szCs w:val="16"/>
              </w:rPr>
            </w:pPr>
            <w:r w:rsidRPr="00563BD4">
              <w:rPr>
                <w:rFonts w:ascii="Arial Narrow" w:hAnsi="Arial Narrow"/>
                <w:bCs/>
                <w:sz w:val="16"/>
                <w:szCs w:val="16"/>
              </w:rPr>
              <w:t> </w:t>
            </w:r>
          </w:p>
        </w:tc>
        <w:tc>
          <w:tcPr>
            <w:tcW w:w="953" w:type="dxa"/>
            <w:shd w:val="clear" w:color="auto" w:fill="auto"/>
            <w:vAlign w:val="center"/>
            <w:hideMark/>
          </w:tcPr>
          <w:p w:rsidR="009566E0" w:rsidRPr="00563BD4" w:rsidRDefault="009566E0" w:rsidP="008E1BB1">
            <w:pPr>
              <w:ind w:right="198"/>
              <w:jc w:val="right"/>
              <w:rPr>
                <w:rFonts w:ascii="Arial Narrow" w:hAnsi="Arial Narrow"/>
                <w:bCs/>
                <w:sz w:val="16"/>
                <w:szCs w:val="16"/>
              </w:rPr>
            </w:pPr>
            <w:r w:rsidRPr="00563BD4">
              <w:rPr>
                <w:rFonts w:ascii="Arial Narrow" w:hAnsi="Arial Narrow"/>
                <w:bCs/>
                <w:sz w:val="16"/>
                <w:szCs w:val="16"/>
              </w:rPr>
              <w:t> </w:t>
            </w:r>
          </w:p>
        </w:tc>
        <w:tc>
          <w:tcPr>
            <w:tcW w:w="907" w:type="dxa"/>
            <w:shd w:val="clear" w:color="auto" w:fill="auto"/>
            <w:vAlign w:val="center"/>
            <w:hideMark/>
          </w:tcPr>
          <w:p w:rsidR="009566E0" w:rsidRPr="00563BD4" w:rsidRDefault="009566E0" w:rsidP="008E1BB1">
            <w:pPr>
              <w:ind w:right="198"/>
              <w:jc w:val="right"/>
              <w:rPr>
                <w:rFonts w:ascii="Arial Narrow" w:hAnsi="Arial Narrow"/>
                <w:bCs/>
                <w:sz w:val="16"/>
                <w:szCs w:val="16"/>
              </w:rPr>
            </w:pPr>
            <w:r w:rsidRPr="00563BD4">
              <w:rPr>
                <w:rFonts w:ascii="Arial Narrow" w:hAnsi="Arial Narrow"/>
                <w:bCs/>
                <w:sz w:val="16"/>
                <w:szCs w:val="16"/>
              </w:rPr>
              <w:t> </w:t>
            </w:r>
          </w:p>
        </w:tc>
        <w:tc>
          <w:tcPr>
            <w:tcW w:w="963" w:type="dxa"/>
            <w:shd w:val="clear" w:color="auto" w:fill="auto"/>
            <w:vAlign w:val="center"/>
            <w:hideMark/>
          </w:tcPr>
          <w:p w:rsidR="009566E0" w:rsidRPr="00563BD4" w:rsidRDefault="009566E0" w:rsidP="008E1BB1">
            <w:pPr>
              <w:ind w:right="198"/>
              <w:jc w:val="right"/>
              <w:rPr>
                <w:rFonts w:ascii="Arial Narrow" w:hAnsi="Arial Narrow"/>
                <w:bCs/>
                <w:sz w:val="16"/>
                <w:szCs w:val="16"/>
              </w:rPr>
            </w:pPr>
            <w:r w:rsidRPr="00563BD4">
              <w:rPr>
                <w:rFonts w:ascii="Arial Narrow" w:hAnsi="Arial Narrow"/>
                <w:bCs/>
                <w:sz w:val="16"/>
                <w:szCs w:val="16"/>
              </w:rPr>
              <w:t> </w:t>
            </w:r>
          </w:p>
        </w:tc>
      </w:tr>
      <w:tr w:rsidR="009566E0" w:rsidRPr="00563BD4" w:rsidTr="008E1BB1">
        <w:trPr>
          <w:trHeight w:val="170"/>
        </w:trPr>
        <w:tc>
          <w:tcPr>
            <w:tcW w:w="263" w:type="dxa"/>
            <w:shd w:val="clear" w:color="000000" w:fill="FFFFFF"/>
            <w:hideMark/>
          </w:tcPr>
          <w:p w:rsidR="009566E0" w:rsidRPr="00563BD4" w:rsidRDefault="009566E0" w:rsidP="009566E0">
            <w:pPr>
              <w:jc w:val="right"/>
              <w:rPr>
                <w:rFonts w:ascii="Arial Narrow" w:hAnsi="Arial Narrow"/>
                <w:bCs/>
                <w:sz w:val="16"/>
                <w:szCs w:val="16"/>
              </w:rPr>
            </w:pPr>
            <w:r w:rsidRPr="00563BD4">
              <w:rPr>
                <w:rFonts w:ascii="Arial Narrow" w:hAnsi="Arial Narrow"/>
                <w:bCs/>
                <w:sz w:val="16"/>
                <w:szCs w:val="16"/>
              </w:rPr>
              <w:t> </w:t>
            </w:r>
          </w:p>
        </w:tc>
        <w:tc>
          <w:tcPr>
            <w:tcW w:w="3773" w:type="dxa"/>
            <w:shd w:val="clear" w:color="000000" w:fill="FFFFFF"/>
            <w:vAlign w:val="center"/>
            <w:hideMark/>
          </w:tcPr>
          <w:p w:rsidR="009566E0" w:rsidRPr="00563BD4" w:rsidRDefault="009566E0" w:rsidP="009566E0">
            <w:pPr>
              <w:rPr>
                <w:rFonts w:ascii="Arial Narrow" w:hAnsi="Arial Narrow"/>
                <w:bCs/>
                <w:i/>
                <w:iCs/>
                <w:sz w:val="16"/>
                <w:szCs w:val="16"/>
              </w:rPr>
            </w:pPr>
            <w:r w:rsidRPr="00563BD4">
              <w:rPr>
                <w:rFonts w:ascii="Arial Narrow" w:hAnsi="Arial Narrow"/>
                <w:bCs/>
                <w:i/>
                <w:iCs/>
                <w:sz w:val="16"/>
                <w:szCs w:val="16"/>
              </w:rPr>
              <w:t>Δαπάνες ανάληψης δανείων από τον Ευρωπαϊκό Μηχανισμό Στήριξης (ΕΜΣ) και παράλληλες δαπάνες δημοσίου χρέου</w:t>
            </w:r>
            <w:r w:rsidR="00742CA6" w:rsidRPr="00563BD4">
              <w:rPr>
                <w:rFonts w:ascii="Arial Narrow" w:hAnsi="Arial Narrow"/>
                <w:bCs/>
                <w:i/>
                <w:iCs/>
                <w:sz w:val="16"/>
                <w:szCs w:val="16"/>
              </w:rPr>
              <w:t>ς</w:t>
            </w:r>
          </w:p>
        </w:tc>
        <w:tc>
          <w:tcPr>
            <w:tcW w:w="1375"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65</w:t>
            </w:r>
          </w:p>
        </w:tc>
        <w:tc>
          <w:tcPr>
            <w:tcW w:w="907"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75</w:t>
            </w:r>
          </w:p>
        </w:tc>
        <w:tc>
          <w:tcPr>
            <w:tcW w:w="953"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75</w:t>
            </w:r>
          </w:p>
        </w:tc>
        <w:tc>
          <w:tcPr>
            <w:tcW w:w="907"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20</w:t>
            </w:r>
          </w:p>
        </w:tc>
        <w:tc>
          <w:tcPr>
            <w:tcW w:w="963"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65</w:t>
            </w:r>
          </w:p>
        </w:tc>
      </w:tr>
      <w:tr w:rsidR="009566E0" w:rsidRPr="00563BD4" w:rsidTr="008E1BB1">
        <w:trPr>
          <w:trHeight w:val="170"/>
        </w:trPr>
        <w:tc>
          <w:tcPr>
            <w:tcW w:w="263" w:type="dxa"/>
            <w:shd w:val="clear" w:color="000000" w:fill="FFFFFF"/>
            <w:hideMark/>
          </w:tcPr>
          <w:p w:rsidR="009566E0" w:rsidRPr="00563BD4" w:rsidRDefault="009566E0" w:rsidP="009566E0">
            <w:pPr>
              <w:jc w:val="right"/>
              <w:rPr>
                <w:rFonts w:ascii="Arial Narrow" w:hAnsi="Arial Narrow"/>
                <w:bCs/>
                <w:sz w:val="16"/>
                <w:szCs w:val="16"/>
              </w:rPr>
            </w:pPr>
            <w:r w:rsidRPr="00563BD4">
              <w:rPr>
                <w:rFonts w:ascii="Arial Narrow" w:hAnsi="Arial Narrow"/>
                <w:bCs/>
                <w:sz w:val="16"/>
                <w:szCs w:val="16"/>
              </w:rPr>
              <w:t> </w:t>
            </w:r>
          </w:p>
        </w:tc>
        <w:tc>
          <w:tcPr>
            <w:tcW w:w="3773" w:type="dxa"/>
            <w:shd w:val="clear" w:color="000000" w:fill="FFFFFF"/>
            <w:vAlign w:val="center"/>
            <w:hideMark/>
          </w:tcPr>
          <w:p w:rsidR="009566E0" w:rsidRPr="00563BD4" w:rsidRDefault="009566E0" w:rsidP="009566E0">
            <w:pPr>
              <w:rPr>
                <w:rFonts w:ascii="Arial Narrow" w:hAnsi="Arial Narrow"/>
                <w:bCs/>
                <w:i/>
                <w:iCs/>
                <w:sz w:val="16"/>
                <w:szCs w:val="16"/>
              </w:rPr>
            </w:pPr>
            <w:r w:rsidRPr="00563BD4">
              <w:rPr>
                <w:rFonts w:ascii="Arial Narrow" w:hAnsi="Arial Narrow"/>
                <w:bCs/>
                <w:i/>
                <w:iCs/>
                <w:sz w:val="16"/>
                <w:szCs w:val="16"/>
              </w:rPr>
              <w:t>Εξοπλιστικά προγράμματα - ταμειακή βάση</w:t>
            </w:r>
          </w:p>
        </w:tc>
        <w:tc>
          <w:tcPr>
            <w:tcW w:w="1375"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584</w:t>
            </w:r>
          </w:p>
        </w:tc>
        <w:tc>
          <w:tcPr>
            <w:tcW w:w="907"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475</w:t>
            </w:r>
          </w:p>
        </w:tc>
        <w:tc>
          <w:tcPr>
            <w:tcW w:w="953"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475</w:t>
            </w:r>
          </w:p>
        </w:tc>
        <w:tc>
          <w:tcPr>
            <w:tcW w:w="907"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510</w:t>
            </w:r>
          </w:p>
        </w:tc>
        <w:tc>
          <w:tcPr>
            <w:tcW w:w="963"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510</w:t>
            </w:r>
          </w:p>
        </w:tc>
      </w:tr>
      <w:tr w:rsidR="009566E0" w:rsidRPr="00563BD4" w:rsidTr="008E1BB1">
        <w:trPr>
          <w:trHeight w:val="170"/>
        </w:trPr>
        <w:tc>
          <w:tcPr>
            <w:tcW w:w="263" w:type="dxa"/>
            <w:shd w:val="clear" w:color="000000" w:fill="FFFFFF"/>
            <w:hideMark/>
          </w:tcPr>
          <w:p w:rsidR="009566E0" w:rsidRPr="00563BD4" w:rsidRDefault="009566E0" w:rsidP="009566E0">
            <w:pPr>
              <w:jc w:val="right"/>
              <w:rPr>
                <w:rFonts w:ascii="Arial Narrow" w:hAnsi="Arial Narrow"/>
                <w:bCs/>
                <w:sz w:val="16"/>
                <w:szCs w:val="16"/>
              </w:rPr>
            </w:pPr>
            <w:r w:rsidRPr="00563BD4">
              <w:rPr>
                <w:rFonts w:ascii="Arial Narrow" w:hAnsi="Arial Narrow"/>
                <w:bCs/>
                <w:sz w:val="16"/>
                <w:szCs w:val="16"/>
              </w:rPr>
              <w:t> </w:t>
            </w:r>
          </w:p>
        </w:tc>
        <w:tc>
          <w:tcPr>
            <w:tcW w:w="3773" w:type="dxa"/>
            <w:shd w:val="clear" w:color="000000" w:fill="FFFFFF"/>
            <w:vAlign w:val="center"/>
            <w:hideMark/>
          </w:tcPr>
          <w:p w:rsidR="009566E0" w:rsidRPr="00563BD4" w:rsidRDefault="009566E0" w:rsidP="009566E0">
            <w:pPr>
              <w:rPr>
                <w:rFonts w:ascii="Arial Narrow" w:hAnsi="Arial Narrow"/>
                <w:bCs/>
                <w:i/>
                <w:iCs/>
                <w:sz w:val="16"/>
                <w:szCs w:val="16"/>
              </w:rPr>
            </w:pPr>
            <w:r w:rsidRPr="00563BD4">
              <w:rPr>
                <w:rFonts w:ascii="Arial Narrow" w:hAnsi="Arial Narrow"/>
                <w:bCs/>
                <w:i/>
                <w:iCs/>
                <w:sz w:val="16"/>
                <w:szCs w:val="16"/>
              </w:rPr>
              <w:t>Καταπτώσεις εγγυήσεων (σε ακαθάριστη βάση)</w:t>
            </w:r>
          </w:p>
        </w:tc>
        <w:tc>
          <w:tcPr>
            <w:tcW w:w="1375"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1.651</w:t>
            </w:r>
          </w:p>
        </w:tc>
        <w:tc>
          <w:tcPr>
            <w:tcW w:w="907"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995</w:t>
            </w:r>
          </w:p>
        </w:tc>
        <w:tc>
          <w:tcPr>
            <w:tcW w:w="953"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890</w:t>
            </w:r>
          </w:p>
        </w:tc>
        <w:tc>
          <w:tcPr>
            <w:tcW w:w="907"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1.045</w:t>
            </w:r>
          </w:p>
        </w:tc>
        <w:tc>
          <w:tcPr>
            <w:tcW w:w="963"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970</w:t>
            </w:r>
          </w:p>
        </w:tc>
      </w:tr>
      <w:tr w:rsidR="009566E0" w:rsidRPr="00563BD4" w:rsidTr="008E1BB1">
        <w:trPr>
          <w:trHeight w:val="170"/>
        </w:trPr>
        <w:tc>
          <w:tcPr>
            <w:tcW w:w="263" w:type="dxa"/>
            <w:shd w:val="clear" w:color="000000" w:fill="FFFFFF"/>
            <w:hideMark/>
          </w:tcPr>
          <w:p w:rsidR="009566E0" w:rsidRPr="00563BD4" w:rsidRDefault="009566E0" w:rsidP="009566E0">
            <w:pPr>
              <w:jc w:val="right"/>
              <w:rPr>
                <w:rFonts w:ascii="Arial Narrow" w:hAnsi="Arial Narrow"/>
                <w:bCs/>
                <w:sz w:val="16"/>
                <w:szCs w:val="16"/>
              </w:rPr>
            </w:pPr>
            <w:r w:rsidRPr="00563BD4">
              <w:rPr>
                <w:rFonts w:ascii="Arial Narrow" w:hAnsi="Arial Narrow"/>
                <w:bCs/>
                <w:sz w:val="16"/>
                <w:szCs w:val="16"/>
              </w:rPr>
              <w:t> </w:t>
            </w:r>
          </w:p>
        </w:tc>
        <w:tc>
          <w:tcPr>
            <w:tcW w:w="3773" w:type="dxa"/>
            <w:shd w:val="clear" w:color="000000" w:fill="FFFFFF"/>
            <w:vAlign w:val="center"/>
            <w:hideMark/>
          </w:tcPr>
          <w:p w:rsidR="009566E0" w:rsidRPr="00563BD4" w:rsidRDefault="00742CA6" w:rsidP="009566E0">
            <w:pPr>
              <w:rPr>
                <w:rFonts w:ascii="Arial Narrow" w:hAnsi="Arial Narrow"/>
                <w:bCs/>
                <w:i/>
                <w:iCs/>
                <w:sz w:val="16"/>
                <w:szCs w:val="16"/>
              </w:rPr>
            </w:pPr>
            <w:r w:rsidRPr="00563BD4">
              <w:rPr>
                <w:rFonts w:ascii="Arial Narrow" w:hAnsi="Arial Narrow"/>
                <w:bCs/>
                <w:i/>
                <w:iCs/>
                <w:sz w:val="16"/>
                <w:szCs w:val="16"/>
              </w:rPr>
              <w:t>Αναλή</w:t>
            </w:r>
            <w:r w:rsidR="009566E0" w:rsidRPr="00563BD4">
              <w:rPr>
                <w:rFonts w:ascii="Arial Narrow" w:hAnsi="Arial Narrow"/>
                <w:bCs/>
                <w:i/>
                <w:iCs/>
                <w:sz w:val="16"/>
                <w:szCs w:val="16"/>
              </w:rPr>
              <w:t>ψεις χρεών φορέων Γενικής Κυβέρνησης</w:t>
            </w:r>
          </w:p>
        </w:tc>
        <w:tc>
          <w:tcPr>
            <w:tcW w:w="1375"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553</w:t>
            </w:r>
          </w:p>
        </w:tc>
        <w:tc>
          <w:tcPr>
            <w:tcW w:w="907"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193</w:t>
            </w:r>
          </w:p>
        </w:tc>
        <w:tc>
          <w:tcPr>
            <w:tcW w:w="953"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193</w:t>
            </w:r>
          </w:p>
        </w:tc>
        <w:tc>
          <w:tcPr>
            <w:tcW w:w="907"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0</w:t>
            </w:r>
          </w:p>
        </w:tc>
        <w:tc>
          <w:tcPr>
            <w:tcW w:w="963" w:type="dxa"/>
            <w:shd w:val="clear" w:color="000000" w:fill="FFFFFF"/>
            <w:vAlign w:val="center"/>
            <w:hideMark/>
          </w:tcPr>
          <w:p w:rsidR="009566E0" w:rsidRPr="00563BD4" w:rsidRDefault="009566E0" w:rsidP="008E1BB1">
            <w:pPr>
              <w:ind w:right="198"/>
              <w:jc w:val="right"/>
              <w:rPr>
                <w:rFonts w:ascii="Arial Narrow" w:hAnsi="Arial Narrow"/>
                <w:bCs/>
                <w:i/>
                <w:iCs/>
                <w:sz w:val="16"/>
                <w:szCs w:val="16"/>
              </w:rPr>
            </w:pPr>
            <w:r w:rsidRPr="00563BD4">
              <w:rPr>
                <w:rFonts w:ascii="Arial Narrow" w:hAnsi="Arial Narrow"/>
                <w:bCs/>
                <w:i/>
                <w:iCs/>
                <w:sz w:val="16"/>
                <w:szCs w:val="16"/>
              </w:rPr>
              <w:t>0</w:t>
            </w:r>
          </w:p>
        </w:tc>
      </w:tr>
      <w:tr w:rsidR="009566E0" w:rsidRPr="009566E0" w:rsidTr="008E1BB1">
        <w:trPr>
          <w:trHeight w:val="170"/>
        </w:trPr>
        <w:tc>
          <w:tcPr>
            <w:tcW w:w="263" w:type="dxa"/>
            <w:shd w:val="clear" w:color="000000" w:fill="FFFFFF"/>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2</w:t>
            </w:r>
          </w:p>
        </w:tc>
        <w:tc>
          <w:tcPr>
            <w:tcW w:w="3773" w:type="dxa"/>
            <w:shd w:val="clear" w:color="000000" w:fill="FFFFFF"/>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Τόκοι (σε καθαρή βάση)</w:t>
            </w:r>
          </w:p>
        </w:tc>
        <w:tc>
          <w:tcPr>
            <w:tcW w:w="1375"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5.577</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5.650</w:t>
            </w:r>
          </w:p>
        </w:tc>
        <w:tc>
          <w:tcPr>
            <w:tcW w:w="953"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6.000</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5.900</w:t>
            </w:r>
          </w:p>
        </w:tc>
        <w:tc>
          <w:tcPr>
            <w:tcW w:w="963"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5.200</w:t>
            </w:r>
          </w:p>
        </w:tc>
      </w:tr>
      <w:tr w:rsidR="009566E0" w:rsidRPr="009566E0" w:rsidTr="008E1BB1">
        <w:trPr>
          <w:trHeight w:val="170"/>
        </w:trPr>
        <w:tc>
          <w:tcPr>
            <w:tcW w:w="263" w:type="dxa"/>
            <w:shd w:val="clear" w:color="000000" w:fill="FFFFFF"/>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 </w:t>
            </w:r>
          </w:p>
        </w:tc>
        <w:tc>
          <w:tcPr>
            <w:tcW w:w="3773" w:type="dxa"/>
            <w:shd w:val="clear" w:color="000000" w:fill="FFFFFF"/>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w:t>
            </w:r>
          </w:p>
        </w:tc>
        <w:tc>
          <w:tcPr>
            <w:tcW w:w="1375"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Β.</w:t>
            </w:r>
          </w:p>
        </w:tc>
        <w:tc>
          <w:tcPr>
            <w:tcW w:w="3773" w:type="dxa"/>
            <w:shd w:val="clear" w:color="auto" w:fill="D9D9D9" w:themeFill="background1" w:themeFillShade="D9"/>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ΠΔΕ</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6.284</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6.750</w:t>
            </w:r>
          </w:p>
        </w:tc>
        <w:tc>
          <w:tcPr>
            <w:tcW w:w="95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6.750</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6.750</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6.750</w:t>
            </w:r>
          </w:p>
        </w:tc>
      </w:tr>
      <w:tr w:rsidR="009566E0" w:rsidRPr="009566E0" w:rsidTr="008E1BB1">
        <w:trPr>
          <w:trHeight w:val="170"/>
        </w:trPr>
        <w:tc>
          <w:tcPr>
            <w:tcW w:w="263" w:type="dxa"/>
            <w:shd w:val="clear" w:color="000000" w:fill="FFFFFF"/>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 </w:t>
            </w:r>
          </w:p>
        </w:tc>
        <w:tc>
          <w:tcPr>
            <w:tcW w:w="3773" w:type="dxa"/>
            <w:shd w:val="clear" w:color="000000" w:fill="FFFFFF"/>
            <w:vAlign w:val="center"/>
            <w:hideMark/>
          </w:tcPr>
          <w:p w:rsidR="009566E0" w:rsidRPr="009566E0" w:rsidRDefault="009566E0" w:rsidP="009566E0">
            <w:pPr>
              <w:rPr>
                <w:rFonts w:ascii="Arial Narrow" w:hAnsi="Arial Narrow"/>
                <w:b/>
                <w:bCs/>
                <w:sz w:val="16"/>
                <w:szCs w:val="16"/>
              </w:rPr>
            </w:pPr>
            <w:r w:rsidRPr="009566E0">
              <w:rPr>
                <w:rFonts w:ascii="Arial Narrow" w:hAnsi="Arial Narrow"/>
                <w:b/>
                <w:bCs/>
                <w:sz w:val="16"/>
                <w:szCs w:val="16"/>
              </w:rPr>
              <w:t> </w:t>
            </w:r>
          </w:p>
        </w:tc>
        <w:tc>
          <w:tcPr>
            <w:tcW w:w="1375"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53" w:type="dxa"/>
            <w:shd w:val="clear" w:color="auto" w:fill="auto"/>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07"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c>
          <w:tcPr>
            <w:tcW w:w="963" w:type="dxa"/>
            <w:shd w:val="clear" w:color="000000" w:fill="FFFFF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 </w:t>
            </w:r>
          </w:p>
        </w:tc>
      </w:tr>
      <w:tr w:rsidR="009566E0" w:rsidRPr="009566E0" w:rsidTr="00363FAE">
        <w:trPr>
          <w:trHeight w:val="170"/>
        </w:trPr>
        <w:tc>
          <w:tcPr>
            <w:tcW w:w="263" w:type="dxa"/>
            <w:shd w:val="clear" w:color="auto" w:fill="D9D9D9" w:themeFill="background1" w:themeFillShade="D9"/>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 xml:space="preserve">Γ. </w:t>
            </w:r>
          </w:p>
        </w:tc>
        <w:tc>
          <w:tcPr>
            <w:tcW w:w="3773" w:type="dxa"/>
            <w:shd w:val="clear" w:color="auto" w:fill="D9D9D9" w:themeFill="background1" w:themeFillShade="D9"/>
            <w:vAlign w:val="center"/>
            <w:hideMark/>
          </w:tcPr>
          <w:p w:rsidR="009566E0" w:rsidRPr="008E1BB1" w:rsidRDefault="009566E0" w:rsidP="009566E0">
            <w:pPr>
              <w:rPr>
                <w:rFonts w:ascii="Arial Narrow" w:hAnsi="Arial Narrow"/>
                <w:b/>
                <w:bCs/>
                <w:sz w:val="16"/>
                <w:szCs w:val="16"/>
                <w:vertAlign w:val="superscript"/>
              </w:rPr>
            </w:pPr>
            <w:r w:rsidRPr="009566E0">
              <w:rPr>
                <w:rFonts w:ascii="Arial Narrow" w:hAnsi="Arial Narrow"/>
                <w:b/>
                <w:bCs/>
                <w:sz w:val="16"/>
                <w:szCs w:val="16"/>
              </w:rPr>
              <w:t>Εθνικ</w:t>
            </w:r>
            <w:r w:rsidR="008E1BB1">
              <w:rPr>
                <w:rFonts w:ascii="Arial Narrow" w:hAnsi="Arial Narrow"/>
                <w:b/>
                <w:bCs/>
                <w:sz w:val="16"/>
                <w:szCs w:val="16"/>
              </w:rPr>
              <w:t>ολογιστικές προσαρμογές</w:t>
            </w:r>
            <w:r w:rsidR="008E1BB1">
              <w:rPr>
                <w:rFonts w:ascii="Arial Narrow" w:hAnsi="Arial Narrow"/>
                <w:b/>
                <w:bCs/>
                <w:sz w:val="16"/>
                <w:szCs w:val="16"/>
                <w:vertAlign w:val="superscript"/>
              </w:rPr>
              <w:t xml:space="preserve"> 2, 3</w:t>
            </w:r>
          </w:p>
        </w:tc>
        <w:tc>
          <w:tcPr>
            <w:tcW w:w="1375"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0</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-491</w:t>
            </w:r>
          </w:p>
        </w:tc>
        <w:tc>
          <w:tcPr>
            <w:tcW w:w="953" w:type="dxa"/>
            <w:shd w:val="clear" w:color="auto" w:fill="D9D9D9" w:themeFill="background1" w:themeFillShade="D9"/>
            <w:vAlign w:val="center"/>
            <w:hideMark/>
          </w:tcPr>
          <w:p w:rsidR="009566E0" w:rsidRPr="00E84385" w:rsidRDefault="009566E0" w:rsidP="008E1BB1">
            <w:pPr>
              <w:ind w:right="198"/>
              <w:jc w:val="right"/>
              <w:rPr>
                <w:rFonts w:ascii="Arial Narrow" w:hAnsi="Arial Narrow"/>
                <w:b/>
                <w:bCs/>
                <w:sz w:val="16"/>
                <w:szCs w:val="16"/>
              </w:rPr>
            </w:pPr>
            <w:r w:rsidRPr="00E84385">
              <w:rPr>
                <w:rFonts w:ascii="Arial Narrow" w:hAnsi="Arial Narrow"/>
                <w:b/>
                <w:bCs/>
                <w:sz w:val="16"/>
                <w:szCs w:val="16"/>
              </w:rPr>
              <w:t>-160</w:t>
            </w:r>
          </w:p>
        </w:tc>
        <w:tc>
          <w:tcPr>
            <w:tcW w:w="907"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-733</w:t>
            </w:r>
          </w:p>
        </w:tc>
        <w:tc>
          <w:tcPr>
            <w:tcW w:w="963" w:type="dxa"/>
            <w:shd w:val="clear" w:color="auto" w:fill="D9D9D9" w:themeFill="background1" w:themeFillShade="D9"/>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-1.858</w:t>
            </w:r>
          </w:p>
        </w:tc>
      </w:tr>
      <w:tr w:rsidR="009566E0" w:rsidRPr="009566E0" w:rsidTr="00363FAE">
        <w:trPr>
          <w:trHeight w:val="170"/>
        </w:trPr>
        <w:tc>
          <w:tcPr>
            <w:tcW w:w="263" w:type="dxa"/>
            <w:shd w:val="clear" w:color="auto" w:fill="BFBFBF" w:themeFill="background1" w:themeFillShade="BF"/>
            <w:hideMark/>
          </w:tcPr>
          <w:p w:rsidR="009566E0" w:rsidRPr="009566E0" w:rsidRDefault="009566E0" w:rsidP="009566E0">
            <w:pPr>
              <w:jc w:val="right"/>
              <w:rPr>
                <w:rFonts w:ascii="Arial Narrow" w:hAnsi="Arial Narrow"/>
                <w:b/>
                <w:bCs/>
                <w:sz w:val="16"/>
                <w:szCs w:val="16"/>
              </w:rPr>
            </w:pPr>
            <w:r w:rsidRPr="009566E0">
              <w:rPr>
                <w:rFonts w:ascii="Arial Narrow" w:hAnsi="Arial Narrow"/>
                <w:b/>
                <w:bCs/>
                <w:sz w:val="16"/>
                <w:szCs w:val="16"/>
              </w:rPr>
              <w:t>ΙΙ.</w:t>
            </w:r>
          </w:p>
        </w:tc>
        <w:tc>
          <w:tcPr>
            <w:tcW w:w="3773" w:type="dxa"/>
            <w:shd w:val="clear" w:color="auto" w:fill="BFBFBF" w:themeFill="background1" w:themeFillShade="BF"/>
            <w:vAlign w:val="center"/>
            <w:hideMark/>
          </w:tcPr>
          <w:p w:rsidR="008E1BB1" w:rsidRDefault="009566E0" w:rsidP="009566E0">
            <w:pPr>
              <w:rPr>
                <w:rFonts w:ascii="Arial Narrow" w:hAnsi="Arial Narrow"/>
                <w:b/>
                <w:bCs/>
                <w:sz w:val="16"/>
                <w:szCs w:val="16"/>
              </w:rPr>
            </w:pPr>
            <w:r w:rsidRPr="009566E0">
              <w:rPr>
                <w:rFonts w:ascii="Arial Narrow" w:hAnsi="Arial Narrow"/>
                <w:b/>
                <w:bCs/>
                <w:sz w:val="16"/>
                <w:szCs w:val="16"/>
              </w:rPr>
              <w:t>Σύνολο δαπανών Κρατικού Προϋπολο</w:t>
            </w:r>
            <w:r w:rsidR="008E1BB1">
              <w:rPr>
                <w:rFonts w:ascii="Arial Narrow" w:hAnsi="Arial Narrow"/>
                <w:b/>
                <w:bCs/>
                <w:sz w:val="16"/>
                <w:szCs w:val="16"/>
              </w:rPr>
              <w:t xml:space="preserve">γισμού κατά ESA </w:t>
            </w:r>
          </w:p>
          <w:p w:rsidR="009566E0" w:rsidRPr="008E1BB1" w:rsidRDefault="008E1BB1" w:rsidP="009566E0">
            <w:pPr>
              <w:rPr>
                <w:rFonts w:ascii="Arial Narrow" w:hAnsi="Arial Narrow"/>
                <w:b/>
                <w:bCs/>
                <w:sz w:val="16"/>
                <w:szCs w:val="16"/>
                <w:vertAlign w:val="superscript"/>
              </w:rPr>
            </w:pPr>
            <w:r>
              <w:rPr>
                <w:rFonts w:ascii="Arial Narrow" w:hAnsi="Arial Narrow"/>
                <w:b/>
                <w:bCs/>
                <w:sz w:val="16"/>
                <w:szCs w:val="16"/>
              </w:rPr>
              <w:t xml:space="preserve">(Ι-Γ) </w:t>
            </w:r>
            <w:r>
              <w:rPr>
                <w:rFonts w:ascii="Arial Narrow" w:hAnsi="Arial Narrow"/>
                <w:b/>
                <w:bCs/>
                <w:sz w:val="16"/>
                <w:szCs w:val="16"/>
                <w:vertAlign w:val="superscript"/>
              </w:rPr>
              <w:t>4</w:t>
            </w:r>
          </w:p>
        </w:tc>
        <w:tc>
          <w:tcPr>
            <w:tcW w:w="1375" w:type="dxa"/>
            <w:shd w:val="clear" w:color="auto" w:fill="BFBFBF" w:themeFill="background1" w:themeFillShade="B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56.949</w:t>
            </w:r>
          </w:p>
        </w:tc>
        <w:tc>
          <w:tcPr>
            <w:tcW w:w="907" w:type="dxa"/>
            <w:shd w:val="clear" w:color="auto" w:fill="BFBFBF" w:themeFill="background1" w:themeFillShade="B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57.085</w:t>
            </w:r>
          </w:p>
        </w:tc>
        <w:tc>
          <w:tcPr>
            <w:tcW w:w="953" w:type="dxa"/>
            <w:shd w:val="clear" w:color="auto" w:fill="BFBFBF" w:themeFill="background1" w:themeFillShade="BF"/>
            <w:vAlign w:val="center"/>
            <w:hideMark/>
          </w:tcPr>
          <w:p w:rsidR="009566E0" w:rsidRPr="00E84385" w:rsidRDefault="009566E0" w:rsidP="008E1BB1">
            <w:pPr>
              <w:ind w:right="198"/>
              <w:jc w:val="right"/>
              <w:rPr>
                <w:rFonts w:ascii="Arial Narrow" w:hAnsi="Arial Narrow"/>
                <w:b/>
                <w:bCs/>
                <w:color w:val="FFFFFF" w:themeColor="background1"/>
                <w:sz w:val="16"/>
                <w:szCs w:val="16"/>
              </w:rPr>
            </w:pPr>
            <w:r w:rsidRPr="00E84385">
              <w:rPr>
                <w:rFonts w:ascii="Arial Narrow" w:hAnsi="Arial Narrow"/>
                <w:b/>
                <w:bCs/>
                <w:sz w:val="16"/>
                <w:szCs w:val="16"/>
              </w:rPr>
              <w:t>57.425</w:t>
            </w:r>
          </w:p>
        </w:tc>
        <w:tc>
          <w:tcPr>
            <w:tcW w:w="907" w:type="dxa"/>
            <w:shd w:val="clear" w:color="auto" w:fill="BFBFBF" w:themeFill="background1" w:themeFillShade="B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56.837</w:t>
            </w:r>
          </w:p>
        </w:tc>
        <w:tc>
          <w:tcPr>
            <w:tcW w:w="963" w:type="dxa"/>
            <w:shd w:val="clear" w:color="auto" w:fill="BFBFBF" w:themeFill="background1" w:themeFillShade="BF"/>
            <w:vAlign w:val="center"/>
            <w:hideMark/>
          </w:tcPr>
          <w:p w:rsidR="009566E0" w:rsidRPr="009566E0" w:rsidRDefault="009566E0" w:rsidP="008E1BB1">
            <w:pPr>
              <w:ind w:right="198"/>
              <w:jc w:val="right"/>
              <w:rPr>
                <w:rFonts w:ascii="Arial Narrow" w:hAnsi="Arial Narrow"/>
                <w:b/>
                <w:bCs/>
                <w:sz w:val="16"/>
                <w:szCs w:val="16"/>
              </w:rPr>
            </w:pPr>
            <w:r w:rsidRPr="009566E0">
              <w:rPr>
                <w:rFonts w:ascii="Arial Narrow" w:hAnsi="Arial Narrow"/>
                <w:b/>
                <w:bCs/>
                <w:sz w:val="16"/>
                <w:szCs w:val="16"/>
              </w:rPr>
              <w:t>57.046</w:t>
            </w:r>
          </w:p>
        </w:tc>
      </w:tr>
    </w:tbl>
    <w:p w:rsidR="008E1BB1" w:rsidRDefault="008E1BB1" w:rsidP="008E1BB1">
      <w:pPr>
        <w:tabs>
          <w:tab w:val="left" w:pos="284"/>
        </w:tabs>
        <w:ind w:left="284" w:hanging="142"/>
        <w:jc w:val="both"/>
        <w:rPr>
          <w:rFonts w:ascii="Arial Narrow" w:hAnsi="Arial Narrow"/>
          <w:sz w:val="16"/>
          <w:szCs w:val="16"/>
        </w:rPr>
      </w:pPr>
      <w:r w:rsidRPr="008E1BB1">
        <w:rPr>
          <w:rFonts w:ascii="Arial Narrow" w:hAnsi="Arial Narrow"/>
          <w:sz w:val="16"/>
          <w:szCs w:val="16"/>
          <w:vertAlign w:val="superscript"/>
        </w:rPr>
        <w:t>1</w:t>
      </w:r>
      <w:r w:rsidRPr="008E1BB1">
        <w:rPr>
          <w:rFonts w:ascii="Arial Narrow" w:hAnsi="Arial Narrow"/>
          <w:sz w:val="16"/>
          <w:szCs w:val="16"/>
        </w:rPr>
        <w:tab/>
        <w:t>Γι</w:t>
      </w:r>
      <w:r>
        <w:rPr>
          <w:rFonts w:ascii="Arial Narrow" w:hAnsi="Arial Narrow"/>
          <w:sz w:val="16"/>
          <w:szCs w:val="16"/>
        </w:rPr>
        <w:t>α λόγους συγκρισιμότητας οι δαπάνες του έτους 2016 των Υπουργείων Μεταναστευτικής Πολιτικής και Ψηφιακής Πολιτικής, Τηλεπικοινωνιών και Ενημέρωσης αναφέρονται στις τότε μεταφερόμενες σε αυτά Γενικές Γραμματείες και υπηρεσίες.</w:t>
      </w:r>
    </w:p>
    <w:p w:rsidR="008E1BB1" w:rsidRDefault="008E1BB1" w:rsidP="008E1BB1">
      <w:pPr>
        <w:tabs>
          <w:tab w:val="left" w:pos="284"/>
        </w:tabs>
        <w:ind w:left="284" w:hanging="142"/>
        <w:jc w:val="both"/>
        <w:rPr>
          <w:rFonts w:ascii="Arial Narrow" w:hAnsi="Arial Narrow"/>
          <w:sz w:val="16"/>
          <w:szCs w:val="16"/>
        </w:rPr>
      </w:pPr>
      <w:r w:rsidRPr="008E1BB1">
        <w:rPr>
          <w:rFonts w:ascii="Arial Narrow" w:hAnsi="Arial Narrow"/>
          <w:sz w:val="16"/>
          <w:szCs w:val="16"/>
          <w:vertAlign w:val="superscript"/>
        </w:rPr>
        <w:t>2</w:t>
      </w:r>
      <w:r w:rsidRPr="008E1BB1">
        <w:rPr>
          <w:rFonts w:ascii="Arial Narrow" w:hAnsi="Arial Narrow"/>
          <w:sz w:val="16"/>
          <w:szCs w:val="16"/>
          <w:vertAlign w:val="superscript"/>
        </w:rPr>
        <w:tab/>
      </w:r>
      <w:r>
        <w:rPr>
          <w:rFonts w:ascii="Arial Narrow" w:hAnsi="Arial Narrow"/>
          <w:sz w:val="16"/>
          <w:szCs w:val="16"/>
        </w:rPr>
        <w:t>Εθνικολογιστικές προσαρμογές: (+) μείωση δαπανών / (-) αύξηση δαπανών.</w:t>
      </w:r>
    </w:p>
    <w:p w:rsidR="008E1BB1" w:rsidRDefault="008E1BB1" w:rsidP="008E1BB1">
      <w:pPr>
        <w:tabs>
          <w:tab w:val="left" w:pos="284"/>
        </w:tabs>
        <w:ind w:left="284" w:hanging="142"/>
        <w:jc w:val="both"/>
        <w:rPr>
          <w:rFonts w:ascii="Arial Narrow" w:hAnsi="Arial Narrow"/>
          <w:sz w:val="16"/>
          <w:szCs w:val="16"/>
        </w:rPr>
      </w:pPr>
      <w:r>
        <w:rPr>
          <w:rFonts w:ascii="Arial Narrow" w:hAnsi="Arial Narrow"/>
          <w:sz w:val="16"/>
          <w:szCs w:val="16"/>
          <w:vertAlign w:val="superscript"/>
        </w:rPr>
        <w:t>3</w:t>
      </w:r>
      <w:r>
        <w:rPr>
          <w:rFonts w:ascii="Arial Narrow" w:hAnsi="Arial Narrow"/>
          <w:sz w:val="16"/>
          <w:szCs w:val="16"/>
        </w:rPr>
        <w:tab/>
        <w:t>Στις εθνικολογιστικές προσαρμογές δεν έχουν περιληφθεί οι προσαρμογές που αφορούν στο υπόλοιπο των λογαριασμών Θη</w:t>
      </w:r>
      <w:r w:rsidR="00E86A1D">
        <w:rPr>
          <w:rFonts w:ascii="Arial Narrow" w:hAnsi="Arial Narrow"/>
          <w:sz w:val="16"/>
          <w:szCs w:val="16"/>
        </w:rPr>
        <w:t xml:space="preserve">σαυροφυλακίου και </w:t>
      </w:r>
      <w:r w:rsidR="00D16A56">
        <w:rPr>
          <w:rFonts w:ascii="Arial Narrow" w:hAnsi="Arial Narrow"/>
          <w:sz w:val="16"/>
          <w:szCs w:val="16"/>
        </w:rPr>
        <w:t>ε</w:t>
      </w:r>
      <w:r w:rsidR="00D16A56">
        <w:rPr>
          <w:rFonts w:ascii="Arial Narrow" w:hAnsi="Arial Narrow"/>
          <w:sz w:val="16"/>
          <w:szCs w:val="16"/>
        </w:rPr>
        <w:t xml:space="preserve">κτός </w:t>
      </w:r>
      <w:r w:rsidR="00E86A1D">
        <w:rPr>
          <w:rFonts w:ascii="Arial Narrow" w:hAnsi="Arial Narrow"/>
          <w:sz w:val="16"/>
          <w:szCs w:val="16"/>
        </w:rPr>
        <w:t>Προϋπολογισμού.</w:t>
      </w:r>
    </w:p>
    <w:p w:rsidR="00E86A1D" w:rsidRPr="00E86A1D" w:rsidRDefault="00E86A1D" w:rsidP="008E1BB1">
      <w:pPr>
        <w:tabs>
          <w:tab w:val="left" w:pos="284"/>
        </w:tabs>
        <w:ind w:left="284" w:hanging="142"/>
        <w:jc w:val="both"/>
        <w:rPr>
          <w:rFonts w:ascii="Arial Narrow" w:hAnsi="Arial Narrow"/>
          <w:sz w:val="16"/>
          <w:szCs w:val="16"/>
        </w:rPr>
      </w:pPr>
      <w:r>
        <w:rPr>
          <w:rFonts w:ascii="Arial Narrow" w:hAnsi="Arial Narrow"/>
          <w:sz w:val="16"/>
          <w:szCs w:val="16"/>
          <w:vertAlign w:val="superscript"/>
        </w:rPr>
        <w:t>4</w:t>
      </w:r>
      <w:r>
        <w:rPr>
          <w:rFonts w:ascii="Arial Narrow" w:hAnsi="Arial Narrow"/>
          <w:sz w:val="16"/>
          <w:szCs w:val="16"/>
        </w:rPr>
        <w:tab/>
        <w:t>Ο πίνακας δεν περιλαμβάνει τις χρηματοδοτήσεις για πληρωμές υποχρεώσεων προηγούμενων οικονομικών ετών (ΠΟΕ).</w:t>
      </w:r>
    </w:p>
    <w:p w:rsidR="008E1BB1" w:rsidRPr="008E1BB1" w:rsidRDefault="008E1BB1" w:rsidP="008E1BB1">
      <w:pPr>
        <w:tabs>
          <w:tab w:val="left" w:pos="284"/>
        </w:tabs>
        <w:ind w:left="284" w:hanging="142"/>
        <w:rPr>
          <w:rFonts w:ascii="Arial Narrow" w:hAnsi="Arial Narrow"/>
          <w:sz w:val="16"/>
          <w:szCs w:val="16"/>
        </w:rPr>
      </w:pPr>
    </w:p>
    <w:p w:rsidR="009566E0" w:rsidRPr="008E1BB1" w:rsidRDefault="009566E0" w:rsidP="008E1BB1">
      <w:pPr>
        <w:tabs>
          <w:tab w:val="left" w:pos="284"/>
        </w:tabs>
        <w:ind w:left="284" w:hanging="284"/>
        <w:rPr>
          <w:rFonts w:ascii="Arial Narrow" w:hAnsi="Arial Narrow"/>
          <w:sz w:val="16"/>
          <w:szCs w:val="16"/>
        </w:rPr>
      </w:pPr>
      <w:r w:rsidRPr="008E1BB1">
        <w:rPr>
          <w:rFonts w:ascii="Arial Narrow" w:hAnsi="Arial Narrow"/>
          <w:sz w:val="16"/>
          <w:szCs w:val="16"/>
        </w:rPr>
        <w:br w:type="page"/>
      </w:r>
    </w:p>
    <w:p w:rsidR="00E6117F" w:rsidRPr="00FD057F" w:rsidRDefault="00E6117F" w:rsidP="00E6117F">
      <w:pPr>
        <w:rPr>
          <w:sz w:val="22"/>
        </w:rPr>
      </w:pPr>
    </w:p>
    <w:p w:rsidR="00E6117F" w:rsidRPr="0019006E" w:rsidRDefault="00E6117F" w:rsidP="00E6117F">
      <w:pPr>
        <w:autoSpaceDE w:val="0"/>
        <w:autoSpaceDN w:val="0"/>
        <w:adjustRightInd w:val="0"/>
        <w:jc w:val="both"/>
        <w:rPr>
          <w:rFonts w:ascii="Arial Narrow" w:hAnsi="Arial Narrow"/>
          <w:b/>
          <w:i/>
          <w:sz w:val="22"/>
        </w:rPr>
      </w:pPr>
      <w:r w:rsidRPr="0019006E">
        <w:rPr>
          <w:rFonts w:ascii="Arial Narrow" w:hAnsi="Arial Narrow"/>
          <w:b/>
          <w:i/>
          <w:sz w:val="22"/>
        </w:rPr>
        <w:t>Υπουργείο Εσωτερικών</w:t>
      </w:r>
    </w:p>
    <w:p w:rsidR="00E6117F" w:rsidRPr="0019006E" w:rsidRDefault="00E6117F" w:rsidP="00E6117F">
      <w:pPr>
        <w:autoSpaceDE w:val="0"/>
        <w:autoSpaceDN w:val="0"/>
        <w:adjustRightInd w:val="0"/>
        <w:jc w:val="both"/>
        <w:rPr>
          <w:rFonts w:ascii="Arial Narrow" w:hAnsi="Arial Narrow"/>
          <w:b/>
          <w:i/>
          <w:sz w:val="22"/>
        </w:rPr>
      </w:pPr>
    </w:p>
    <w:p w:rsidR="00E6117F" w:rsidRPr="00E6117F" w:rsidRDefault="00E6117F" w:rsidP="00E6117F">
      <w:pPr>
        <w:autoSpaceDE w:val="0"/>
        <w:autoSpaceDN w:val="0"/>
        <w:adjustRightInd w:val="0"/>
        <w:jc w:val="both"/>
        <w:rPr>
          <w:rFonts w:ascii="Arial Narrow" w:hAnsi="Arial Narrow"/>
          <w:b/>
          <w:sz w:val="20"/>
          <w:szCs w:val="20"/>
        </w:rPr>
      </w:pPr>
      <w:r w:rsidRPr="00E6117F">
        <w:rPr>
          <w:rFonts w:ascii="Arial Narrow" w:hAnsi="Arial Narrow"/>
          <w:b/>
          <w:sz w:val="20"/>
          <w:szCs w:val="20"/>
        </w:rPr>
        <w:t>Πρώην Υπουργείο Εσωτερικών</w:t>
      </w:r>
    </w:p>
    <w:p w:rsidR="00E6117F" w:rsidRPr="0019006E" w:rsidRDefault="00E6117F" w:rsidP="00E6117F">
      <w:pPr>
        <w:autoSpaceDE w:val="0"/>
        <w:autoSpaceDN w:val="0"/>
        <w:adjustRightInd w:val="0"/>
        <w:jc w:val="both"/>
        <w:rPr>
          <w:rFonts w:ascii="Arial Narrow" w:hAnsi="Arial Narrow"/>
          <w:b/>
          <w:i/>
          <w:sz w:val="22"/>
        </w:rPr>
      </w:pPr>
    </w:p>
    <w:p w:rsidR="00E6117F" w:rsidRPr="0019006E" w:rsidRDefault="00E6117F" w:rsidP="00E6117F">
      <w:pPr>
        <w:autoSpaceDE w:val="0"/>
        <w:autoSpaceDN w:val="0"/>
        <w:adjustRightInd w:val="0"/>
        <w:jc w:val="both"/>
        <w:rPr>
          <w:color w:val="000000"/>
          <w:sz w:val="22"/>
          <w:szCs w:val="22"/>
        </w:rPr>
      </w:pPr>
      <w:r w:rsidRPr="0019006E">
        <w:rPr>
          <w:color w:val="000000"/>
          <w:sz w:val="22"/>
          <w:szCs w:val="22"/>
        </w:rPr>
        <w:t>Οι πιστώσεις του προϋπολογισμού</w:t>
      </w:r>
      <w:r>
        <w:rPr>
          <w:color w:val="000000"/>
          <w:sz w:val="22"/>
          <w:szCs w:val="22"/>
        </w:rPr>
        <w:t xml:space="preserve">, μεταξύ άλλων, </w:t>
      </w:r>
      <w:r w:rsidRPr="0019006E">
        <w:rPr>
          <w:color w:val="000000"/>
          <w:sz w:val="22"/>
          <w:szCs w:val="22"/>
        </w:rPr>
        <w:t>θα καλύψουν δαπάνες</w:t>
      </w:r>
      <w:r w:rsidRPr="00FF22E9">
        <w:rPr>
          <w:color w:val="000000"/>
          <w:sz w:val="22"/>
          <w:szCs w:val="22"/>
        </w:rPr>
        <w:t xml:space="preserve"> </w:t>
      </w:r>
      <w:r>
        <w:rPr>
          <w:color w:val="000000"/>
          <w:sz w:val="22"/>
          <w:szCs w:val="22"/>
        </w:rPr>
        <w:t>για</w:t>
      </w:r>
      <w:r w:rsidRPr="0019006E">
        <w:rPr>
          <w:color w:val="000000"/>
          <w:sz w:val="22"/>
          <w:szCs w:val="22"/>
        </w:rPr>
        <w:t xml:space="preserve"> τη χρηματοδότηση των πολιτικών κομμάτων</w:t>
      </w:r>
      <w:r>
        <w:rPr>
          <w:color w:val="000000"/>
          <w:sz w:val="22"/>
          <w:szCs w:val="22"/>
        </w:rPr>
        <w:t xml:space="preserve"> και δαπάνες</w:t>
      </w:r>
      <w:r w:rsidRPr="0019006E">
        <w:rPr>
          <w:color w:val="000000"/>
          <w:sz w:val="22"/>
          <w:szCs w:val="22"/>
        </w:rPr>
        <w:t xml:space="preserve"> για την Τοπική Αυτοδιοίκηση (Δήμοι-Περιφέρειες), μέσω της μ</w:t>
      </w:r>
      <w:r w:rsidRPr="0019006E">
        <w:rPr>
          <w:color w:val="000000"/>
          <w:sz w:val="22"/>
          <w:szCs w:val="22"/>
        </w:rPr>
        <w:t>ε</w:t>
      </w:r>
      <w:r w:rsidRPr="0019006E">
        <w:rPr>
          <w:color w:val="000000"/>
          <w:sz w:val="22"/>
          <w:szCs w:val="22"/>
        </w:rPr>
        <w:t>ταβίβασης πόρων</w:t>
      </w:r>
      <w:r w:rsidR="00C75ECA">
        <w:rPr>
          <w:color w:val="000000"/>
          <w:sz w:val="22"/>
          <w:szCs w:val="22"/>
        </w:rPr>
        <w:t xml:space="preserve"> για</w:t>
      </w:r>
      <w:r w:rsidRPr="0019006E">
        <w:rPr>
          <w:color w:val="000000"/>
          <w:sz w:val="22"/>
          <w:szCs w:val="22"/>
        </w:rPr>
        <w:t>:</w:t>
      </w:r>
    </w:p>
    <w:p w:rsidR="00E6117F" w:rsidRPr="0019006E" w:rsidRDefault="00E6117F" w:rsidP="00E6117F">
      <w:pPr>
        <w:autoSpaceDE w:val="0"/>
        <w:autoSpaceDN w:val="0"/>
        <w:adjustRightInd w:val="0"/>
        <w:jc w:val="both"/>
        <w:rPr>
          <w:color w:val="000000"/>
          <w:sz w:val="22"/>
          <w:szCs w:val="22"/>
        </w:rPr>
      </w:pPr>
    </w:p>
    <w:p w:rsidR="00E6117F" w:rsidRPr="0019006E" w:rsidRDefault="00E6117F" w:rsidP="00E6117F">
      <w:pPr>
        <w:numPr>
          <w:ilvl w:val="0"/>
          <w:numId w:val="5"/>
        </w:numPr>
        <w:autoSpaceDE w:val="0"/>
        <w:autoSpaceDN w:val="0"/>
        <w:adjustRightInd w:val="0"/>
        <w:ind w:left="284" w:hanging="284"/>
        <w:jc w:val="both"/>
        <w:rPr>
          <w:color w:val="000000"/>
          <w:sz w:val="22"/>
          <w:szCs w:val="22"/>
        </w:rPr>
      </w:pPr>
      <w:r w:rsidRPr="0019006E">
        <w:rPr>
          <w:color w:val="000000"/>
          <w:sz w:val="22"/>
          <w:szCs w:val="22"/>
        </w:rPr>
        <w:t>την απόδοση των Κεντρικών Αυτοτελών Πόρων (ΚΑΠ),</w:t>
      </w:r>
    </w:p>
    <w:p w:rsidR="00E6117F" w:rsidRPr="0019006E" w:rsidRDefault="00E6117F" w:rsidP="00E6117F">
      <w:pPr>
        <w:numPr>
          <w:ilvl w:val="0"/>
          <w:numId w:val="5"/>
        </w:numPr>
        <w:autoSpaceDE w:val="0"/>
        <w:autoSpaceDN w:val="0"/>
        <w:adjustRightInd w:val="0"/>
        <w:ind w:left="284" w:hanging="284"/>
        <w:jc w:val="both"/>
        <w:rPr>
          <w:color w:val="000000"/>
          <w:sz w:val="22"/>
          <w:szCs w:val="22"/>
        </w:rPr>
      </w:pPr>
      <w:r w:rsidRPr="0019006E">
        <w:rPr>
          <w:color w:val="000000"/>
          <w:sz w:val="22"/>
          <w:szCs w:val="22"/>
        </w:rPr>
        <w:t>την ειδική επιχορήγηση ενίσχυση</w:t>
      </w:r>
      <w:r w:rsidR="00C75ECA">
        <w:rPr>
          <w:color w:val="000000"/>
          <w:sz w:val="22"/>
          <w:szCs w:val="22"/>
        </w:rPr>
        <w:t>ς</w:t>
      </w:r>
      <w:r w:rsidRPr="0019006E">
        <w:rPr>
          <w:color w:val="000000"/>
          <w:sz w:val="22"/>
          <w:szCs w:val="22"/>
        </w:rPr>
        <w:t xml:space="preserve"> των ΟΤΑ (κάλυψη μισθοδοσίας δημοτικών αστυνομικών</w:t>
      </w:r>
      <w:r>
        <w:rPr>
          <w:color w:val="000000"/>
          <w:sz w:val="22"/>
          <w:szCs w:val="22"/>
        </w:rPr>
        <w:t>,</w:t>
      </w:r>
      <w:r w:rsidRPr="0019006E">
        <w:rPr>
          <w:color w:val="000000"/>
          <w:sz w:val="22"/>
          <w:szCs w:val="22"/>
        </w:rPr>
        <w:t xml:space="preserve"> κ</w:t>
      </w:r>
      <w:r w:rsidRPr="0019006E">
        <w:rPr>
          <w:color w:val="000000"/>
          <w:sz w:val="22"/>
          <w:szCs w:val="22"/>
        </w:rPr>
        <w:t>α</w:t>
      </w:r>
      <w:r w:rsidRPr="0019006E">
        <w:rPr>
          <w:color w:val="000000"/>
          <w:sz w:val="22"/>
          <w:szCs w:val="22"/>
        </w:rPr>
        <w:t>θώς και την κάλυψη του κόστους καθαρισμού των σχολικών μονάδων</w:t>
      </w:r>
      <w:r>
        <w:rPr>
          <w:color w:val="000000"/>
          <w:sz w:val="22"/>
          <w:szCs w:val="22"/>
        </w:rPr>
        <w:t xml:space="preserve"> </w:t>
      </w:r>
      <w:r w:rsidRPr="00FD057F">
        <w:rPr>
          <w:color w:val="000000"/>
          <w:sz w:val="22"/>
          <w:szCs w:val="22"/>
        </w:rPr>
        <w:t xml:space="preserve">από </w:t>
      </w:r>
      <w:r>
        <w:rPr>
          <w:color w:val="000000"/>
          <w:sz w:val="22"/>
          <w:szCs w:val="22"/>
        </w:rPr>
        <w:t>1</w:t>
      </w:r>
      <w:r w:rsidRPr="00FF22E9">
        <w:rPr>
          <w:color w:val="000000"/>
          <w:sz w:val="22"/>
          <w:szCs w:val="22"/>
          <w:vertAlign w:val="superscript"/>
        </w:rPr>
        <w:t>ης</w:t>
      </w:r>
      <w:r>
        <w:rPr>
          <w:color w:val="000000"/>
          <w:sz w:val="22"/>
          <w:szCs w:val="22"/>
        </w:rPr>
        <w:t xml:space="preserve"> Σεπτεμβρίου του </w:t>
      </w:r>
      <w:r w:rsidRPr="00FD057F">
        <w:rPr>
          <w:color w:val="000000"/>
          <w:sz w:val="22"/>
          <w:szCs w:val="22"/>
        </w:rPr>
        <w:t>2018</w:t>
      </w:r>
      <w:r>
        <w:rPr>
          <w:color w:val="000000"/>
          <w:sz w:val="22"/>
          <w:szCs w:val="22"/>
        </w:rPr>
        <w:t xml:space="preserve"> και μετέπειτα</w:t>
      </w:r>
      <w:r w:rsidR="00B26A4B">
        <w:rPr>
          <w:color w:val="000000"/>
          <w:sz w:val="22"/>
          <w:szCs w:val="22"/>
        </w:rPr>
        <w:t>)</w:t>
      </w:r>
      <w:r w:rsidRPr="0019006E">
        <w:rPr>
          <w:color w:val="000000"/>
          <w:sz w:val="22"/>
          <w:szCs w:val="22"/>
        </w:rPr>
        <w:t>.</w:t>
      </w:r>
    </w:p>
    <w:p w:rsidR="00E6117F" w:rsidRDefault="00E6117F" w:rsidP="00E6117F">
      <w:pPr>
        <w:jc w:val="both"/>
        <w:rPr>
          <w:b/>
          <w:i/>
        </w:rPr>
      </w:pPr>
    </w:p>
    <w:p w:rsidR="00E6117F" w:rsidRPr="00EC7738" w:rsidRDefault="00E6117F" w:rsidP="00E6117F">
      <w:pPr>
        <w:jc w:val="both"/>
        <w:rPr>
          <w:rFonts w:ascii="Arial Narrow" w:hAnsi="Arial Narrow"/>
          <w:b/>
          <w:sz w:val="20"/>
          <w:szCs w:val="20"/>
        </w:rPr>
      </w:pPr>
      <w:r w:rsidRPr="00EC7738">
        <w:rPr>
          <w:rFonts w:ascii="Arial Narrow" w:hAnsi="Arial Narrow"/>
          <w:b/>
          <w:sz w:val="20"/>
          <w:szCs w:val="20"/>
        </w:rPr>
        <w:t>Πρώην Υπουργείο Δημόσιας Τάξης και Προστασίας του Πολίτη</w:t>
      </w:r>
    </w:p>
    <w:p w:rsidR="00E6117F" w:rsidRPr="00FF3DF1" w:rsidRDefault="00E6117F" w:rsidP="00E6117F">
      <w:pPr>
        <w:jc w:val="both"/>
        <w:rPr>
          <w:sz w:val="22"/>
          <w:szCs w:val="22"/>
        </w:rPr>
      </w:pPr>
    </w:p>
    <w:p w:rsidR="00E6117F" w:rsidRPr="00FF3DF1" w:rsidRDefault="00E6117F" w:rsidP="00E6117F">
      <w:pPr>
        <w:jc w:val="both"/>
        <w:rPr>
          <w:sz w:val="22"/>
          <w:szCs w:val="22"/>
        </w:rPr>
      </w:pPr>
      <w:r w:rsidRPr="00FF3DF1">
        <w:rPr>
          <w:sz w:val="22"/>
          <w:szCs w:val="22"/>
        </w:rPr>
        <w:t>Έχουν προβλεφθεί πιστώσεις που θα καλύψουν δαπάνες για:</w:t>
      </w:r>
    </w:p>
    <w:p w:rsidR="00E6117F" w:rsidRPr="00FF3DF1" w:rsidRDefault="00E6117F" w:rsidP="00E6117F">
      <w:pPr>
        <w:jc w:val="both"/>
        <w:rPr>
          <w:sz w:val="22"/>
          <w:szCs w:val="22"/>
        </w:rPr>
      </w:pPr>
      <w:r w:rsidRPr="00FF3DF1">
        <w:rPr>
          <w:sz w:val="22"/>
          <w:szCs w:val="22"/>
        </w:rPr>
        <w:t xml:space="preserve"> </w:t>
      </w:r>
    </w:p>
    <w:p w:rsidR="00E6117F" w:rsidRPr="00FF3DF1" w:rsidRDefault="00E6117F" w:rsidP="00E6117F">
      <w:pPr>
        <w:numPr>
          <w:ilvl w:val="0"/>
          <w:numId w:val="10"/>
        </w:numPr>
        <w:ind w:left="360"/>
        <w:jc w:val="both"/>
        <w:rPr>
          <w:sz w:val="22"/>
          <w:szCs w:val="22"/>
        </w:rPr>
      </w:pPr>
      <w:r w:rsidRPr="00FF3DF1">
        <w:rPr>
          <w:sz w:val="22"/>
          <w:szCs w:val="22"/>
        </w:rPr>
        <w:t>τη λειτουργία των αστυνομικών επιχειρησιακών μονάδων</w:t>
      </w:r>
      <w:r w:rsidR="00C75ECA">
        <w:rPr>
          <w:sz w:val="22"/>
          <w:szCs w:val="22"/>
        </w:rPr>
        <w:t>,</w:t>
      </w:r>
      <w:r w:rsidRPr="00FF3DF1">
        <w:rPr>
          <w:sz w:val="22"/>
          <w:szCs w:val="22"/>
        </w:rPr>
        <w:t xml:space="preserve"> την αστυνόμευση και προστασία των πολιτών, την προμήθεια σύγχρονων και αποτελεσματικών μέσων προστασίας του προσωπικού, τη συντήρηση, προμήθεια ανταλλακτικών και τεχνική υποστήριξη των υπηρεσιακών οχημάτων και εξοπλισμού,</w:t>
      </w:r>
    </w:p>
    <w:p w:rsidR="00E6117F" w:rsidRPr="00FF3DF1" w:rsidRDefault="00E6117F" w:rsidP="00E6117F">
      <w:pPr>
        <w:numPr>
          <w:ilvl w:val="0"/>
          <w:numId w:val="10"/>
        </w:numPr>
        <w:ind w:left="360"/>
        <w:jc w:val="both"/>
        <w:rPr>
          <w:sz w:val="22"/>
          <w:szCs w:val="22"/>
        </w:rPr>
      </w:pPr>
      <w:r w:rsidRPr="00FF3DF1">
        <w:rPr>
          <w:sz w:val="22"/>
          <w:szCs w:val="22"/>
        </w:rPr>
        <w:t>την προστασία των δασών από πυρκαγιές με τη χρήση επίγειων μονάδων, αλλά και τη μίσθωση, την πτητική και τεχνική υποστήριξη σύγχρονων ελικοπτέρων δασοπυρόσβεσης του Πυροσβεστ</w:t>
      </w:r>
      <w:r w:rsidRPr="00FF3DF1">
        <w:rPr>
          <w:sz w:val="22"/>
          <w:szCs w:val="22"/>
        </w:rPr>
        <w:t>ι</w:t>
      </w:r>
      <w:r w:rsidRPr="00FF3DF1">
        <w:rPr>
          <w:sz w:val="22"/>
          <w:szCs w:val="22"/>
        </w:rPr>
        <w:t xml:space="preserve">κού Σώματος, </w:t>
      </w:r>
    </w:p>
    <w:p w:rsidR="00E6117F" w:rsidRPr="00FF3DF1" w:rsidRDefault="00E6117F" w:rsidP="00E6117F">
      <w:pPr>
        <w:numPr>
          <w:ilvl w:val="0"/>
          <w:numId w:val="10"/>
        </w:numPr>
        <w:ind w:left="360"/>
        <w:jc w:val="both"/>
        <w:rPr>
          <w:sz w:val="22"/>
          <w:szCs w:val="22"/>
        </w:rPr>
      </w:pPr>
      <w:r w:rsidRPr="00FF3DF1">
        <w:rPr>
          <w:sz w:val="22"/>
          <w:szCs w:val="22"/>
        </w:rPr>
        <w:t>τη σίτιση, περίθαλψη και διαμονή των αλλοδαπών στα προαναχωρησιακά κέντρα, σε εναρμόνιση με τις διεθνώς επικρατούσες συνθήκες,</w:t>
      </w:r>
    </w:p>
    <w:p w:rsidR="00E6117F" w:rsidRPr="00FF3DF1" w:rsidRDefault="00E6117F" w:rsidP="00E6117F">
      <w:pPr>
        <w:numPr>
          <w:ilvl w:val="0"/>
          <w:numId w:val="10"/>
        </w:numPr>
        <w:ind w:left="360"/>
        <w:jc w:val="both"/>
        <w:rPr>
          <w:sz w:val="22"/>
          <w:szCs w:val="22"/>
        </w:rPr>
      </w:pPr>
      <w:r w:rsidRPr="00FF3DF1">
        <w:rPr>
          <w:sz w:val="22"/>
          <w:szCs w:val="22"/>
        </w:rPr>
        <w:t>την αντιμετώπιση των συνεπειών των έκτακτων φυσικών καταστροφών.</w:t>
      </w:r>
    </w:p>
    <w:p w:rsidR="00E6117F" w:rsidRPr="003A1CA4" w:rsidRDefault="00E6117F" w:rsidP="00E6117F">
      <w:pPr>
        <w:autoSpaceDE w:val="0"/>
        <w:autoSpaceDN w:val="0"/>
        <w:adjustRightInd w:val="0"/>
        <w:jc w:val="both"/>
        <w:rPr>
          <w:rFonts w:ascii="Arial Narrow" w:hAnsi="Arial Narrow"/>
          <w:b/>
        </w:rPr>
      </w:pPr>
    </w:p>
    <w:p w:rsidR="00E6117F" w:rsidRPr="00E6117F" w:rsidRDefault="00E6117F" w:rsidP="00E6117F">
      <w:pPr>
        <w:autoSpaceDE w:val="0"/>
        <w:autoSpaceDN w:val="0"/>
        <w:adjustRightInd w:val="0"/>
        <w:jc w:val="both"/>
        <w:rPr>
          <w:rFonts w:ascii="Arial Narrow" w:hAnsi="Arial Narrow"/>
          <w:b/>
          <w:sz w:val="20"/>
          <w:szCs w:val="20"/>
        </w:rPr>
      </w:pPr>
      <w:r w:rsidRPr="00E6117F">
        <w:rPr>
          <w:rFonts w:ascii="Arial Narrow" w:hAnsi="Arial Narrow"/>
          <w:b/>
          <w:sz w:val="20"/>
          <w:szCs w:val="20"/>
        </w:rPr>
        <w:t>Πρώην Υπουργείο Μακεδονίας και Θράκης</w:t>
      </w:r>
    </w:p>
    <w:p w:rsidR="00E6117F" w:rsidRDefault="00E6117F" w:rsidP="00E6117F">
      <w:pPr>
        <w:autoSpaceDE w:val="0"/>
        <w:autoSpaceDN w:val="0"/>
        <w:adjustRightInd w:val="0"/>
        <w:jc w:val="both"/>
        <w:rPr>
          <w:color w:val="000000"/>
          <w:sz w:val="22"/>
          <w:szCs w:val="22"/>
        </w:rPr>
      </w:pPr>
    </w:p>
    <w:p w:rsidR="00E6117F" w:rsidRPr="0019006E" w:rsidRDefault="00E6117F" w:rsidP="00E6117F">
      <w:pPr>
        <w:autoSpaceDE w:val="0"/>
        <w:autoSpaceDN w:val="0"/>
        <w:adjustRightInd w:val="0"/>
        <w:jc w:val="both"/>
        <w:rPr>
          <w:color w:val="000000"/>
          <w:sz w:val="22"/>
          <w:szCs w:val="22"/>
        </w:rPr>
      </w:pPr>
      <w:r w:rsidRPr="0019006E">
        <w:rPr>
          <w:color w:val="000000"/>
          <w:sz w:val="22"/>
          <w:szCs w:val="22"/>
        </w:rPr>
        <w:t>Οι πιστώσεις του προϋπολογισμού</w:t>
      </w:r>
      <w:r>
        <w:rPr>
          <w:color w:val="000000"/>
          <w:sz w:val="22"/>
          <w:szCs w:val="22"/>
        </w:rPr>
        <w:t xml:space="preserve">, </w:t>
      </w:r>
      <w:r w:rsidRPr="0019006E">
        <w:rPr>
          <w:color w:val="000000"/>
          <w:sz w:val="22"/>
          <w:szCs w:val="22"/>
        </w:rPr>
        <w:t>θα καλύψουν,</w:t>
      </w:r>
      <w:r>
        <w:rPr>
          <w:color w:val="000000"/>
          <w:sz w:val="22"/>
          <w:szCs w:val="22"/>
        </w:rPr>
        <w:t xml:space="preserve"> πέραν των λειτουργικών του δαπανών </w:t>
      </w:r>
      <w:r w:rsidRPr="00FF22E9">
        <w:rPr>
          <w:color w:val="000000"/>
          <w:sz w:val="22"/>
          <w:szCs w:val="22"/>
        </w:rPr>
        <w:t>και</w:t>
      </w:r>
      <w:r>
        <w:rPr>
          <w:color w:val="000000"/>
          <w:sz w:val="22"/>
          <w:szCs w:val="22"/>
        </w:rPr>
        <w:t xml:space="preserve"> </w:t>
      </w:r>
      <w:r w:rsidRPr="0019006E">
        <w:rPr>
          <w:color w:val="000000"/>
          <w:sz w:val="22"/>
          <w:szCs w:val="22"/>
        </w:rPr>
        <w:t xml:space="preserve">δαπάνες για την επιχορήγηση των </w:t>
      </w:r>
      <w:r w:rsidR="00B26A4B">
        <w:rPr>
          <w:color w:val="000000"/>
          <w:sz w:val="22"/>
          <w:szCs w:val="22"/>
        </w:rPr>
        <w:t xml:space="preserve">εποπτευόμενων νομικών προσώπων </w:t>
      </w:r>
      <w:r w:rsidRPr="0019006E">
        <w:rPr>
          <w:color w:val="000000"/>
          <w:sz w:val="22"/>
          <w:szCs w:val="22"/>
        </w:rPr>
        <w:t>Κέντρο Διαφύλαξης Αγιορείτικης Κλ</w:t>
      </w:r>
      <w:r w:rsidRPr="0019006E">
        <w:rPr>
          <w:color w:val="000000"/>
          <w:sz w:val="22"/>
          <w:szCs w:val="22"/>
        </w:rPr>
        <w:t>η</w:t>
      </w:r>
      <w:r w:rsidR="00B26A4B">
        <w:rPr>
          <w:color w:val="000000"/>
          <w:sz w:val="22"/>
          <w:szCs w:val="22"/>
        </w:rPr>
        <w:t>ρονομιάς (ΚΕΔΑΚ) και Αλεξάνδρεια Ζώνη Καινοτομίας ΑΕ</w:t>
      </w:r>
      <w:r w:rsidRPr="0019006E">
        <w:rPr>
          <w:color w:val="000000"/>
          <w:sz w:val="22"/>
          <w:szCs w:val="22"/>
        </w:rPr>
        <w:t>.</w:t>
      </w:r>
    </w:p>
    <w:p w:rsidR="00EC7738" w:rsidRDefault="00EC7738" w:rsidP="00EC7738">
      <w:pPr>
        <w:jc w:val="both"/>
        <w:rPr>
          <w:color w:val="000000"/>
          <w:sz w:val="18"/>
          <w:szCs w:val="22"/>
        </w:rPr>
      </w:pPr>
    </w:p>
    <w:p w:rsidR="00E6117F" w:rsidRPr="00EC7738" w:rsidRDefault="00E6117F" w:rsidP="00E6117F">
      <w:pPr>
        <w:autoSpaceDE w:val="0"/>
        <w:autoSpaceDN w:val="0"/>
        <w:adjustRightInd w:val="0"/>
        <w:jc w:val="both"/>
        <w:rPr>
          <w:rFonts w:ascii="Arial Narrow" w:hAnsi="Arial Narrow"/>
          <w:b/>
          <w:i/>
          <w:sz w:val="22"/>
        </w:rPr>
      </w:pPr>
      <w:r w:rsidRPr="00EC7738">
        <w:rPr>
          <w:rFonts w:ascii="Arial Narrow" w:hAnsi="Arial Narrow"/>
          <w:b/>
          <w:i/>
          <w:sz w:val="22"/>
        </w:rPr>
        <w:t xml:space="preserve">Υπουργείο Οικονομίας και Ανάπτυξης </w:t>
      </w:r>
    </w:p>
    <w:p w:rsidR="00E6117F" w:rsidRPr="00FF3DF1" w:rsidRDefault="00E6117F" w:rsidP="00E6117F">
      <w:pPr>
        <w:autoSpaceDE w:val="0"/>
        <w:autoSpaceDN w:val="0"/>
        <w:adjustRightInd w:val="0"/>
        <w:jc w:val="both"/>
        <w:rPr>
          <w:b/>
          <w:color w:val="000000"/>
          <w:sz w:val="22"/>
          <w:szCs w:val="22"/>
        </w:rPr>
      </w:pPr>
    </w:p>
    <w:p w:rsidR="00E6117F" w:rsidRPr="00FF3DF1" w:rsidRDefault="00E6117F" w:rsidP="00E6117F">
      <w:pPr>
        <w:autoSpaceDE w:val="0"/>
        <w:autoSpaceDN w:val="0"/>
        <w:adjustRightInd w:val="0"/>
        <w:jc w:val="both"/>
        <w:rPr>
          <w:color w:val="000000"/>
          <w:sz w:val="22"/>
          <w:szCs w:val="22"/>
        </w:rPr>
      </w:pPr>
      <w:r w:rsidRPr="00FF3DF1">
        <w:rPr>
          <w:color w:val="000000"/>
          <w:sz w:val="22"/>
          <w:szCs w:val="22"/>
        </w:rPr>
        <w:t xml:space="preserve">Οι πιστώσεις προβλέπεται να καλύψουν κυρίως δαπάνες για: </w:t>
      </w:r>
    </w:p>
    <w:p w:rsidR="00E6117F" w:rsidRPr="00FF3DF1" w:rsidRDefault="00E6117F" w:rsidP="00E6117F">
      <w:pPr>
        <w:autoSpaceDE w:val="0"/>
        <w:autoSpaceDN w:val="0"/>
        <w:adjustRightInd w:val="0"/>
        <w:jc w:val="both"/>
        <w:rPr>
          <w:color w:val="000000"/>
          <w:sz w:val="22"/>
          <w:szCs w:val="22"/>
        </w:rPr>
      </w:pPr>
    </w:p>
    <w:p w:rsidR="00E6117F" w:rsidRPr="00FF3DF1" w:rsidRDefault="00E6117F" w:rsidP="00E6117F">
      <w:pPr>
        <w:pStyle w:val="af2"/>
        <w:numPr>
          <w:ilvl w:val="0"/>
          <w:numId w:val="39"/>
        </w:numPr>
        <w:autoSpaceDE w:val="0"/>
        <w:autoSpaceDN w:val="0"/>
        <w:adjustRightInd w:val="0"/>
        <w:spacing w:after="0" w:line="240" w:lineRule="auto"/>
        <w:ind w:left="284" w:hanging="284"/>
        <w:contextualSpacing w:val="0"/>
        <w:jc w:val="both"/>
        <w:rPr>
          <w:rFonts w:ascii="Times New Roman" w:hAnsi="Times New Roman"/>
          <w:color w:val="000000"/>
        </w:rPr>
      </w:pPr>
      <w:r w:rsidRPr="00FF3DF1">
        <w:rPr>
          <w:rFonts w:ascii="Times New Roman" w:hAnsi="Times New Roman"/>
          <w:color w:val="000000"/>
        </w:rPr>
        <w:t>τη συνεισφορά του Ελληνικού Δημοσίου για την προστασία της κύριας κατοικίας των υπερχρε</w:t>
      </w:r>
      <w:r w:rsidRPr="00FF3DF1">
        <w:rPr>
          <w:rFonts w:ascii="Times New Roman" w:hAnsi="Times New Roman"/>
          <w:color w:val="000000"/>
        </w:rPr>
        <w:t>ω</w:t>
      </w:r>
      <w:r w:rsidRPr="00FF3DF1">
        <w:rPr>
          <w:rFonts w:ascii="Times New Roman" w:hAnsi="Times New Roman"/>
          <w:color w:val="000000"/>
        </w:rPr>
        <w:t>μένων νοικοκυριών,</w:t>
      </w:r>
    </w:p>
    <w:p w:rsidR="00E6117F" w:rsidRPr="00FF3DF1" w:rsidRDefault="00E6117F" w:rsidP="00E6117F">
      <w:pPr>
        <w:numPr>
          <w:ilvl w:val="0"/>
          <w:numId w:val="6"/>
        </w:numPr>
        <w:autoSpaceDE w:val="0"/>
        <w:autoSpaceDN w:val="0"/>
        <w:adjustRightInd w:val="0"/>
        <w:ind w:left="284" w:hanging="284"/>
        <w:jc w:val="both"/>
        <w:rPr>
          <w:color w:val="000000"/>
          <w:sz w:val="22"/>
          <w:szCs w:val="22"/>
        </w:rPr>
      </w:pPr>
      <w:r w:rsidRPr="00FF3DF1">
        <w:rPr>
          <w:color w:val="000000"/>
          <w:sz w:val="22"/>
          <w:szCs w:val="22"/>
        </w:rPr>
        <w:t>την ενίσχυση της επιχειρηματικότητας, την προσέλκυση παραγωγικών ιδιωτικών επενδύσεων και τη βελτίωση της ανταγωνιστικότητας της οικονομίας,</w:t>
      </w:r>
    </w:p>
    <w:p w:rsidR="00E6117F" w:rsidRPr="00FF3DF1" w:rsidRDefault="00E6117F" w:rsidP="00E6117F">
      <w:pPr>
        <w:numPr>
          <w:ilvl w:val="0"/>
          <w:numId w:val="6"/>
        </w:numPr>
        <w:autoSpaceDE w:val="0"/>
        <w:autoSpaceDN w:val="0"/>
        <w:adjustRightInd w:val="0"/>
        <w:ind w:left="284" w:hanging="284"/>
        <w:jc w:val="both"/>
        <w:rPr>
          <w:color w:val="000000"/>
          <w:sz w:val="22"/>
          <w:szCs w:val="22"/>
        </w:rPr>
      </w:pPr>
      <w:r w:rsidRPr="00FF3DF1">
        <w:rPr>
          <w:color w:val="000000"/>
          <w:sz w:val="22"/>
          <w:szCs w:val="22"/>
        </w:rPr>
        <w:t xml:space="preserve">τη δημιουργία κατάλληλου επιχειρηματικού περιβάλλοντος για την ανάπτυξη της καινοτομίας, της βιομηχανίας και των μεσαίων, μικρών και πολύ μικρών επιχειρήσεων, </w:t>
      </w:r>
    </w:p>
    <w:p w:rsidR="00E6117F" w:rsidRPr="00FF3DF1" w:rsidRDefault="00E6117F" w:rsidP="00E6117F">
      <w:pPr>
        <w:numPr>
          <w:ilvl w:val="0"/>
          <w:numId w:val="6"/>
        </w:numPr>
        <w:autoSpaceDE w:val="0"/>
        <w:autoSpaceDN w:val="0"/>
        <w:adjustRightInd w:val="0"/>
        <w:ind w:left="284" w:hanging="284"/>
        <w:jc w:val="both"/>
        <w:rPr>
          <w:color w:val="000000"/>
          <w:sz w:val="22"/>
          <w:szCs w:val="22"/>
        </w:rPr>
      </w:pPr>
      <w:r w:rsidRPr="00FF3DF1">
        <w:rPr>
          <w:color w:val="000000"/>
          <w:sz w:val="22"/>
          <w:szCs w:val="22"/>
        </w:rPr>
        <w:t>την εξασφάλιση της λειτουργίας των βιομηχανικών και βιοτεχνικών δραστηριοτήτων και άσκησης των τεχνικών επαγγελμάτων, καθώς και την ενίσχυση της ασφάλειας και της ποιότητας των βιομ</w:t>
      </w:r>
      <w:r w:rsidRPr="00FF3DF1">
        <w:rPr>
          <w:color w:val="000000"/>
          <w:sz w:val="22"/>
          <w:szCs w:val="22"/>
        </w:rPr>
        <w:t>η</w:t>
      </w:r>
      <w:r w:rsidRPr="00FF3DF1">
        <w:rPr>
          <w:color w:val="000000"/>
          <w:sz w:val="22"/>
          <w:szCs w:val="22"/>
        </w:rPr>
        <w:t>χανικών προϊόντων και υπηρεσιών,</w:t>
      </w:r>
    </w:p>
    <w:p w:rsidR="00E6117F" w:rsidRPr="00FF3DF1" w:rsidRDefault="00E6117F" w:rsidP="00E6117F">
      <w:pPr>
        <w:numPr>
          <w:ilvl w:val="0"/>
          <w:numId w:val="6"/>
        </w:numPr>
        <w:autoSpaceDE w:val="0"/>
        <w:autoSpaceDN w:val="0"/>
        <w:adjustRightInd w:val="0"/>
        <w:ind w:left="284" w:hanging="284"/>
        <w:jc w:val="both"/>
        <w:rPr>
          <w:color w:val="000000"/>
          <w:sz w:val="22"/>
          <w:szCs w:val="22"/>
        </w:rPr>
      </w:pPr>
      <w:r w:rsidRPr="00FF3DF1">
        <w:rPr>
          <w:color w:val="000000"/>
          <w:sz w:val="22"/>
          <w:szCs w:val="22"/>
        </w:rPr>
        <w:t>τη χάραξη στρατηγικής διεθνούς εμπορίου, την ανάπτυξη των διεθνών εμπορικών και οικονομικών σχέσεων και της διεθνούς συνεργασίας για την προώθηση των ελληνικών προϊόντων και υπηρ</w:t>
      </w:r>
      <w:r w:rsidRPr="00FF3DF1">
        <w:rPr>
          <w:color w:val="000000"/>
          <w:sz w:val="22"/>
          <w:szCs w:val="22"/>
        </w:rPr>
        <w:t>ε</w:t>
      </w:r>
      <w:r w:rsidRPr="00FF3DF1">
        <w:rPr>
          <w:color w:val="000000"/>
          <w:sz w:val="22"/>
          <w:szCs w:val="22"/>
        </w:rPr>
        <w:t>σιών στη διεθνή αγορά,</w:t>
      </w:r>
    </w:p>
    <w:p w:rsidR="00E6117F" w:rsidRPr="00FF3DF1" w:rsidRDefault="00E6117F" w:rsidP="00E6117F">
      <w:pPr>
        <w:numPr>
          <w:ilvl w:val="0"/>
          <w:numId w:val="6"/>
        </w:numPr>
        <w:autoSpaceDE w:val="0"/>
        <w:autoSpaceDN w:val="0"/>
        <w:adjustRightInd w:val="0"/>
        <w:ind w:left="284" w:hanging="284"/>
        <w:jc w:val="both"/>
        <w:rPr>
          <w:color w:val="000000"/>
          <w:sz w:val="22"/>
          <w:szCs w:val="22"/>
        </w:rPr>
      </w:pPr>
      <w:r w:rsidRPr="00FF3DF1">
        <w:rPr>
          <w:color w:val="000000"/>
          <w:sz w:val="22"/>
          <w:szCs w:val="22"/>
        </w:rPr>
        <w:t xml:space="preserve">την προσέλκυση, υποστήριξη και διατήρηση επενδύσεων στην Ελλάδα, </w:t>
      </w:r>
    </w:p>
    <w:p w:rsidR="00E6117F" w:rsidRPr="00FF3DF1" w:rsidRDefault="00E6117F" w:rsidP="00E6117F">
      <w:pPr>
        <w:numPr>
          <w:ilvl w:val="0"/>
          <w:numId w:val="6"/>
        </w:numPr>
        <w:autoSpaceDE w:val="0"/>
        <w:autoSpaceDN w:val="0"/>
        <w:adjustRightInd w:val="0"/>
        <w:ind w:left="284" w:hanging="284"/>
        <w:jc w:val="both"/>
        <w:rPr>
          <w:color w:val="000000"/>
          <w:sz w:val="22"/>
          <w:szCs w:val="22"/>
        </w:rPr>
      </w:pPr>
      <w:r w:rsidRPr="00FF3DF1">
        <w:rPr>
          <w:color w:val="000000"/>
          <w:sz w:val="22"/>
          <w:szCs w:val="22"/>
        </w:rPr>
        <w:t xml:space="preserve">την ανάπτυξη και προώθηση των εξαγωγών, </w:t>
      </w:r>
    </w:p>
    <w:p w:rsidR="00E6117F" w:rsidRPr="00FF3DF1" w:rsidRDefault="00E6117F" w:rsidP="00E6117F">
      <w:pPr>
        <w:numPr>
          <w:ilvl w:val="0"/>
          <w:numId w:val="6"/>
        </w:numPr>
        <w:autoSpaceDE w:val="0"/>
        <w:autoSpaceDN w:val="0"/>
        <w:adjustRightInd w:val="0"/>
        <w:ind w:left="284" w:hanging="284"/>
        <w:jc w:val="both"/>
        <w:rPr>
          <w:color w:val="000000"/>
          <w:sz w:val="22"/>
          <w:szCs w:val="22"/>
        </w:rPr>
      </w:pPr>
      <w:r w:rsidRPr="00FF3DF1">
        <w:rPr>
          <w:color w:val="000000"/>
          <w:sz w:val="22"/>
          <w:szCs w:val="22"/>
        </w:rPr>
        <w:lastRenderedPageBreak/>
        <w:t xml:space="preserve">τη διασφάλιση της εύρυθμης λειτουργίας της αγοράς προς όφελος των καταναλωτών και του </w:t>
      </w:r>
      <w:r w:rsidRPr="00FF3DF1">
        <w:rPr>
          <w:color w:val="000000"/>
          <w:sz w:val="22"/>
          <w:szCs w:val="22"/>
        </w:rPr>
        <w:t>υ</w:t>
      </w:r>
      <w:r w:rsidRPr="00FF3DF1">
        <w:rPr>
          <w:color w:val="000000"/>
          <w:sz w:val="22"/>
          <w:szCs w:val="22"/>
        </w:rPr>
        <w:t>γιούς ανταγωνισμού των επιχειρήσεων, καθώς και την προάσπιση των δικαιωμάτων των καταν</w:t>
      </w:r>
      <w:r w:rsidRPr="00FF3DF1">
        <w:rPr>
          <w:color w:val="000000"/>
          <w:sz w:val="22"/>
          <w:szCs w:val="22"/>
        </w:rPr>
        <w:t>α</w:t>
      </w:r>
      <w:r w:rsidRPr="00FF3DF1">
        <w:rPr>
          <w:color w:val="000000"/>
          <w:sz w:val="22"/>
          <w:szCs w:val="22"/>
        </w:rPr>
        <w:t xml:space="preserve">λωτών, την πληροφόρηση και ενημέρωσή τους, </w:t>
      </w:r>
    </w:p>
    <w:p w:rsidR="00E6117F" w:rsidRPr="00FF3DF1" w:rsidRDefault="00E6117F" w:rsidP="00E6117F">
      <w:pPr>
        <w:numPr>
          <w:ilvl w:val="0"/>
          <w:numId w:val="6"/>
        </w:numPr>
        <w:autoSpaceDE w:val="0"/>
        <w:autoSpaceDN w:val="0"/>
        <w:adjustRightInd w:val="0"/>
        <w:ind w:left="284" w:hanging="284"/>
        <w:jc w:val="both"/>
        <w:rPr>
          <w:color w:val="000000"/>
          <w:sz w:val="22"/>
          <w:szCs w:val="22"/>
        </w:rPr>
      </w:pPr>
      <w:r w:rsidRPr="00FF3DF1">
        <w:rPr>
          <w:color w:val="000000"/>
          <w:sz w:val="22"/>
          <w:szCs w:val="22"/>
        </w:rPr>
        <w:t>τη λειτουργία της Ανεξάρτητης Αρχής του Συνηγόρου του Καταναλωτή και</w:t>
      </w:r>
    </w:p>
    <w:p w:rsidR="00E6117F" w:rsidRPr="00FF3DF1" w:rsidRDefault="00E6117F" w:rsidP="00E6117F">
      <w:pPr>
        <w:numPr>
          <w:ilvl w:val="0"/>
          <w:numId w:val="6"/>
        </w:numPr>
        <w:autoSpaceDE w:val="0"/>
        <w:autoSpaceDN w:val="0"/>
        <w:adjustRightInd w:val="0"/>
        <w:ind w:left="284" w:hanging="284"/>
        <w:jc w:val="both"/>
        <w:rPr>
          <w:color w:val="000000"/>
          <w:sz w:val="22"/>
          <w:szCs w:val="22"/>
        </w:rPr>
      </w:pPr>
      <w:r w:rsidRPr="00FF3DF1">
        <w:rPr>
          <w:color w:val="000000"/>
          <w:sz w:val="22"/>
          <w:szCs w:val="22"/>
        </w:rPr>
        <w:t>τη λειτουργία της νεοσύστατης Ειδικής Γραμματείας Διαχείρισης Ιδιωτικού Χρέους.</w:t>
      </w:r>
    </w:p>
    <w:p w:rsidR="00E6117F" w:rsidRPr="0019006E" w:rsidRDefault="00E6117F" w:rsidP="00E6117F">
      <w:pPr>
        <w:autoSpaceDE w:val="0"/>
        <w:autoSpaceDN w:val="0"/>
        <w:adjustRightInd w:val="0"/>
        <w:jc w:val="both"/>
        <w:rPr>
          <w:color w:val="000000"/>
          <w:sz w:val="22"/>
          <w:szCs w:val="22"/>
        </w:rPr>
      </w:pPr>
    </w:p>
    <w:p w:rsidR="00E6117F" w:rsidRPr="00EC7738" w:rsidRDefault="00E6117F" w:rsidP="00EC7738">
      <w:pPr>
        <w:autoSpaceDE w:val="0"/>
        <w:autoSpaceDN w:val="0"/>
        <w:adjustRightInd w:val="0"/>
        <w:jc w:val="both"/>
        <w:rPr>
          <w:rFonts w:ascii="Arial Narrow" w:hAnsi="Arial Narrow"/>
          <w:b/>
          <w:i/>
          <w:sz w:val="22"/>
        </w:rPr>
      </w:pPr>
      <w:r w:rsidRPr="00EC7738">
        <w:rPr>
          <w:rFonts w:ascii="Arial Narrow" w:hAnsi="Arial Narrow"/>
          <w:b/>
          <w:i/>
          <w:sz w:val="22"/>
        </w:rPr>
        <w:t>Υπουργείο Ψηφιακής Πολιτικής, Τηλεπικοινωνιών και Ενημέρωσης</w:t>
      </w:r>
    </w:p>
    <w:p w:rsidR="00E6117F" w:rsidRPr="00FF3DF1" w:rsidRDefault="00E6117F" w:rsidP="00E6117F">
      <w:pPr>
        <w:jc w:val="both"/>
        <w:rPr>
          <w:sz w:val="22"/>
          <w:szCs w:val="22"/>
        </w:rPr>
      </w:pPr>
    </w:p>
    <w:p w:rsidR="00E6117F" w:rsidRPr="00FF3DF1" w:rsidRDefault="00E6117F" w:rsidP="00E6117F">
      <w:pPr>
        <w:autoSpaceDE w:val="0"/>
        <w:autoSpaceDN w:val="0"/>
        <w:adjustRightInd w:val="0"/>
        <w:jc w:val="both"/>
        <w:rPr>
          <w:sz w:val="22"/>
          <w:szCs w:val="22"/>
        </w:rPr>
      </w:pPr>
      <w:r w:rsidRPr="00FF3DF1">
        <w:rPr>
          <w:sz w:val="22"/>
          <w:szCs w:val="22"/>
        </w:rPr>
        <w:t>Στον προϋπολογισμό του Υπουργείου</w:t>
      </w:r>
      <w:r>
        <w:rPr>
          <w:sz w:val="22"/>
          <w:szCs w:val="22"/>
        </w:rPr>
        <w:t xml:space="preserve"> </w:t>
      </w:r>
      <w:r w:rsidRPr="00FF3DF1">
        <w:rPr>
          <w:sz w:val="22"/>
          <w:szCs w:val="22"/>
        </w:rPr>
        <w:t>έχουν προβλεφθεί πιστώσεις για την εκτέλεση της αποστολής του Υπουργείου και ειδικότερα για τη χάραξη και εφαρμογή εθνικής επικοινωνιακής και ψηφιακής πολιτικής, την ανάπτυξη τηλεπικοινωνιακών και ταχυδρομικών υπηρεσιών υψηλής ποιότητας</w:t>
      </w:r>
      <w:r w:rsidR="00C75ECA">
        <w:rPr>
          <w:sz w:val="22"/>
          <w:szCs w:val="22"/>
        </w:rPr>
        <w:t>,</w:t>
      </w:r>
      <w:r w:rsidRPr="00FF3DF1">
        <w:rPr>
          <w:sz w:val="22"/>
          <w:szCs w:val="22"/>
        </w:rPr>
        <w:t xml:space="preserve"> καθώς και τη συμμετοχή στη διαμόρφωση κατάλληλου θεσμικού πλαισίου σε ευρωπαϊκό και διεθνές επίπ</w:t>
      </w:r>
      <w:r w:rsidRPr="00FF3DF1">
        <w:rPr>
          <w:sz w:val="22"/>
          <w:szCs w:val="22"/>
        </w:rPr>
        <w:t>ε</w:t>
      </w:r>
      <w:r w:rsidRPr="00FF3DF1">
        <w:rPr>
          <w:sz w:val="22"/>
          <w:szCs w:val="22"/>
        </w:rPr>
        <w:t>δο. Επίσης, περιλαμβάνονται και πιστώσεις για το Εθνικό Ραδιοτηλεοπτικό Συμβούλιο.</w:t>
      </w:r>
    </w:p>
    <w:p w:rsidR="00E6117F" w:rsidRDefault="00E6117F" w:rsidP="00E6117F">
      <w:pPr>
        <w:autoSpaceDE w:val="0"/>
        <w:autoSpaceDN w:val="0"/>
        <w:adjustRightInd w:val="0"/>
        <w:jc w:val="both"/>
        <w:rPr>
          <w:rFonts w:ascii="Arial Narrow" w:hAnsi="Arial Narrow"/>
          <w:b/>
          <w:i/>
          <w:sz w:val="22"/>
        </w:rPr>
      </w:pPr>
    </w:p>
    <w:p w:rsidR="00E6117F" w:rsidRPr="000E7378" w:rsidRDefault="00E6117F" w:rsidP="00E6117F">
      <w:pPr>
        <w:autoSpaceDE w:val="0"/>
        <w:autoSpaceDN w:val="0"/>
        <w:adjustRightInd w:val="0"/>
        <w:jc w:val="both"/>
        <w:rPr>
          <w:rFonts w:ascii="Arial Narrow" w:hAnsi="Arial Narrow"/>
          <w:b/>
          <w:i/>
          <w:sz w:val="22"/>
        </w:rPr>
      </w:pPr>
      <w:r w:rsidRPr="00275E97">
        <w:rPr>
          <w:rFonts w:ascii="Arial Narrow" w:hAnsi="Arial Narrow"/>
          <w:b/>
          <w:i/>
          <w:sz w:val="22"/>
        </w:rPr>
        <w:t>Υπουργείο Εθνικής Άμυνας</w:t>
      </w:r>
    </w:p>
    <w:p w:rsidR="00E6117F" w:rsidRPr="00AD6DF4" w:rsidRDefault="00E6117F" w:rsidP="00E6117F">
      <w:pPr>
        <w:autoSpaceDE w:val="0"/>
        <w:autoSpaceDN w:val="0"/>
        <w:adjustRightInd w:val="0"/>
        <w:jc w:val="both"/>
        <w:rPr>
          <w:rFonts w:ascii="Arial Narrow" w:hAnsi="Arial Narrow"/>
          <w:b/>
          <w:i/>
          <w:sz w:val="22"/>
        </w:rPr>
      </w:pPr>
    </w:p>
    <w:p w:rsidR="00E6117F" w:rsidRPr="000E7378" w:rsidRDefault="00E6117F" w:rsidP="00E6117F">
      <w:pPr>
        <w:autoSpaceDE w:val="0"/>
        <w:autoSpaceDN w:val="0"/>
        <w:adjustRightInd w:val="0"/>
        <w:jc w:val="both"/>
        <w:rPr>
          <w:color w:val="000000"/>
          <w:sz w:val="22"/>
          <w:szCs w:val="22"/>
        </w:rPr>
      </w:pPr>
      <w:r w:rsidRPr="00275E97">
        <w:rPr>
          <w:color w:val="000000"/>
          <w:sz w:val="22"/>
          <w:szCs w:val="22"/>
        </w:rPr>
        <w:t>Έχουν προβλεφθεί πιστώσεις που θα καλύψουν δαπάνες για:</w:t>
      </w:r>
    </w:p>
    <w:p w:rsidR="00E6117F" w:rsidRPr="000E7378" w:rsidRDefault="00E6117F" w:rsidP="00E6117F">
      <w:pPr>
        <w:autoSpaceDE w:val="0"/>
        <w:autoSpaceDN w:val="0"/>
        <w:adjustRightInd w:val="0"/>
        <w:jc w:val="both"/>
        <w:rPr>
          <w:color w:val="000000"/>
          <w:sz w:val="22"/>
          <w:szCs w:val="22"/>
        </w:rPr>
      </w:pPr>
    </w:p>
    <w:p w:rsidR="00E6117F" w:rsidRPr="00275E97" w:rsidRDefault="00E6117F" w:rsidP="00E6117F">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περίθαλψη των στελεχών των Ενόπλων Δυνάμεων,</w:t>
      </w:r>
    </w:p>
    <w:p w:rsidR="00E6117F" w:rsidRPr="00275E97" w:rsidRDefault="00E6117F" w:rsidP="00E6117F">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εκπαίδευση και κατάρτιση του προσωπικού,</w:t>
      </w:r>
    </w:p>
    <w:p w:rsidR="00E6117F" w:rsidRPr="00275E97" w:rsidRDefault="00E6117F" w:rsidP="00E6117F">
      <w:pPr>
        <w:numPr>
          <w:ilvl w:val="0"/>
          <w:numId w:val="1"/>
        </w:numPr>
        <w:autoSpaceDE w:val="0"/>
        <w:autoSpaceDN w:val="0"/>
        <w:adjustRightInd w:val="0"/>
        <w:ind w:left="284" w:hanging="284"/>
        <w:jc w:val="both"/>
        <w:rPr>
          <w:color w:val="000000"/>
          <w:sz w:val="22"/>
          <w:szCs w:val="22"/>
        </w:rPr>
      </w:pPr>
      <w:r w:rsidRPr="00275E97">
        <w:rPr>
          <w:color w:val="000000"/>
          <w:sz w:val="22"/>
          <w:szCs w:val="22"/>
        </w:rPr>
        <w:t>τη συμμετοχή των Ενόπλων Δυνάμεων σε ειρηνευτικές αποστολές,</w:t>
      </w:r>
    </w:p>
    <w:p w:rsidR="00E6117F" w:rsidRDefault="00E6117F" w:rsidP="00E6117F">
      <w:pPr>
        <w:numPr>
          <w:ilvl w:val="0"/>
          <w:numId w:val="1"/>
        </w:numPr>
        <w:autoSpaceDE w:val="0"/>
        <w:autoSpaceDN w:val="0"/>
        <w:adjustRightInd w:val="0"/>
        <w:ind w:left="284" w:hanging="284"/>
        <w:jc w:val="both"/>
        <w:rPr>
          <w:color w:val="000000"/>
          <w:sz w:val="22"/>
          <w:szCs w:val="22"/>
        </w:rPr>
      </w:pPr>
      <w:r w:rsidRPr="00275E97">
        <w:rPr>
          <w:color w:val="000000"/>
          <w:sz w:val="22"/>
          <w:szCs w:val="22"/>
        </w:rPr>
        <w:t>την προμήθεια καυσίμων και υγειονομικού υλικού για τα στρατιωτικά νοσοκομεία</w:t>
      </w:r>
      <w:r>
        <w:rPr>
          <w:color w:val="000000"/>
          <w:sz w:val="22"/>
          <w:szCs w:val="22"/>
        </w:rPr>
        <w:t>,</w:t>
      </w:r>
      <w:r w:rsidRPr="00275E97">
        <w:rPr>
          <w:color w:val="000000"/>
          <w:sz w:val="22"/>
          <w:szCs w:val="22"/>
        </w:rPr>
        <w:t xml:space="preserve"> </w:t>
      </w:r>
    </w:p>
    <w:p w:rsidR="00E6117F" w:rsidRPr="00F46EE3" w:rsidRDefault="00E6117F" w:rsidP="00E6117F">
      <w:pPr>
        <w:numPr>
          <w:ilvl w:val="0"/>
          <w:numId w:val="1"/>
        </w:numPr>
        <w:autoSpaceDE w:val="0"/>
        <w:autoSpaceDN w:val="0"/>
        <w:adjustRightInd w:val="0"/>
        <w:ind w:left="284" w:hanging="284"/>
        <w:jc w:val="both"/>
        <w:rPr>
          <w:color w:val="000000"/>
          <w:sz w:val="22"/>
          <w:szCs w:val="22"/>
        </w:rPr>
      </w:pPr>
      <w:r>
        <w:rPr>
          <w:color w:val="000000"/>
          <w:sz w:val="22"/>
          <w:szCs w:val="22"/>
        </w:rPr>
        <w:t>τις εθνικές υποχρεώσεις που απορρέουν από τη συμμετοχή της Ελλάδας στο ΝΑΤΟ,</w:t>
      </w:r>
    </w:p>
    <w:p w:rsidR="00E6117F" w:rsidRDefault="00E6117F" w:rsidP="00E6117F">
      <w:pPr>
        <w:numPr>
          <w:ilvl w:val="0"/>
          <w:numId w:val="1"/>
        </w:numPr>
        <w:autoSpaceDE w:val="0"/>
        <w:autoSpaceDN w:val="0"/>
        <w:adjustRightInd w:val="0"/>
        <w:ind w:left="284" w:hanging="284"/>
        <w:jc w:val="both"/>
        <w:rPr>
          <w:color w:val="000000"/>
          <w:sz w:val="22"/>
          <w:szCs w:val="22"/>
        </w:rPr>
      </w:pPr>
      <w:r w:rsidRPr="005512EC">
        <w:rPr>
          <w:color w:val="000000"/>
          <w:sz w:val="22"/>
          <w:szCs w:val="22"/>
        </w:rPr>
        <w:t>τις εισφορές της Εθνικής Μετεωρολογικής Υπηρεσίας σε Διεθνείς Οργανισμούς και</w:t>
      </w:r>
    </w:p>
    <w:p w:rsidR="00E6117F" w:rsidRPr="005512EC" w:rsidRDefault="00E6117F" w:rsidP="00E6117F">
      <w:pPr>
        <w:numPr>
          <w:ilvl w:val="0"/>
          <w:numId w:val="1"/>
        </w:numPr>
        <w:autoSpaceDE w:val="0"/>
        <w:autoSpaceDN w:val="0"/>
        <w:adjustRightInd w:val="0"/>
        <w:ind w:left="284" w:hanging="284"/>
        <w:jc w:val="both"/>
        <w:rPr>
          <w:color w:val="000000"/>
          <w:sz w:val="22"/>
          <w:szCs w:val="22"/>
        </w:rPr>
      </w:pPr>
      <w:r w:rsidRPr="005512EC">
        <w:rPr>
          <w:color w:val="000000"/>
          <w:sz w:val="22"/>
          <w:szCs w:val="22"/>
        </w:rPr>
        <w:t>τις υποχρεώσεις που απορρέουν από την υλοποίηση εξοπλιστικών προγραμμάτων</w:t>
      </w:r>
      <w:r>
        <w:rPr>
          <w:color w:val="000000"/>
          <w:sz w:val="22"/>
          <w:szCs w:val="22"/>
        </w:rPr>
        <w:t>.</w:t>
      </w:r>
    </w:p>
    <w:p w:rsidR="00E6117F" w:rsidRDefault="00E6117F" w:rsidP="00E6117F">
      <w:pPr>
        <w:autoSpaceDE w:val="0"/>
        <w:autoSpaceDN w:val="0"/>
        <w:adjustRightInd w:val="0"/>
        <w:jc w:val="both"/>
        <w:rPr>
          <w:rFonts w:ascii="Arial Narrow" w:hAnsi="Arial Narrow"/>
          <w:b/>
          <w:i/>
          <w:sz w:val="22"/>
        </w:rPr>
      </w:pPr>
    </w:p>
    <w:p w:rsidR="00E6117F" w:rsidRDefault="00E6117F" w:rsidP="00E6117F">
      <w:pPr>
        <w:autoSpaceDE w:val="0"/>
        <w:autoSpaceDN w:val="0"/>
        <w:adjustRightInd w:val="0"/>
        <w:jc w:val="both"/>
        <w:rPr>
          <w:rFonts w:ascii="Arial Narrow" w:hAnsi="Arial Narrow"/>
          <w:b/>
          <w:i/>
          <w:sz w:val="22"/>
        </w:rPr>
      </w:pPr>
      <w:r w:rsidRPr="00275E97">
        <w:rPr>
          <w:rFonts w:ascii="Arial Narrow" w:hAnsi="Arial Narrow"/>
          <w:b/>
          <w:i/>
          <w:sz w:val="22"/>
        </w:rPr>
        <w:t>Υπουργείο Παιδείας, Έρευνας και Θρησκευμάτων</w:t>
      </w:r>
    </w:p>
    <w:p w:rsidR="00E6117F" w:rsidRPr="00275E97" w:rsidRDefault="00E6117F" w:rsidP="00E6117F">
      <w:pPr>
        <w:autoSpaceDE w:val="0"/>
        <w:autoSpaceDN w:val="0"/>
        <w:adjustRightInd w:val="0"/>
        <w:jc w:val="both"/>
        <w:rPr>
          <w:rFonts w:ascii="Arial Narrow" w:hAnsi="Arial Narrow"/>
          <w:b/>
          <w:i/>
          <w:sz w:val="22"/>
        </w:rPr>
      </w:pPr>
    </w:p>
    <w:p w:rsidR="00E6117F" w:rsidRPr="00275E97" w:rsidRDefault="00E6117F" w:rsidP="00E6117F">
      <w:pPr>
        <w:autoSpaceDE w:val="0"/>
        <w:autoSpaceDN w:val="0"/>
        <w:adjustRightInd w:val="0"/>
        <w:jc w:val="both"/>
        <w:rPr>
          <w:color w:val="000000"/>
          <w:sz w:val="22"/>
          <w:szCs w:val="22"/>
        </w:rPr>
      </w:pPr>
      <w:r>
        <w:rPr>
          <w:color w:val="000000"/>
          <w:sz w:val="22"/>
          <w:szCs w:val="22"/>
        </w:rPr>
        <w:t xml:space="preserve">Στον προϋπολογισμό, έχουν προβλεφθεί πιστώσεις για την κάλυψη των </w:t>
      </w:r>
      <w:r w:rsidRPr="00275E97">
        <w:rPr>
          <w:color w:val="000000"/>
          <w:sz w:val="22"/>
          <w:szCs w:val="22"/>
        </w:rPr>
        <w:t>πολιτικ</w:t>
      </w:r>
      <w:r>
        <w:rPr>
          <w:color w:val="000000"/>
          <w:sz w:val="22"/>
          <w:szCs w:val="22"/>
        </w:rPr>
        <w:t xml:space="preserve">ών </w:t>
      </w:r>
      <w:r w:rsidRPr="00275E97">
        <w:rPr>
          <w:color w:val="000000"/>
          <w:sz w:val="22"/>
          <w:szCs w:val="22"/>
        </w:rPr>
        <w:t>και δράσε</w:t>
      </w:r>
      <w:r>
        <w:rPr>
          <w:color w:val="000000"/>
          <w:sz w:val="22"/>
          <w:szCs w:val="22"/>
        </w:rPr>
        <w:t xml:space="preserve">ων του Υπουργείου που </w:t>
      </w:r>
      <w:r w:rsidRPr="00275E97">
        <w:rPr>
          <w:color w:val="000000"/>
          <w:sz w:val="22"/>
          <w:szCs w:val="22"/>
        </w:rPr>
        <w:t>αφορούν το σύνολο του εκπαιδευτικού συστήματος (και τις 3 βαθμίδες), αλλά και τους τομείς της Δια Βίου Μάθησης και της Έρευνας και Τεχνολογίας.</w:t>
      </w:r>
    </w:p>
    <w:p w:rsidR="00E6117F" w:rsidRPr="00275E97" w:rsidRDefault="00E6117F" w:rsidP="00E6117F">
      <w:pPr>
        <w:autoSpaceDE w:val="0"/>
        <w:autoSpaceDN w:val="0"/>
        <w:adjustRightInd w:val="0"/>
        <w:jc w:val="both"/>
        <w:rPr>
          <w:color w:val="000000"/>
          <w:sz w:val="22"/>
          <w:szCs w:val="22"/>
        </w:rPr>
      </w:pPr>
    </w:p>
    <w:p w:rsidR="00E6117F" w:rsidRPr="00275E97" w:rsidRDefault="00E6117F" w:rsidP="00E6117F">
      <w:pPr>
        <w:autoSpaceDE w:val="0"/>
        <w:autoSpaceDN w:val="0"/>
        <w:adjustRightInd w:val="0"/>
        <w:jc w:val="both"/>
        <w:rPr>
          <w:color w:val="000000"/>
          <w:sz w:val="22"/>
          <w:szCs w:val="22"/>
        </w:rPr>
      </w:pPr>
      <w:r>
        <w:rPr>
          <w:color w:val="000000"/>
          <w:sz w:val="22"/>
          <w:szCs w:val="22"/>
        </w:rPr>
        <w:t>Ειδικότερα</w:t>
      </w:r>
      <w:r w:rsidR="00EB7461">
        <w:rPr>
          <w:color w:val="000000"/>
          <w:sz w:val="22"/>
          <w:szCs w:val="22"/>
        </w:rPr>
        <w:t>,</w:t>
      </w:r>
      <w:r>
        <w:rPr>
          <w:color w:val="000000"/>
          <w:sz w:val="22"/>
          <w:szCs w:val="22"/>
        </w:rPr>
        <w:t xml:space="preserve"> </w:t>
      </w:r>
      <w:r w:rsidRPr="00275E97">
        <w:rPr>
          <w:color w:val="000000"/>
          <w:sz w:val="22"/>
          <w:szCs w:val="22"/>
        </w:rPr>
        <w:t>έχουν προβλεφθεί</w:t>
      </w:r>
      <w:r>
        <w:rPr>
          <w:color w:val="000000"/>
          <w:sz w:val="22"/>
          <w:szCs w:val="22"/>
        </w:rPr>
        <w:t xml:space="preserve"> και</w:t>
      </w:r>
      <w:r w:rsidRPr="00275E97">
        <w:rPr>
          <w:color w:val="000000"/>
          <w:sz w:val="22"/>
          <w:szCs w:val="22"/>
        </w:rPr>
        <w:t xml:space="preserve"> οι απαραίτητες πιστώσεις για:</w:t>
      </w:r>
    </w:p>
    <w:p w:rsidR="00E6117F" w:rsidRPr="00275E97" w:rsidRDefault="00E6117F" w:rsidP="00E6117F">
      <w:pPr>
        <w:autoSpaceDE w:val="0"/>
        <w:autoSpaceDN w:val="0"/>
        <w:adjustRightInd w:val="0"/>
        <w:jc w:val="both"/>
        <w:rPr>
          <w:color w:val="000000"/>
          <w:sz w:val="22"/>
          <w:szCs w:val="22"/>
        </w:rPr>
      </w:pPr>
    </w:p>
    <w:p w:rsidR="00E6117F" w:rsidRPr="00275E97" w:rsidRDefault="00E6117F" w:rsidP="00E6117F">
      <w:pPr>
        <w:numPr>
          <w:ilvl w:val="0"/>
          <w:numId w:val="1"/>
        </w:numPr>
        <w:autoSpaceDE w:val="0"/>
        <w:autoSpaceDN w:val="0"/>
        <w:adjustRightInd w:val="0"/>
        <w:ind w:left="426" w:hanging="426"/>
        <w:jc w:val="both"/>
        <w:rPr>
          <w:color w:val="000000"/>
          <w:sz w:val="22"/>
          <w:szCs w:val="22"/>
        </w:rPr>
      </w:pPr>
      <w:r w:rsidRPr="00275E97">
        <w:rPr>
          <w:color w:val="000000"/>
          <w:sz w:val="22"/>
          <w:szCs w:val="22"/>
        </w:rPr>
        <w:t>τη συνέχιση του προγράμματ</w:t>
      </w:r>
      <w:r>
        <w:rPr>
          <w:color w:val="000000"/>
          <w:sz w:val="22"/>
          <w:szCs w:val="22"/>
        </w:rPr>
        <w:t>ος ενισχυτικής διδασκαλίας για τη δευτεροβάθμια εκπαίδευση</w:t>
      </w:r>
      <w:r w:rsidRPr="00275E97">
        <w:rPr>
          <w:color w:val="000000"/>
          <w:sz w:val="22"/>
          <w:szCs w:val="22"/>
        </w:rPr>
        <w:t>,</w:t>
      </w:r>
    </w:p>
    <w:p w:rsidR="00E6117F" w:rsidRPr="00275E97" w:rsidRDefault="00E6117F" w:rsidP="00E6117F">
      <w:pPr>
        <w:numPr>
          <w:ilvl w:val="0"/>
          <w:numId w:val="1"/>
        </w:numPr>
        <w:autoSpaceDE w:val="0"/>
        <w:autoSpaceDN w:val="0"/>
        <w:adjustRightInd w:val="0"/>
        <w:ind w:left="426" w:hanging="426"/>
        <w:jc w:val="both"/>
        <w:rPr>
          <w:color w:val="000000"/>
          <w:sz w:val="22"/>
          <w:szCs w:val="22"/>
        </w:rPr>
      </w:pPr>
      <w:r w:rsidRPr="00275E97">
        <w:rPr>
          <w:color w:val="000000"/>
          <w:sz w:val="22"/>
          <w:szCs w:val="22"/>
        </w:rPr>
        <w:t>τη</w:t>
      </w:r>
      <w:r>
        <w:rPr>
          <w:color w:val="000000"/>
          <w:sz w:val="22"/>
          <w:szCs w:val="22"/>
        </w:rPr>
        <w:t>ν ειδική</w:t>
      </w:r>
      <w:r w:rsidRPr="00275E97">
        <w:rPr>
          <w:color w:val="000000"/>
          <w:sz w:val="22"/>
          <w:szCs w:val="22"/>
        </w:rPr>
        <w:t xml:space="preserve"> ενίσχυση</w:t>
      </w:r>
      <w:r>
        <w:rPr>
          <w:color w:val="000000"/>
          <w:sz w:val="22"/>
          <w:szCs w:val="22"/>
        </w:rPr>
        <w:t>, μέσω των εκπαιδευτι</w:t>
      </w:r>
      <w:r w:rsidR="00EC7738">
        <w:rPr>
          <w:color w:val="000000"/>
          <w:sz w:val="22"/>
          <w:szCs w:val="22"/>
        </w:rPr>
        <w:t>κ</w:t>
      </w:r>
      <w:r>
        <w:rPr>
          <w:color w:val="000000"/>
          <w:sz w:val="22"/>
          <w:szCs w:val="22"/>
        </w:rPr>
        <w:t xml:space="preserve">ών ιδρυμάτων, των </w:t>
      </w:r>
      <w:r w:rsidRPr="00275E97">
        <w:rPr>
          <w:color w:val="000000"/>
          <w:sz w:val="22"/>
          <w:szCs w:val="22"/>
        </w:rPr>
        <w:t xml:space="preserve">φοιτητών που σπουδάζουν μακριά από τον τόπο κατοικίας </w:t>
      </w:r>
      <w:r w:rsidR="00EB7461">
        <w:rPr>
          <w:color w:val="000000"/>
          <w:sz w:val="22"/>
          <w:szCs w:val="22"/>
        </w:rPr>
        <w:t>τους,</w:t>
      </w:r>
      <w:r>
        <w:rPr>
          <w:color w:val="000000"/>
          <w:sz w:val="22"/>
          <w:szCs w:val="22"/>
        </w:rPr>
        <w:t xml:space="preserve"> καθώς και την κάλυψη των δαπανών σίτισης αυτών, </w:t>
      </w:r>
    </w:p>
    <w:p w:rsidR="00E6117F" w:rsidRPr="008E0684" w:rsidRDefault="00E6117F" w:rsidP="00E6117F">
      <w:pPr>
        <w:numPr>
          <w:ilvl w:val="0"/>
          <w:numId w:val="1"/>
        </w:numPr>
        <w:autoSpaceDE w:val="0"/>
        <w:autoSpaceDN w:val="0"/>
        <w:adjustRightInd w:val="0"/>
        <w:ind w:left="426" w:hanging="426"/>
        <w:jc w:val="both"/>
        <w:rPr>
          <w:color w:val="000000"/>
          <w:sz w:val="22"/>
          <w:szCs w:val="22"/>
        </w:rPr>
      </w:pPr>
      <w:r w:rsidRPr="00275E97">
        <w:rPr>
          <w:color w:val="000000"/>
          <w:sz w:val="22"/>
          <w:szCs w:val="22"/>
        </w:rPr>
        <w:t>την απρόσκοπτη λειτουργία των επιχορηγούμενων από το Υπουργείο φορέων (ΑΕΙ, ΤΕΙ, ερευν</w:t>
      </w:r>
      <w:r w:rsidRPr="00275E97">
        <w:rPr>
          <w:color w:val="000000"/>
          <w:sz w:val="22"/>
          <w:szCs w:val="22"/>
        </w:rPr>
        <w:t>η</w:t>
      </w:r>
      <w:r w:rsidRPr="00275E97">
        <w:rPr>
          <w:color w:val="000000"/>
          <w:sz w:val="22"/>
          <w:szCs w:val="22"/>
        </w:rPr>
        <w:t>τικοί φορείς κ.λπ.), προκειμένου να αναπτύξουν τις δράσεις τους,</w:t>
      </w:r>
    </w:p>
    <w:p w:rsidR="00E6117F" w:rsidRPr="00275E97" w:rsidRDefault="00E6117F" w:rsidP="00E6117F">
      <w:pPr>
        <w:numPr>
          <w:ilvl w:val="0"/>
          <w:numId w:val="1"/>
        </w:numPr>
        <w:autoSpaceDE w:val="0"/>
        <w:autoSpaceDN w:val="0"/>
        <w:adjustRightInd w:val="0"/>
        <w:ind w:left="426" w:hanging="426"/>
        <w:jc w:val="both"/>
        <w:rPr>
          <w:color w:val="000000"/>
          <w:sz w:val="22"/>
          <w:szCs w:val="22"/>
        </w:rPr>
      </w:pPr>
      <w:r>
        <w:rPr>
          <w:color w:val="000000"/>
          <w:sz w:val="22"/>
          <w:szCs w:val="22"/>
        </w:rPr>
        <w:t>τη λειτουργία του Ελληνικού Ιδρύματος Έρευνας και Καινοτομίας</w:t>
      </w:r>
      <w:r w:rsidR="00364253">
        <w:rPr>
          <w:color w:val="000000"/>
          <w:sz w:val="22"/>
          <w:szCs w:val="22"/>
        </w:rPr>
        <w:t>,</w:t>
      </w:r>
    </w:p>
    <w:p w:rsidR="00E6117F" w:rsidRPr="00275E97" w:rsidRDefault="00E6117F" w:rsidP="00E6117F">
      <w:pPr>
        <w:numPr>
          <w:ilvl w:val="0"/>
          <w:numId w:val="1"/>
        </w:numPr>
        <w:autoSpaceDE w:val="0"/>
        <w:autoSpaceDN w:val="0"/>
        <w:adjustRightInd w:val="0"/>
        <w:ind w:left="426" w:hanging="426"/>
        <w:jc w:val="both"/>
        <w:rPr>
          <w:color w:val="000000"/>
          <w:sz w:val="22"/>
          <w:szCs w:val="22"/>
        </w:rPr>
      </w:pPr>
      <w:r w:rsidRPr="00275E97">
        <w:rPr>
          <w:color w:val="000000"/>
          <w:sz w:val="22"/>
          <w:szCs w:val="22"/>
        </w:rPr>
        <w:t xml:space="preserve">την καταβολή των εισφορών σε διεθνείς οργανισμούς, </w:t>
      </w:r>
      <w:r>
        <w:rPr>
          <w:color w:val="000000"/>
          <w:sz w:val="22"/>
          <w:szCs w:val="22"/>
        </w:rPr>
        <w:t xml:space="preserve">υποχρεώσεις που αφορούν </w:t>
      </w:r>
      <w:r w:rsidRPr="00275E97">
        <w:rPr>
          <w:color w:val="000000"/>
          <w:sz w:val="22"/>
          <w:szCs w:val="22"/>
        </w:rPr>
        <w:t>κυρίως τη</w:t>
      </w:r>
      <w:r>
        <w:rPr>
          <w:color w:val="000000"/>
          <w:sz w:val="22"/>
          <w:szCs w:val="22"/>
        </w:rPr>
        <w:t xml:space="preserve"> </w:t>
      </w:r>
      <w:r w:rsidRPr="00275E97">
        <w:rPr>
          <w:color w:val="000000"/>
          <w:sz w:val="22"/>
          <w:szCs w:val="22"/>
        </w:rPr>
        <w:t>Γ</w:t>
      </w:r>
      <w:r w:rsidRPr="00275E97">
        <w:rPr>
          <w:color w:val="000000"/>
          <w:sz w:val="22"/>
          <w:szCs w:val="22"/>
        </w:rPr>
        <w:t>ε</w:t>
      </w:r>
      <w:r w:rsidRPr="00275E97">
        <w:rPr>
          <w:color w:val="000000"/>
          <w:sz w:val="22"/>
          <w:szCs w:val="22"/>
        </w:rPr>
        <w:t>νική Γραμματεία Έρευνας και Τεχνολογίας,</w:t>
      </w:r>
    </w:p>
    <w:p w:rsidR="00E6117F" w:rsidRPr="00275E97" w:rsidRDefault="00E6117F" w:rsidP="00E6117F">
      <w:pPr>
        <w:numPr>
          <w:ilvl w:val="0"/>
          <w:numId w:val="1"/>
        </w:numPr>
        <w:autoSpaceDE w:val="0"/>
        <w:autoSpaceDN w:val="0"/>
        <w:adjustRightInd w:val="0"/>
        <w:ind w:left="426" w:hanging="426"/>
        <w:jc w:val="both"/>
        <w:rPr>
          <w:color w:val="000000"/>
          <w:sz w:val="22"/>
          <w:szCs w:val="22"/>
        </w:rPr>
      </w:pPr>
      <w:r w:rsidRPr="00275E97">
        <w:rPr>
          <w:color w:val="000000"/>
          <w:sz w:val="22"/>
          <w:szCs w:val="22"/>
        </w:rPr>
        <w:t>τη στήριξη των ερευνητικών φορέων,</w:t>
      </w:r>
    </w:p>
    <w:p w:rsidR="00E6117F" w:rsidRPr="00275E97" w:rsidRDefault="00E6117F" w:rsidP="00E6117F">
      <w:pPr>
        <w:numPr>
          <w:ilvl w:val="0"/>
          <w:numId w:val="1"/>
        </w:numPr>
        <w:autoSpaceDE w:val="0"/>
        <w:autoSpaceDN w:val="0"/>
        <w:adjustRightInd w:val="0"/>
        <w:ind w:left="426" w:hanging="426"/>
        <w:jc w:val="both"/>
        <w:rPr>
          <w:color w:val="000000"/>
          <w:sz w:val="22"/>
          <w:szCs w:val="22"/>
        </w:rPr>
      </w:pPr>
      <w:r w:rsidRPr="00275E97">
        <w:rPr>
          <w:color w:val="000000"/>
          <w:sz w:val="22"/>
          <w:szCs w:val="22"/>
        </w:rPr>
        <w:t>την κάλυψη λειτουργίας των δημόσιων ΙΕΚ,</w:t>
      </w:r>
      <w:r>
        <w:rPr>
          <w:color w:val="000000"/>
          <w:sz w:val="22"/>
          <w:szCs w:val="22"/>
        </w:rPr>
        <w:t xml:space="preserve"> </w:t>
      </w:r>
    </w:p>
    <w:p w:rsidR="00E6117F" w:rsidRPr="00275E97" w:rsidRDefault="00E6117F" w:rsidP="00E6117F">
      <w:pPr>
        <w:numPr>
          <w:ilvl w:val="0"/>
          <w:numId w:val="1"/>
        </w:numPr>
        <w:autoSpaceDE w:val="0"/>
        <w:autoSpaceDN w:val="0"/>
        <w:adjustRightInd w:val="0"/>
        <w:ind w:left="426" w:hanging="426"/>
        <w:jc w:val="both"/>
        <w:rPr>
          <w:color w:val="000000"/>
          <w:sz w:val="22"/>
          <w:szCs w:val="22"/>
        </w:rPr>
      </w:pPr>
      <w:r w:rsidRPr="00275E97">
        <w:rPr>
          <w:color w:val="000000"/>
          <w:sz w:val="22"/>
          <w:szCs w:val="22"/>
        </w:rPr>
        <w:t>την κάλυψη διαφοράς κομίστρου από την παροχή του δικαιώματος μειωμένης μετακίνησης φο</w:t>
      </w:r>
      <w:r w:rsidRPr="00275E97">
        <w:rPr>
          <w:color w:val="000000"/>
          <w:sz w:val="22"/>
          <w:szCs w:val="22"/>
        </w:rPr>
        <w:t>ι</w:t>
      </w:r>
      <w:r w:rsidR="00EF4932">
        <w:rPr>
          <w:color w:val="000000"/>
          <w:sz w:val="22"/>
          <w:szCs w:val="22"/>
        </w:rPr>
        <w:t>τητών ΑΕΙ και ΤΕΙ της χώρας και</w:t>
      </w:r>
      <w:r w:rsidRPr="00275E97">
        <w:rPr>
          <w:color w:val="000000"/>
          <w:sz w:val="22"/>
          <w:szCs w:val="22"/>
        </w:rPr>
        <w:t xml:space="preserve"> </w:t>
      </w:r>
    </w:p>
    <w:p w:rsidR="00E6117F" w:rsidRPr="00275E97" w:rsidRDefault="00E6117F" w:rsidP="00E6117F">
      <w:pPr>
        <w:numPr>
          <w:ilvl w:val="0"/>
          <w:numId w:val="1"/>
        </w:numPr>
        <w:autoSpaceDE w:val="0"/>
        <w:autoSpaceDN w:val="0"/>
        <w:adjustRightInd w:val="0"/>
        <w:ind w:left="426" w:hanging="426"/>
        <w:jc w:val="both"/>
        <w:rPr>
          <w:color w:val="000000"/>
          <w:sz w:val="22"/>
          <w:szCs w:val="22"/>
        </w:rPr>
      </w:pPr>
      <w:r w:rsidRPr="00275E97">
        <w:rPr>
          <w:color w:val="000000"/>
          <w:sz w:val="22"/>
          <w:szCs w:val="22"/>
        </w:rPr>
        <w:t>την προμήθεια φοιτητικών συγγραμμάτων.</w:t>
      </w:r>
    </w:p>
    <w:p w:rsidR="00E6117F" w:rsidRPr="00275E97" w:rsidRDefault="00E6117F" w:rsidP="00E6117F">
      <w:pPr>
        <w:autoSpaceDE w:val="0"/>
        <w:autoSpaceDN w:val="0"/>
        <w:adjustRightInd w:val="0"/>
        <w:jc w:val="both"/>
        <w:rPr>
          <w:color w:val="000000"/>
          <w:sz w:val="22"/>
          <w:szCs w:val="22"/>
        </w:rPr>
      </w:pPr>
    </w:p>
    <w:p w:rsidR="00E6117F" w:rsidRPr="00BE5525" w:rsidRDefault="00E6117F" w:rsidP="00E6117F">
      <w:pPr>
        <w:autoSpaceDE w:val="0"/>
        <w:autoSpaceDN w:val="0"/>
        <w:adjustRightInd w:val="0"/>
        <w:jc w:val="both"/>
        <w:rPr>
          <w:rFonts w:ascii="Arial Narrow" w:hAnsi="Arial Narrow"/>
          <w:b/>
          <w:i/>
          <w:sz w:val="22"/>
        </w:rPr>
      </w:pPr>
      <w:r w:rsidRPr="00BE5525">
        <w:rPr>
          <w:rFonts w:ascii="Arial Narrow" w:hAnsi="Arial Narrow"/>
          <w:b/>
          <w:i/>
          <w:sz w:val="22"/>
        </w:rPr>
        <w:t>Υπουργείο Εργασίας, Κοινωνικής Ασφάλισης και Κοινωνικής Αλληλεγγύης</w:t>
      </w:r>
    </w:p>
    <w:p w:rsidR="00E6117F" w:rsidRPr="00BE5525" w:rsidRDefault="00E6117F" w:rsidP="00E6117F">
      <w:pPr>
        <w:autoSpaceDE w:val="0"/>
        <w:autoSpaceDN w:val="0"/>
        <w:adjustRightInd w:val="0"/>
        <w:jc w:val="both"/>
        <w:rPr>
          <w:bCs/>
          <w:szCs w:val="22"/>
        </w:rPr>
      </w:pPr>
    </w:p>
    <w:p w:rsidR="00E6117F" w:rsidRPr="00BE5525" w:rsidRDefault="00E6117F" w:rsidP="00E6117F">
      <w:pPr>
        <w:autoSpaceDE w:val="0"/>
        <w:autoSpaceDN w:val="0"/>
        <w:adjustRightInd w:val="0"/>
        <w:jc w:val="both"/>
        <w:rPr>
          <w:bCs/>
          <w:sz w:val="22"/>
          <w:szCs w:val="22"/>
        </w:rPr>
      </w:pPr>
      <w:r w:rsidRPr="00BE5525">
        <w:rPr>
          <w:bCs/>
          <w:sz w:val="22"/>
          <w:szCs w:val="22"/>
        </w:rPr>
        <w:t xml:space="preserve">Το μεγαλύτερο μέρος των πιστώσεων του προϋπολογισμού του Υπουργείου προβλέπεται να διατεθεί σε Οργανισμούς Κοινωνικής Ασφάλισης (ΟΚΑ) για </w:t>
      </w:r>
      <w:r>
        <w:rPr>
          <w:bCs/>
          <w:sz w:val="22"/>
          <w:szCs w:val="22"/>
        </w:rPr>
        <w:t xml:space="preserve">το ασφαλιστικό σύστημα </w:t>
      </w:r>
      <w:r w:rsidRPr="00BE5525">
        <w:rPr>
          <w:bCs/>
          <w:sz w:val="22"/>
          <w:szCs w:val="22"/>
        </w:rPr>
        <w:t>της χώρας.</w:t>
      </w:r>
      <w:r>
        <w:rPr>
          <w:bCs/>
          <w:sz w:val="22"/>
          <w:szCs w:val="22"/>
        </w:rPr>
        <w:t xml:space="preserve"> Ταυτόχρονα καλύπτονται δράσεις κοινωνικής προστασίας του πληθυσμού, αλλά και εφαρμογής πολιτικών αν</w:t>
      </w:r>
      <w:r>
        <w:rPr>
          <w:bCs/>
          <w:sz w:val="22"/>
          <w:szCs w:val="22"/>
        </w:rPr>
        <w:t>ά</w:t>
      </w:r>
      <w:r>
        <w:rPr>
          <w:bCs/>
          <w:sz w:val="22"/>
          <w:szCs w:val="22"/>
        </w:rPr>
        <w:t xml:space="preserve">σχεσης και αντιμετώπισης της ανεργίας. </w:t>
      </w:r>
    </w:p>
    <w:p w:rsidR="00E6117F" w:rsidRPr="00BE5525" w:rsidRDefault="00E6117F" w:rsidP="00E6117F">
      <w:pPr>
        <w:autoSpaceDE w:val="0"/>
        <w:autoSpaceDN w:val="0"/>
        <w:adjustRightInd w:val="0"/>
        <w:jc w:val="both"/>
        <w:rPr>
          <w:bCs/>
          <w:szCs w:val="22"/>
        </w:rPr>
      </w:pPr>
    </w:p>
    <w:p w:rsidR="00E6117F" w:rsidRPr="00BE5525" w:rsidRDefault="00E6117F" w:rsidP="00E6117F">
      <w:pPr>
        <w:autoSpaceDE w:val="0"/>
        <w:autoSpaceDN w:val="0"/>
        <w:adjustRightInd w:val="0"/>
        <w:jc w:val="both"/>
        <w:rPr>
          <w:bCs/>
          <w:sz w:val="22"/>
          <w:szCs w:val="22"/>
        </w:rPr>
      </w:pPr>
      <w:r>
        <w:rPr>
          <w:bCs/>
          <w:sz w:val="22"/>
          <w:szCs w:val="22"/>
        </w:rPr>
        <w:t>Αναλυτικότερα,</w:t>
      </w:r>
      <w:r w:rsidRPr="00BE5525">
        <w:rPr>
          <w:bCs/>
          <w:sz w:val="22"/>
          <w:szCs w:val="22"/>
        </w:rPr>
        <w:t xml:space="preserve"> οι</w:t>
      </w:r>
      <w:r>
        <w:rPr>
          <w:bCs/>
          <w:sz w:val="22"/>
          <w:szCs w:val="22"/>
        </w:rPr>
        <w:t xml:space="preserve"> </w:t>
      </w:r>
      <w:r w:rsidRPr="00BE5525">
        <w:rPr>
          <w:bCs/>
          <w:sz w:val="22"/>
          <w:szCs w:val="22"/>
        </w:rPr>
        <w:t>πιστώσεις πρόκειται να καλύψουν ανάγκες όπως:</w:t>
      </w:r>
    </w:p>
    <w:p w:rsidR="00E6117F" w:rsidRPr="00BE5525" w:rsidRDefault="00E6117F" w:rsidP="00E6117F">
      <w:pPr>
        <w:autoSpaceDE w:val="0"/>
        <w:autoSpaceDN w:val="0"/>
        <w:adjustRightInd w:val="0"/>
        <w:jc w:val="both"/>
        <w:rPr>
          <w:bCs/>
          <w:sz w:val="22"/>
          <w:szCs w:val="22"/>
        </w:rPr>
      </w:pPr>
    </w:p>
    <w:p w:rsidR="00EF4932" w:rsidRDefault="00E6117F" w:rsidP="00E6117F">
      <w:pPr>
        <w:pStyle w:val="af2"/>
        <w:numPr>
          <w:ilvl w:val="0"/>
          <w:numId w:val="8"/>
        </w:numPr>
        <w:autoSpaceDE w:val="0"/>
        <w:autoSpaceDN w:val="0"/>
        <w:adjustRightInd w:val="0"/>
        <w:spacing w:after="0" w:line="240" w:lineRule="auto"/>
        <w:ind w:left="284" w:hanging="284"/>
        <w:contextualSpacing w:val="0"/>
        <w:jc w:val="both"/>
        <w:rPr>
          <w:rFonts w:ascii="Times New Roman" w:hAnsi="Times New Roman"/>
          <w:color w:val="000000"/>
        </w:rPr>
      </w:pPr>
      <w:r w:rsidRPr="00EF4932">
        <w:rPr>
          <w:rFonts w:ascii="Times New Roman" w:hAnsi="Times New Roman"/>
        </w:rPr>
        <w:t>η ενίσχυση του δικτύου κοινωνικής προστασίας</w:t>
      </w:r>
      <w:r w:rsidR="00EF4932">
        <w:rPr>
          <w:rFonts w:ascii="Times New Roman" w:hAnsi="Times New Roman"/>
        </w:rPr>
        <w:t>,</w:t>
      </w:r>
      <w:r w:rsidRPr="00EF4932">
        <w:rPr>
          <w:rFonts w:ascii="Times New Roman" w:hAnsi="Times New Roman"/>
        </w:rPr>
        <w:t xml:space="preserve"> μέσω της πλήρους εφαρμογής σε εθνικό επίπεδο του </w:t>
      </w:r>
      <w:r w:rsidR="00EB7461">
        <w:rPr>
          <w:rFonts w:ascii="Times New Roman" w:hAnsi="Times New Roman"/>
          <w:color w:val="000000"/>
        </w:rPr>
        <w:t xml:space="preserve">προγράμματος </w:t>
      </w:r>
      <w:r w:rsidRPr="00EF4932">
        <w:rPr>
          <w:rFonts w:ascii="Times New Roman" w:hAnsi="Times New Roman"/>
          <w:color w:val="000000"/>
        </w:rPr>
        <w:t>Κοινω</w:t>
      </w:r>
      <w:r w:rsidR="00EB7461">
        <w:rPr>
          <w:rFonts w:ascii="Times New Roman" w:hAnsi="Times New Roman"/>
          <w:color w:val="000000"/>
        </w:rPr>
        <w:t>νικό Εισόδημα Αλληλεγγύης (ΚΕΑ)</w:t>
      </w:r>
      <w:r w:rsidR="00EF4932">
        <w:rPr>
          <w:rFonts w:ascii="Times New Roman" w:hAnsi="Times New Roman"/>
          <w:color w:val="000000"/>
        </w:rPr>
        <w:t>,</w:t>
      </w:r>
    </w:p>
    <w:p w:rsidR="00E6117F" w:rsidRPr="00EF4932" w:rsidRDefault="00E6117F" w:rsidP="00E6117F">
      <w:pPr>
        <w:pStyle w:val="af2"/>
        <w:numPr>
          <w:ilvl w:val="0"/>
          <w:numId w:val="8"/>
        </w:numPr>
        <w:autoSpaceDE w:val="0"/>
        <w:autoSpaceDN w:val="0"/>
        <w:adjustRightInd w:val="0"/>
        <w:spacing w:after="0" w:line="240" w:lineRule="auto"/>
        <w:ind w:left="284" w:hanging="284"/>
        <w:contextualSpacing w:val="0"/>
        <w:jc w:val="both"/>
        <w:rPr>
          <w:rFonts w:ascii="Times New Roman" w:hAnsi="Times New Roman"/>
          <w:color w:val="000000"/>
        </w:rPr>
      </w:pPr>
      <w:r w:rsidRPr="00EF4932">
        <w:rPr>
          <w:rFonts w:ascii="Times New Roman" w:hAnsi="Times New Roman"/>
          <w:color w:val="000000"/>
        </w:rPr>
        <w:t>ο εκσυγχρονισμός του συστήματος κοινωνικής πρόνοιας</w:t>
      </w:r>
      <w:r w:rsidR="00EF4932">
        <w:rPr>
          <w:rFonts w:ascii="Times New Roman" w:hAnsi="Times New Roman"/>
          <w:color w:val="000000"/>
        </w:rPr>
        <w:t>,</w:t>
      </w:r>
      <w:r w:rsidRPr="00EF4932">
        <w:rPr>
          <w:rFonts w:ascii="Times New Roman" w:hAnsi="Times New Roman"/>
          <w:color w:val="000000"/>
        </w:rPr>
        <w:t xml:space="preserve"> μέσω της αναμόρφωσης του προνοιακού χάρτη της χώρας, καθώς και η χρηματοδότηση των Κέντρων Κοινωνικής Πρόνοιας,</w:t>
      </w:r>
    </w:p>
    <w:p w:rsidR="00E6117F" w:rsidRPr="00BE5525" w:rsidRDefault="00E6117F" w:rsidP="00E6117F">
      <w:pPr>
        <w:pStyle w:val="af2"/>
        <w:numPr>
          <w:ilvl w:val="0"/>
          <w:numId w:val="8"/>
        </w:numPr>
        <w:autoSpaceDE w:val="0"/>
        <w:autoSpaceDN w:val="0"/>
        <w:adjustRightInd w:val="0"/>
        <w:spacing w:after="0" w:line="240" w:lineRule="auto"/>
        <w:ind w:left="284" w:hanging="284"/>
        <w:contextualSpacing w:val="0"/>
        <w:jc w:val="both"/>
        <w:rPr>
          <w:rFonts w:ascii="Times New Roman" w:hAnsi="Times New Roman"/>
          <w:color w:val="000000"/>
        </w:rPr>
      </w:pPr>
      <w:r w:rsidRPr="00BE5525">
        <w:rPr>
          <w:rFonts w:ascii="Times New Roman" w:hAnsi="Times New Roman"/>
          <w:color w:val="000000"/>
        </w:rPr>
        <w:t>η</w:t>
      </w:r>
      <w:r>
        <w:rPr>
          <w:rFonts w:ascii="Times New Roman" w:hAnsi="Times New Roman"/>
          <w:color w:val="000000"/>
        </w:rPr>
        <w:t xml:space="preserve"> </w:t>
      </w:r>
      <w:r w:rsidRPr="00BE5525">
        <w:rPr>
          <w:rFonts w:ascii="Times New Roman" w:hAnsi="Times New Roman"/>
          <w:color w:val="000000"/>
        </w:rPr>
        <w:t xml:space="preserve">καταβολή των οικογενειακών επιδομάτων, </w:t>
      </w:r>
    </w:p>
    <w:p w:rsidR="00E6117F" w:rsidRPr="00BE5525" w:rsidRDefault="00E6117F" w:rsidP="00E6117F">
      <w:pPr>
        <w:pStyle w:val="af2"/>
        <w:numPr>
          <w:ilvl w:val="0"/>
          <w:numId w:val="8"/>
        </w:numPr>
        <w:autoSpaceDE w:val="0"/>
        <w:autoSpaceDN w:val="0"/>
        <w:adjustRightInd w:val="0"/>
        <w:spacing w:after="0" w:line="240" w:lineRule="auto"/>
        <w:ind w:left="284" w:hanging="284"/>
        <w:contextualSpacing w:val="0"/>
        <w:jc w:val="both"/>
        <w:rPr>
          <w:rFonts w:ascii="Times New Roman" w:hAnsi="Times New Roman"/>
          <w:color w:val="000000"/>
        </w:rPr>
      </w:pPr>
      <w:r w:rsidRPr="00BE5525">
        <w:rPr>
          <w:rFonts w:ascii="Times New Roman" w:hAnsi="Times New Roman"/>
          <w:color w:val="000000"/>
        </w:rPr>
        <w:t>η ενίσχυση</w:t>
      </w:r>
      <w:r>
        <w:rPr>
          <w:rFonts w:ascii="Times New Roman" w:hAnsi="Times New Roman"/>
          <w:color w:val="000000"/>
        </w:rPr>
        <w:t xml:space="preserve"> δράσεων </w:t>
      </w:r>
      <w:r w:rsidRPr="00BE5525">
        <w:rPr>
          <w:rFonts w:ascii="Times New Roman" w:hAnsi="Times New Roman"/>
          <w:color w:val="000000"/>
        </w:rPr>
        <w:t>κοινωνικής προστασίας, όπως η διευκόλυνση μετακίνησης ευάλωτων κοιν</w:t>
      </w:r>
      <w:r w:rsidRPr="00BE5525">
        <w:rPr>
          <w:rFonts w:ascii="Times New Roman" w:hAnsi="Times New Roman"/>
          <w:color w:val="000000"/>
        </w:rPr>
        <w:t>ω</w:t>
      </w:r>
      <w:r w:rsidRPr="00BE5525">
        <w:rPr>
          <w:rFonts w:ascii="Times New Roman" w:hAnsi="Times New Roman"/>
          <w:color w:val="000000"/>
        </w:rPr>
        <w:t xml:space="preserve">νικών ομάδων (ΑμεΑ, άνεργοι, κ.ά) με συγκοινωνιακά μέσα, </w:t>
      </w:r>
    </w:p>
    <w:p w:rsidR="00E6117F" w:rsidRPr="00BE5525" w:rsidRDefault="00E6117F" w:rsidP="00E6117F">
      <w:pPr>
        <w:pStyle w:val="af2"/>
        <w:numPr>
          <w:ilvl w:val="0"/>
          <w:numId w:val="8"/>
        </w:numPr>
        <w:autoSpaceDE w:val="0"/>
        <w:autoSpaceDN w:val="0"/>
        <w:adjustRightInd w:val="0"/>
        <w:spacing w:after="0" w:line="240" w:lineRule="auto"/>
        <w:ind w:left="284" w:hanging="284"/>
        <w:contextualSpacing w:val="0"/>
        <w:jc w:val="both"/>
        <w:rPr>
          <w:rFonts w:ascii="Times New Roman" w:hAnsi="Times New Roman"/>
          <w:color w:val="000000"/>
        </w:rPr>
      </w:pPr>
      <w:r w:rsidRPr="00BE5525">
        <w:rPr>
          <w:rFonts w:ascii="Times New Roman" w:hAnsi="Times New Roman"/>
          <w:color w:val="000000"/>
        </w:rPr>
        <w:t>η συνέχιση της χ</w:t>
      </w:r>
      <w:r w:rsidR="00EB7461">
        <w:rPr>
          <w:rFonts w:ascii="Times New Roman" w:hAnsi="Times New Roman"/>
          <w:color w:val="000000"/>
        </w:rPr>
        <w:t>ρηματοδότησης του προγράμματος Βοήθεια στο Σπίτι</w:t>
      </w:r>
      <w:r>
        <w:rPr>
          <w:rFonts w:ascii="Times New Roman" w:hAnsi="Times New Roman"/>
          <w:color w:val="000000"/>
        </w:rPr>
        <w:t xml:space="preserve"> με σκοπό την</w:t>
      </w:r>
      <w:r w:rsidRPr="00BE5525">
        <w:rPr>
          <w:rFonts w:ascii="Times New Roman" w:hAnsi="Times New Roman"/>
          <w:color w:val="000000"/>
        </w:rPr>
        <w:t xml:space="preserve"> υποβοήθηση συνταξιούχων και ηλικιωμένων ατόμων</w:t>
      </w:r>
      <w:r w:rsidR="00EC7738">
        <w:rPr>
          <w:rFonts w:ascii="Times New Roman" w:hAnsi="Times New Roman"/>
          <w:color w:val="000000"/>
        </w:rPr>
        <w:t>,</w:t>
      </w:r>
      <w:r w:rsidRPr="00BE5525">
        <w:rPr>
          <w:rFonts w:ascii="Times New Roman" w:hAnsi="Times New Roman"/>
          <w:color w:val="000000"/>
        </w:rPr>
        <w:t xml:space="preserve"> </w:t>
      </w:r>
    </w:p>
    <w:p w:rsidR="00EC7738" w:rsidRPr="00EC7738" w:rsidRDefault="00E6117F" w:rsidP="00EC7738">
      <w:pPr>
        <w:pStyle w:val="af2"/>
        <w:numPr>
          <w:ilvl w:val="0"/>
          <w:numId w:val="8"/>
        </w:numPr>
        <w:autoSpaceDE w:val="0"/>
        <w:autoSpaceDN w:val="0"/>
        <w:adjustRightInd w:val="0"/>
        <w:spacing w:after="0" w:line="240" w:lineRule="auto"/>
        <w:ind w:left="284" w:hanging="284"/>
        <w:contextualSpacing w:val="0"/>
        <w:jc w:val="both"/>
        <w:rPr>
          <w:rFonts w:ascii="Arial Narrow" w:hAnsi="Arial Narrow"/>
          <w:b/>
          <w:i/>
        </w:rPr>
      </w:pPr>
      <w:r w:rsidRPr="00EC7738">
        <w:rPr>
          <w:rFonts w:ascii="Times New Roman" w:hAnsi="Times New Roman"/>
          <w:color w:val="000000"/>
        </w:rPr>
        <w:t>η εφαρμογή προγραμμάτων ενεργητικής πολιτικής απασχόλησης από τον Οργανισμό Απασχόλ</w:t>
      </w:r>
      <w:r w:rsidRPr="00EC7738">
        <w:rPr>
          <w:rFonts w:ascii="Times New Roman" w:hAnsi="Times New Roman"/>
          <w:color w:val="000000"/>
        </w:rPr>
        <w:t>η</w:t>
      </w:r>
      <w:r w:rsidRPr="00EC7738">
        <w:rPr>
          <w:rFonts w:ascii="Times New Roman" w:hAnsi="Times New Roman"/>
          <w:color w:val="000000"/>
        </w:rPr>
        <w:t>σης Εργατικού Δυναμικού (ΟΑΕΔ)</w:t>
      </w:r>
      <w:r w:rsidR="00EF4932">
        <w:rPr>
          <w:rFonts w:ascii="Times New Roman" w:hAnsi="Times New Roman"/>
          <w:color w:val="000000"/>
        </w:rPr>
        <w:t>,</w:t>
      </w:r>
      <w:r w:rsidRPr="00EC7738">
        <w:rPr>
          <w:rFonts w:ascii="Times New Roman" w:hAnsi="Times New Roman"/>
          <w:color w:val="000000"/>
        </w:rPr>
        <w:t xml:space="preserve"> με σκοπό την αύξηση της απασχόλησης σε νεότερες ηλικιακά ομάδες του πληθυσμού, αλλά και σε μακροχρόνια άνεργους</w:t>
      </w:r>
      <w:r w:rsidR="00EC7738">
        <w:rPr>
          <w:rFonts w:ascii="Times New Roman" w:hAnsi="Times New Roman"/>
          <w:color w:val="000000"/>
        </w:rPr>
        <w:t xml:space="preserve"> και</w:t>
      </w:r>
    </w:p>
    <w:p w:rsidR="00E6117F" w:rsidRPr="00EC7738" w:rsidRDefault="00E6117F" w:rsidP="00EF4932">
      <w:pPr>
        <w:pStyle w:val="af2"/>
        <w:numPr>
          <w:ilvl w:val="0"/>
          <w:numId w:val="8"/>
        </w:numPr>
        <w:autoSpaceDE w:val="0"/>
        <w:autoSpaceDN w:val="0"/>
        <w:adjustRightInd w:val="0"/>
        <w:spacing w:after="0" w:line="240" w:lineRule="auto"/>
        <w:ind w:left="284" w:hanging="284"/>
        <w:contextualSpacing w:val="0"/>
        <w:jc w:val="both"/>
        <w:rPr>
          <w:rFonts w:ascii="Arial Narrow" w:hAnsi="Arial Narrow"/>
          <w:b/>
          <w:i/>
        </w:rPr>
      </w:pPr>
      <w:r w:rsidRPr="00EC7738">
        <w:rPr>
          <w:rFonts w:ascii="Times New Roman" w:hAnsi="Times New Roman"/>
          <w:color w:val="000000"/>
        </w:rPr>
        <w:t>η καταβολή του επιδόματος ΕΚΑΣ στους δικαιούχους, καθώς και η εφαρμογή αντισταθμιστικών μέτρων για την απώλεια της ανωτέρω παροχής.</w:t>
      </w:r>
    </w:p>
    <w:p w:rsidR="00EF4932" w:rsidRDefault="00EF4932" w:rsidP="00EC7738">
      <w:pPr>
        <w:autoSpaceDE w:val="0"/>
        <w:autoSpaceDN w:val="0"/>
        <w:adjustRightInd w:val="0"/>
        <w:jc w:val="both"/>
        <w:rPr>
          <w:rFonts w:ascii="Arial Narrow" w:hAnsi="Arial Narrow"/>
          <w:b/>
          <w:i/>
          <w:sz w:val="22"/>
        </w:rPr>
      </w:pPr>
    </w:p>
    <w:p w:rsidR="00E6117F" w:rsidRPr="00EC7738" w:rsidRDefault="00E6117F" w:rsidP="00EC7738">
      <w:pPr>
        <w:autoSpaceDE w:val="0"/>
        <w:autoSpaceDN w:val="0"/>
        <w:adjustRightInd w:val="0"/>
        <w:jc w:val="both"/>
        <w:rPr>
          <w:rFonts w:ascii="Arial Narrow" w:hAnsi="Arial Narrow"/>
          <w:b/>
          <w:i/>
          <w:sz w:val="22"/>
        </w:rPr>
      </w:pPr>
      <w:r w:rsidRPr="00EC7738">
        <w:rPr>
          <w:rFonts w:ascii="Arial Narrow" w:hAnsi="Arial Narrow"/>
          <w:b/>
          <w:i/>
          <w:sz w:val="22"/>
        </w:rPr>
        <w:t>Υπουργείο Εξωτερικών</w:t>
      </w:r>
    </w:p>
    <w:p w:rsidR="00E6117F" w:rsidRPr="00B055AC" w:rsidRDefault="00E6117F" w:rsidP="00E6117F">
      <w:pPr>
        <w:rPr>
          <w:b/>
          <w:sz w:val="22"/>
          <w:szCs w:val="22"/>
        </w:rPr>
      </w:pPr>
    </w:p>
    <w:p w:rsidR="00E6117F" w:rsidRPr="00B055AC" w:rsidRDefault="00E6117F" w:rsidP="00E6117F">
      <w:pPr>
        <w:rPr>
          <w:sz w:val="22"/>
          <w:szCs w:val="22"/>
        </w:rPr>
      </w:pPr>
      <w:r w:rsidRPr="00B055AC">
        <w:rPr>
          <w:sz w:val="22"/>
          <w:szCs w:val="22"/>
        </w:rPr>
        <w:t>Οι πιστώσεις του προϋπολογισμού του Υπουργείου θα καλύψουν και</w:t>
      </w:r>
      <w:r>
        <w:rPr>
          <w:sz w:val="22"/>
          <w:szCs w:val="22"/>
        </w:rPr>
        <w:t xml:space="preserve"> </w:t>
      </w:r>
      <w:r w:rsidRPr="00B055AC">
        <w:rPr>
          <w:sz w:val="22"/>
          <w:szCs w:val="22"/>
        </w:rPr>
        <w:t>δαπάνες για :</w:t>
      </w:r>
    </w:p>
    <w:p w:rsidR="00E6117F" w:rsidRPr="00B055AC" w:rsidRDefault="00E6117F" w:rsidP="00E6117F">
      <w:pPr>
        <w:rPr>
          <w:sz w:val="22"/>
          <w:szCs w:val="22"/>
        </w:rPr>
      </w:pPr>
    </w:p>
    <w:p w:rsidR="00E6117F" w:rsidRPr="00EC7738" w:rsidRDefault="00EB7461" w:rsidP="00E6117F">
      <w:pPr>
        <w:numPr>
          <w:ilvl w:val="0"/>
          <w:numId w:val="1"/>
        </w:numPr>
        <w:autoSpaceDE w:val="0"/>
        <w:autoSpaceDN w:val="0"/>
        <w:adjustRightInd w:val="0"/>
        <w:ind w:left="426" w:hanging="426"/>
        <w:jc w:val="both"/>
        <w:rPr>
          <w:color w:val="000000"/>
          <w:sz w:val="22"/>
          <w:szCs w:val="22"/>
        </w:rPr>
      </w:pPr>
      <w:r>
        <w:rPr>
          <w:sz w:val="22"/>
          <w:szCs w:val="22"/>
        </w:rPr>
        <w:t>τις εισφορές σε διεθνείς ο</w:t>
      </w:r>
      <w:r w:rsidR="00E6117F" w:rsidRPr="00EC7738">
        <w:rPr>
          <w:sz w:val="22"/>
          <w:szCs w:val="22"/>
        </w:rPr>
        <w:t>ργανισμούς</w:t>
      </w:r>
      <w:r w:rsidR="00EF4932">
        <w:rPr>
          <w:sz w:val="22"/>
          <w:szCs w:val="22"/>
        </w:rPr>
        <w:t>,</w:t>
      </w:r>
      <w:r w:rsidR="00E6117F" w:rsidRPr="00EC7738">
        <w:rPr>
          <w:sz w:val="22"/>
          <w:szCs w:val="22"/>
        </w:rPr>
        <w:t xml:space="preserve"> καθώς και τη συμμετοχή της χώρας</w:t>
      </w:r>
      <w:r w:rsidR="00EC7738">
        <w:rPr>
          <w:sz w:val="22"/>
          <w:szCs w:val="22"/>
        </w:rPr>
        <w:t xml:space="preserve"> </w:t>
      </w:r>
      <w:r w:rsidR="00E6117F" w:rsidRPr="00EC7738">
        <w:rPr>
          <w:color w:val="000000"/>
          <w:sz w:val="22"/>
          <w:szCs w:val="22"/>
        </w:rPr>
        <w:t>στις δαπάνες των ε</w:t>
      </w:r>
      <w:r w:rsidR="00E6117F" w:rsidRPr="00EC7738">
        <w:rPr>
          <w:color w:val="000000"/>
          <w:sz w:val="22"/>
          <w:szCs w:val="22"/>
        </w:rPr>
        <w:t>ι</w:t>
      </w:r>
      <w:r w:rsidR="00E6117F" w:rsidRPr="00EC7738">
        <w:rPr>
          <w:color w:val="000000"/>
          <w:sz w:val="22"/>
          <w:szCs w:val="22"/>
        </w:rPr>
        <w:t>ρηνευτικών αποστολών του ΟΗΕ,</w:t>
      </w:r>
    </w:p>
    <w:p w:rsidR="00E6117F" w:rsidRPr="00B055AC" w:rsidRDefault="00E6117F" w:rsidP="00E6117F">
      <w:pPr>
        <w:numPr>
          <w:ilvl w:val="0"/>
          <w:numId w:val="1"/>
        </w:numPr>
        <w:autoSpaceDE w:val="0"/>
        <w:autoSpaceDN w:val="0"/>
        <w:adjustRightInd w:val="0"/>
        <w:ind w:left="426" w:hanging="426"/>
        <w:jc w:val="both"/>
        <w:rPr>
          <w:sz w:val="22"/>
          <w:szCs w:val="22"/>
        </w:rPr>
      </w:pPr>
      <w:r w:rsidRPr="00B055AC">
        <w:rPr>
          <w:sz w:val="22"/>
          <w:szCs w:val="22"/>
        </w:rPr>
        <w:t xml:space="preserve">τις </w:t>
      </w:r>
      <w:r w:rsidRPr="00730563">
        <w:rPr>
          <w:color w:val="000000"/>
          <w:sz w:val="22"/>
          <w:szCs w:val="22"/>
        </w:rPr>
        <w:t>λειτουργικές</w:t>
      </w:r>
      <w:r w:rsidRPr="00B055AC">
        <w:rPr>
          <w:sz w:val="22"/>
          <w:szCs w:val="22"/>
        </w:rPr>
        <w:t xml:space="preserve"> δαπάνες της κεντρικής υπηρεσίας και των αρχών εξωτερικής υπηρεσίας και</w:t>
      </w:r>
    </w:p>
    <w:p w:rsidR="00E6117F" w:rsidRPr="00B055AC" w:rsidRDefault="00E6117F" w:rsidP="00E6117F">
      <w:pPr>
        <w:numPr>
          <w:ilvl w:val="0"/>
          <w:numId w:val="1"/>
        </w:numPr>
        <w:autoSpaceDE w:val="0"/>
        <w:autoSpaceDN w:val="0"/>
        <w:adjustRightInd w:val="0"/>
        <w:ind w:left="426" w:hanging="426"/>
        <w:jc w:val="both"/>
        <w:rPr>
          <w:sz w:val="22"/>
          <w:szCs w:val="22"/>
        </w:rPr>
      </w:pPr>
      <w:r w:rsidRPr="00B055AC">
        <w:rPr>
          <w:sz w:val="22"/>
          <w:szCs w:val="22"/>
        </w:rPr>
        <w:t xml:space="preserve">τις δράσεις στον τομέα της παροχής διμερούς αναπτυξιακής βοήθειας προς τρίτες </w:t>
      </w:r>
      <w:r w:rsidRPr="00730563">
        <w:rPr>
          <w:color w:val="000000"/>
          <w:sz w:val="22"/>
          <w:szCs w:val="22"/>
        </w:rPr>
        <w:t>χώρες</w:t>
      </w:r>
      <w:r w:rsidRPr="00B055AC">
        <w:rPr>
          <w:sz w:val="22"/>
          <w:szCs w:val="22"/>
        </w:rPr>
        <w:t>.</w:t>
      </w:r>
    </w:p>
    <w:p w:rsidR="00E6117F" w:rsidRDefault="00E6117F" w:rsidP="00E6117F">
      <w:pPr>
        <w:rPr>
          <w:rFonts w:ascii="Arial" w:hAnsi="Arial" w:cs="Arial"/>
        </w:rPr>
      </w:pPr>
    </w:p>
    <w:p w:rsidR="00E6117F" w:rsidRPr="004924E9" w:rsidRDefault="00E6117F" w:rsidP="00E6117F">
      <w:pPr>
        <w:autoSpaceDE w:val="0"/>
        <w:autoSpaceDN w:val="0"/>
        <w:adjustRightInd w:val="0"/>
        <w:jc w:val="both"/>
        <w:rPr>
          <w:rFonts w:ascii="Arial Narrow" w:hAnsi="Arial Narrow"/>
          <w:b/>
          <w:i/>
          <w:sz w:val="22"/>
        </w:rPr>
      </w:pPr>
      <w:r w:rsidRPr="004924E9">
        <w:rPr>
          <w:rFonts w:ascii="Arial Narrow" w:hAnsi="Arial Narrow"/>
          <w:b/>
          <w:i/>
          <w:sz w:val="22"/>
        </w:rPr>
        <w:t>Υπουργείο Δικαιοσύνης, Διαφάνειας και Ανθρωπίνων Δικαιωμάτων</w:t>
      </w:r>
    </w:p>
    <w:p w:rsidR="00E6117F" w:rsidRPr="0019006E" w:rsidRDefault="00E6117F" w:rsidP="00E6117F">
      <w:pPr>
        <w:autoSpaceDE w:val="0"/>
        <w:autoSpaceDN w:val="0"/>
        <w:adjustRightInd w:val="0"/>
        <w:jc w:val="both"/>
        <w:rPr>
          <w:color w:val="000000"/>
          <w:sz w:val="22"/>
          <w:szCs w:val="22"/>
        </w:rPr>
      </w:pPr>
    </w:p>
    <w:p w:rsidR="00E6117F" w:rsidRPr="0019006E" w:rsidRDefault="00E6117F" w:rsidP="00E6117F">
      <w:pPr>
        <w:autoSpaceDE w:val="0"/>
        <w:autoSpaceDN w:val="0"/>
        <w:adjustRightInd w:val="0"/>
        <w:jc w:val="both"/>
        <w:rPr>
          <w:color w:val="000000"/>
          <w:sz w:val="22"/>
          <w:szCs w:val="22"/>
        </w:rPr>
      </w:pPr>
      <w:r w:rsidRPr="0019006E">
        <w:rPr>
          <w:color w:val="000000"/>
          <w:sz w:val="22"/>
          <w:szCs w:val="22"/>
        </w:rPr>
        <w:t>Οι πιστώσεις του προϋπολογισμού θα καλύψουν εκτός των άλλων</w:t>
      </w:r>
      <w:r>
        <w:rPr>
          <w:color w:val="000000"/>
          <w:sz w:val="22"/>
          <w:szCs w:val="22"/>
        </w:rPr>
        <w:t xml:space="preserve"> λειτουργικών δαπανών </w:t>
      </w:r>
      <w:r w:rsidRPr="0019006E">
        <w:rPr>
          <w:color w:val="000000"/>
          <w:sz w:val="22"/>
          <w:szCs w:val="22"/>
        </w:rPr>
        <w:t>και δαπάνες για τη λειτουργία των Ανεξάρτητων Αρχών (Αρχή Προστασίας</w:t>
      </w:r>
      <w:r>
        <w:rPr>
          <w:color w:val="000000"/>
          <w:sz w:val="22"/>
          <w:szCs w:val="22"/>
        </w:rPr>
        <w:t xml:space="preserve"> Δεδομένων Προσωπικού Χαρακτήρα</w:t>
      </w:r>
      <w:r w:rsidRPr="003A1CA4">
        <w:rPr>
          <w:color w:val="000000"/>
          <w:sz w:val="22"/>
          <w:szCs w:val="22"/>
        </w:rPr>
        <w:t xml:space="preserve"> </w:t>
      </w:r>
      <w:r>
        <w:rPr>
          <w:color w:val="000000"/>
          <w:sz w:val="22"/>
          <w:szCs w:val="22"/>
        </w:rPr>
        <w:t xml:space="preserve">και </w:t>
      </w:r>
      <w:r w:rsidRPr="0019006E">
        <w:rPr>
          <w:color w:val="000000"/>
          <w:sz w:val="22"/>
          <w:szCs w:val="22"/>
        </w:rPr>
        <w:t>Αρχή Διασφάλισης του Απορρήτου των Επικοινωνιών</w:t>
      </w:r>
      <w:r>
        <w:rPr>
          <w:color w:val="000000"/>
          <w:sz w:val="22"/>
          <w:szCs w:val="22"/>
        </w:rPr>
        <w:t>).</w:t>
      </w:r>
    </w:p>
    <w:p w:rsidR="00E6117F" w:rsidRPr="00730563" w:rsidRDefault="00E6117F" w:rsidP="00E6117F">
      <w:pPr>
        <w:jc w:val="both"/>
        <w:rPr>
          <w:b/>
          <w:i/>
        </w:rPr>
      </w:pPr>
    </w:p>
    <w:p w:rsidR="00E6117F" w:rsidRPr="004924E9" w:rsidRDefault="00E6117F" w:rsidP="00E6117F">
      <w:pPr>
        <w:jc w:val="both"/>
        <w:rPr>
          <w:rFonts w:ascii="Arial Narrow" w:hAnsi="Arial Narrow"/>
          <w:sz w:val="22"/>
          <w:szCs w:val="22"/>
        </w:rPr>
      </w:pPr>
      <w:r w:rsidRPr="004924E9">
        <w:rPr>
          <w:rFonts w:ascii="Arial Narrow" w:hAnsi="Arial Narrow"/>
          <w:b/>
          <w:i/>
          <w:sz w:val="22"/>
          <w:szCs w:val="22"/>
        </w:rPr>
        <w:t>Υπουργείο Οικονομικών</w:t>
      </w:r>
      <w:r w:rsidR="008967F1">
        <w:rPr>
          <w:rFonts w:ascii="Arial Narrow" w:hAnsi="Arial Narrow"/>
          <w:b/>
          <w:i/>
          <w:sz w:val="22"/>
          <w:szCs w:val="22"/>
        </w:rPr>
        <w:t xml:space="preserve">  </w:t>
      </w:r>
    </w:p>
    <w:p w:rsidR="00E6117F" w:rsidRPr="00730563" w:rsidRDefault="00E6117F" w:rsidP="00E6117F">
      <w:pPr>
        <w:jc w:val="both"/>
        <w:rPr>
          <w:sz w:val="22"/>
          <w:szCs w:val="22"/>
        </w:rPr>
      </w:pPr>
    </w:p>
    <w:p w:rsidR="00E6117F" w:rsidRPr="004924E9" w:rsidRDefault="00E6117F" w:rsidP="00E6117F">
      <w:pPr>
        <w:jc w:val="both"/>
        <w:rPr>
          <w:sz w:val="22"/>
          <w:szCs w:val="22"/>
        </w:rPr>
      </w:pPr>
      <w:r w:rsidRPr="004924E9">
        <w:rPr>
          <w:sz w:val="22"/>
          <w:szCs w:val="22"/>
        </w:rPr>
        <w:t>Στον προϋπολογισμό του Υπουργείου, πέραν των πιστώσεων που έχουν προβλεφθεί για τη λειτουργία των υπηρεσιών του, περιλαμβάνονται πιστώσεις και για τη Γενική Γραμματεία της Κυβέρνησης, τη Γενική Γραμματεία του Πρωθυπουργού, το πολιτικό γραφείο του Αντιπροέδρου της Κυβέρνησης, τα πολιτικά γραφεία των Υπουργών Επικρατείας, το πολιτικό γραφείο του Υφυπουργού στον Πρωθ</w:t>
      </w:r>
      <w:r w:rsidRPr="004924E9">
        <w:rPr>
          <w:sz w:val="22"/>
          <w:szCs w:val="22"/>
        </w:rPr>
        <w:t>υ</w:t>
      </w:r>
      <w:r w:rsidRPr="004924E9">
        <w:rPr>
          <w:sz w:val="22"/>
          <w:szCs w:val="22"/>
        </w:rPr>
        <w:t>πουργό, τη Γενική Γραμματεία Συντονισμού, το Νομικό Συμβούλιο του Κράτους, την Εθνική Επιτρ</w:t>
      </w:r>
      <w:r w:rsidRPr="004924E9">
        <w:rPr>
          <w:sz w:val="22"/>
          <w:szCs w:val="22"/>
        </w:rPr>
        <w:t>ο</w:t>
      </w:r>
      <w:r w:rsidRPr="004924E9">
        <w:rPr>
          <w:sz w:val="22"/>
          <w:szCs w:val="22"/>
        </w:rPr>
        <w:t>πή για τα Δικαιώματα του Ανθρώπου</w:t>
      </w:r>
      <w:r w:rsidR="00EF4932">
        <w:rPr>
          <w:sz w:val="22"/>
          <w:szCs w:val="22"/>
        </w:rPr>
        <w:t>,</w:t>
      </w:r>
      <w:r w:rsidRPr="004924E9">
        <w:rPr>
          <w:sz w:val="22"/>
          <w:szCs w:val="22"/>
        </w:rPr>
        <w:t xml:space="preserve"> καθώς και την Αρχή Καταπολέμησης της Νομιμοποίησης Εσ</w:t>
      </w:r>
      <w:r w:rsidRPr="004924E9">
        <w:rPr>
          <w:sz w:val="22"/>
          <w:szCs w:val="22"/>
        </w:rPr>
        <w:t>ό</w:t>
      </w:r>
      <w:r w:rsidRPr="004924E9">
        <w:rPr>
          <w:sz w:val="22"/>
          <w:szCs w:val="22"/>
        </w:rPr>
        <w:t>δων από Εγκληματικές Δραστηριότητες και της Χρηματοδότησης της Τρομοκρατίας</w:t>
      </w:r>
      <w:r>
        <w:rPr>
          <w:sz w:val="22"/>
          <w:szCs w:val="22"/>
        </w:rPr>
        <w:t xml:space="preserve"> </w:t>
      </w:r>
      <w:r w:rsidRPr="004924E9">
        <w:rPr>
          <w:sz w:val="22"/>
          <w:szCs w:val="22"/>
        </w:rPr>
        <w:t>και Ελέγχου των Δηλώσεων Περιουσιακής Κατάστασης. Επίσης, στον προϋπολογισμό του Υπουργείου Οικονομικών περιλαμβάνονται και οι πιστώσεις για την Ανεξάρτητη Αρχή Δημοσίων Εσόδων.</w:t>
      </w:r>
    </w:p>
    <w:p w:rsidR="00E6117F" w:rsidRPr="004924E9" w:rsidRDefault="00E6117F" w:rsidP="00E6117F">
      <w:pPr>
        <w:jc w:val="both"/>
        <w:rPr>
          <w:sz w:val="22"/>
          <w:szCs w:val="22"/>
        </w:rPr>
      </w:pPr>
    </w:p>
    <w:p w:rsidR="00E6117F" w:rsidRPr="00EC7738" w:rsidRDefault="00E6117F" w:rsidP="00E6117F">
      <w:pPr>
        <w:jc w:val="both"/>
        <w:rPr>
          <w:b/>
          <w:sz w:val="22"/>
          <w:szCs w:val="22"/>
        </w:rPr>
      </w:pPr>
      <w:r w:rsidRPr="00EC7738">
        <w:rPr>
          <w:b/>
          <w:sz w:val="22"/>
          <w:szCs w:val="22"/>
        </w:rPr>
        <w:t>Ανεξάρτητη Αρχή Δημοσίων Εσόδων</w:t>
      </w:r>
    </w:p>
    <w:p w:rsidR="00E6117F" w:rsidRPr="00730563" w:rsidRDefault="00E6117F" w:rsidP="00E6117F">
      <w:pPr>
        <w:jc w:val="both"/>
        <w:rPr>
          <w:sz w:val="22"/>
          <w:szCs w:val="22"/>
        </w:rPr>
      </w:pPr>
    </w:p>
    <w:p w:rsidR="00E6117F" w:rsidRPr="004924E9" w:rsidRDefault="00EC7738" w:rsidP="00E6117F">
      <w:pPr>
        <w:jc w:val="both"/>
        <w:rPr>
          <w:sz w:val="22"/>
          <w:szCs w:val="22"/>
        </w:rPr>
      </w:pPr>
      <w:r>
        <w:rPr>
          <w:sz w:val="22"/>
          <w:szCs w:val="22"/>
        </w:rPr>
        <w:t>Με το ν</w:t>
      </w:r>
      <w:r w:rsidR="00E6117F" w:rsidRPr="004924E9">
        <w:rPr>
          <w:sz w:val="22"/>
          <w:szCs w:val="22"/>
        </w:rPr>
        <w:t xml:space="preserve">. 4389/16 </w:t>
      </w:r>
      <w:r>
        <w:rPr>
          <w:sz w:val="22"/>
          <w:szCs w:val="22"/>
        </w:rPr>
        <w:t>από 1/1/</w:t>
      </w:r>
      <w:r w:rsidR="00E6117F" w:rsidRPr="004924E9">
        <w:rPr>
          <w:sz w:val="22"/>
          <w:szCs w:val="22"/>
        </w:rPr>
        <w:t>2017 καταργήθηκε η Γενική Γραμματεία Δημοσίων Εσόδων και</w:t>
      </w:r>
      <w:r w:rsidR="00E6117F">
        <w:rPr>
          <w:sz w:val="22"/>
          <w:szCs w:val="22"/>
        </w:rPr>
        <w:t xml:space="preserve"> </w:t>
      </w:r>
      <w:r w:rsidR="00EF4932">
        <w:rPr>
          <w:sz w:val="22"/>
          <w:szCs w:val="22"/>
        </w:rPr>
        <w:t>συστά</w:t>
      </w:r>
      <w:r w:rsidR="00E6117F" w:rsidRPr="004924E9">
        <w:rPr>
          <w:sz w:val="22"/>
          <w:szCs w:val="22"/>
        </w:rPr>
        <w:t>θηκε Ανεξάρτητη Δ</w:t>
      </w:r>
      <w:r w:rsidR="000118BF">
        <w:rPr>
          <w:sz w:val="22"/>
          <w:szCs w:val="22"/>
        </w:rPr>
        <w:t xml:space="preserve">ιοικητική Αρχή με την επωνυμία </w:t>
      </w:r>
      <w:r w:rsidR="00E6117F" w:rsidRPr="004924E9">
        <w:rPr>
          <w:sz w:val="22"/>
          <w:szCs w:val="22"/>
        </w:rPr>
        <w:t>Ανεξάρτητη Αρχή Δημοσίων Εσόδων</w:t>
      </w:r>
      <w:r w:rsidR="000118BF">
        <w:rPr>
          <w:sz w:val="22"/>
          <w:szCs w:val="22"/>
        </w:rPr>
        <w:t xml:space="preserve"> (ΑΑΔΕ)</w:t>
      </w:r>
      <w:r w:rsidR="00E6117F" w:rsidRPr="004924E9">
        <w:rPr>
          <w:sz w:val="22"/>
          <w:szCs w:val="22"/>
        </w:rPr>
        <w:t>, της οποίας ο προϋπολογισμός περιλαμβάνεται στον Κρατικό Προϋπολογισμό και ειδικότερα στον προ</w:t>
      </w:r>
      <w:r w:rsidR="00E6117F" w:rsidRPr="004924E9">
        <w:rPr>
          <w:sz w:val="22"/>
          <w:szCs w:val="22"/>
        </w:rPr>
        <w:t>ϋ</w:t>
      </w:r>
      <w:r w:rsidR="00E6117F" w:rsidRPr="004924E9">
        <w:rPr>
          <w:sz w:val="22"/>
          <w:szCs w:val="22"/>
        </w:rPr>
        <w:t>πολογισμό του Υπουργείου Οικονομικών.</w:t>
      </w:r>
      <w:r w:rsidR="00E6117F">
        <w:rPr>
          <w:sz w:val="22"/>
          <w:szCs w:val="22"/>
        </w:rPr>
        <w:t xml:space="preserve"> </w:t>
      </w:r>
    </w:p>
    <w:p w:rsidR="00EC7738" w:rsidRDefault="00EC7738" w:rsidP="00E6117F">
      <w:pPr>
        <w:jc w:val="both"/>
        <w:rPr>
          <w:sz w:val="22"/>
          <w:szCs w:val="22"/>
        </w:rPr>
      </w:pPr>
    </w:p>
    <w:p w:rsidR="00E6117F" w:rsidRDefault="00E6117F" w:rsidP="00E6117F">
      <w:pPr>
        <w:jc w:val="both"/>
        <w:rPr>
          <w:sz w:val="22"/>
          <w:szCs w:val="22"/>
        </w:rPr>
      </w:pPr>
      <w:r w:rsidRPr="004924E9">
        <w:rPr>
          <w:sz w:val="22"/>
          <w:szCs w:val="22"/>
        </w:rPr>
        <w:lastRenderedPageBreak/>
        <w:t>Στο πλαίσιο αυτό, στον προϋπολογισμό του Υπουργείου Οικονομικών,</w:t>
      </w:r>
      <w:r>
        <w:rPr>
          <w:sz w:val="22"/>
          <w:szCs w:val="22"/>
        </w:rPr>
        <w:t xml:space="preserve"> </w:t>
      </w:r>
      <w:r w:rsidR="00EC7738">
        <w:rPr>
          <w:sz w:val="22"/>
          <w:szCs w:val="22"/>
        </w:rPr>
        <w:t>σε ειδικούς φορείς της κ</w:t>
      </w:r>
      <w:r w:rsidRPr="004924E9">
        <w:rPr>
          <w:sz w:val="22"/>
          <w:szCs w:val="22"/>
        </w:rPr>
        <w:t>εντρ</w:t>
      </w:r>
      <w:r w:rsidRPr="004924E9">
        <w:rPr>
          <w:sz w:val="22"/>
          <w:szCs w:val="22"/>
        </w:rPr>
        <w:t>ι</w:t>
      </w:r>
      <w:r w:rsidR="00EC7738">
        <w:rPr>
          <w:sz w:val="22"/>
          <w:szCs w:val="22"/>
        </w:rPr>
        <w:t xml:space="preserve">κής του υπηρεσίας και των περιφερειακών του υπηρεσιών </w:t>
      </w:r>
      <w:r w:rsidRPr="004924E9">
        <w:rPr>
          <w:sz w:val="22"/>
          <w:szCs w:val="22"/>
        </w:rPr>
        <w:t xml:space="preserve">έχουν προβλεφθεί οι σχετικές πιστώσεις για την </w:t>
      </w:r>
      <w:r w:rsidR="000118BF">
        <w:rPr>
          <w:sz w:val="22"/>
          <w:szCs w:val="22"/>
        </w:rPr>
        <w:t>ΑΑΔΕ</w:t>
      </w:r>
      <w:r w:rsidRPr="004924E9">
        <w:rPr>
          <w:sz w:val="22"/>
          <w:szCs w:val="22"/>
        </w:rPr>
        <w:t xml:space="preserve">. </w:t>
      </w:r>
    </w:p>
    <w:p w:rsidR="00EC7738" w:rsidRPr="004924E9" w:rsidRDefault="00EC7738" w:rsidP="00E6117F">
      <w:pPr>
        <w:jc w:val="both"/>
        <w:rPr>
          <w:sz w:val="22"/>
          <w:szCs w:val="22"/>
        </w:rPr>
      </w:pPr>
    </w:p>
    <w:p w:rsidR="00E6117F" w:rsidRPr="004924E9" w:rsidRDefault="00EF4932" w:rsidP="00E6117F">
      <w:pPr>
        <w:jc w:val="both"/>
        <w:rPr>
          <w:rFonts w:cs="Tahoma"/>
          <w:sz w:val="22"/>
          <w:szCs w:val="22"/>
        </w:rPr>
      </w:pPr>
      <w:r>
        <w:rPr>
          <w:sz w:val="22"/>
          <w:szCs w:val="22"/>
        </w:rPr>
        <w:t>Λαμβάνοντας υπόψη τη</w:t>
      </w:r>
      <w:r w:rsidR="00E6117F" w:rsidRPr="004924E9">
        <w:rPr>
          <w:sz w:val="22"/>
          <w:szCs w:val="22"/>
        </w:rPr>
        <w:t xml:space="preserve"> σχετική εγκύκλιο κατάρτισης του προϋπολογισμού </w:t>
      </w:r>
      <w:r w:rsidR="00EC7738" w:rsidRPr="004924E9">
        <w:rPr>
          <w:sz w:val="22"/>
          <w:szCs w:val="22"/>
        </w:rPr>
        <w:t xml:space="preserve">Γενικής Κυβέρνησης </w:t>
      </w:r>
      <w:r w:rsidR="00EC7738">
        <w:rPr>
          <w:sz w:val="22"/>
          <w:szCs w:val="22"/>
        </w:rPr>
        <w:t>ο</w:t>
      </w:r>
      <w:r w:rsidR="00EC7738">
        <w:rPr>
          <w:sz w:val="22"/>
          <w:szCs w:val="22"/>
        </w:rPr>
        <w:t>ι</w:t>
      </w:r>
      <w:r w:rsidR="00EC7738">
        <w:rPr>
          <w:sz w:val="22"/>
          <w:szCs w:val="22"/>
        </w:rPr>
        <w:t>κονομικού</w:t>
      </w:r>
      <w:r w:rsidR="00E6117F" w:rsidRPr="004924E9">
        <w:rPr>
          <w:sz w:val="22"/>
          <w:szCs w:val="22"/>
        </w:rPr>
        <w:t xml:space="preserve"> έτους 2018, καθώς και άλλες ανάγκες της Α</w:t>
      </w:r>
      <w:r w:rsidR="00727177">
        <w:rPr>
          <w:sz w:val="22"/>
          <w:szCs w:val="22"/>
        </w:rPr>
        <w:t>ΑΔΕ</w:t>
      </w:r>
      <w:r w:rsidR="00E6117F" w:rsidRPr="004924E9">
        <w:rPr>
          <w:sz w:val="22"/>
          <w:szCs w:val="22"/>
        </w:rPr>
        <w:t xml:space="preserve"> για το έτος 2018, έχουν προβλεφθεί π</w:t>
      </w:r>
      <w:r w:rsidR="00E6117F" w:rsidRPr="004924E9">
        <w:rPr>
          <w:sz w:val="22"/>
          <w:szCs w:val="22"/>
        </w:rPr>
        <w:t>ι</w:t>
      </w:r>
      <w:r w:rsidR="00E6117F" w:rsidRPr="004924E9">
        <w:rPr>
          <w:sz w:val="22"/>
          <w:szCs w:val="22"/>
        </w:rPr>
        <w:t xml:space="preserve">στώσεις συνολικού ύψους </w:t>
      </w:r>
      <w:r w:rsidR="00E6117F" w:rsidRPr="00CE6379">
        <w:rPr>
          <w:sz w:val="22"/>
          <w:szCs w:val="22"/>
        </w:rPr>
        <w:t>434,1 εκατ. ευρώ έναντι της πρότασης ύψους 416,1 εκατ</w:t>
      </w:r>
      <w:r w:rsidR="00E6117F" w:rsidRPr="004924E9">
        <w:rPr>
          <w:sz w:val="22"/>
          <w:szCs w:val="22"/>
        </w:rPr>
        <w:t>. ευρώ. Η διαφορά οφείλεται στην εγγραφή επιπρόσθετων πιστώσεων στη μείζονα κατηγορία «Αποδοχές και συντάξεις» μετά από επανεκτίμηση του ύψους των απαραίτητων πιστώσεων για τις αποδοχές του προσωπικού της Αρχής για το έτος 2018 καθώς και στη μείζονα κ</w:t>
      </w:r>
      <w:r w:rsidR="00727177">
        <w:rPr>
          <w:sz w:val="22"/>
          <w:szCs w:val="22"/>
        </w:rPr>
        <w:t xml:space="preserve">ατηγορία </w:t>
      </w:r>
      <w:r w:rsidR="00CE6379">
        <w:rPr>
          <w:sz w:val="22"/>
          <w:szCs w:val="22"/>
        </w:rPr>
        <w:t xml:space="preserve">«Καταναλωτικές </w:t>
      </w:r>
      <w:r w:rsidR="00EC7738">
        <w:rPr>
          <w:sz w:val="22"/>
          <w:szCs w:val="22"/>
        </w:rPr>
        <w:t>και σύνθετες δ</w:t>
      </w:r>
      <w:r w:rsidR="00E6117F" w:rsidRPr="004924E9">
        <w:rPr>
          <w:sz w:val="22"/>
          <w:szCs w:val="22"/>
        </w:rPr>
        <w:t>απάνες</w:t>
      </w:r>
      <w:r w:rsidR="00CE6379">
        <w:rPr>
          <w:sz w:val="22"/>
          <w:szCs w:val="22"/>
        </w:rPr>
        <w:t>»</w:t>
      </w:r>
      <w:r w:rsidR="00E6117F" w:rsidRPr="004924E9">
        <w:rPr>
          <w:sz w:val="22"/>
          <w:szCs w:val="22"/>
        </w:rPr>
        <w:t xml:space="preserve"> για την κάλυψη της δαπάνης του προγράμματος δημοσίων κληρώσεων που προβλέπεται από το</w:t>
      </w:r>
      <w:r w:rsidR="00E6117F">
        <w:rPr>
          <w:sz w:val="22"/>
          <w:szCs w:val="22"/>
        </w:rPr>
        <w:t xml:space="preserve"> </w:t>
      </w:r>
      <w:r w:rsidR="00EC7738">
        <w:rPr>
          <w:sz w:val="22"/>
          <w:szCs w:val="22"/>
        </w:rPr>
        <w:t>άρθρο 70 του ν</w:t>
      </w:r>
      <w:r w:rsidR="00E6117F" w:rsidRPr="004924E9">
        <w:rPr>
          <w:sz w:val="22"/>
          <w:szCs w:val="22"/>
        </w:rPr>
        <w:t>. 4446/2016</w:t>
      </w:r>
      <w:r w:rsidR="00E6117F" w:rsidRPr="004924E9">
        <w:rPr>
          <w:rFonts w:cs="Tahoma"/>
          <w:sz w:val="22"/>
          <w:szCs w:val="22"/>
        </w:rPr>
        <w:t>.</w:t>
      </w:r>
    </w:p>
    <w:p w:rsidR="00E6117F" w:rsidRDefault="00E6117F" w:rsidP="00E6117F">
      <w:pPr>
        <w:autoSpaceDE w:val="0"/>
        <w:autoSpaceDN w:val="0"/>
        <w:adjustRightInd w:val="0"/>
        <w:jc w:val="both"/>
        <w:rPr>
          <w:rFonts w:ascii="Arial Narrow" w:hAnsi="Arial Narrow"/>
          <w:b/>
          <w:i/>
          <w:sz w:val="22"/>
        </w:rPr>
      </w:pPr>
    </w:p>
    <w:p w:rsidR="00E6117F" w:rsidRPr="00020EF8" w:rsidRDefault="00E6117F" w:rsidP="00E6117F">
      <w:pPr>
        <w:autoSpaceDE w:val="0"/>
        <w:autoSpaceDN w:val="0"/>
        <w:adjustRightInd w:val="0"/>
        <w:jc w:val="both"/>
        <w:rPr>
          <w:rFonts w:ascii="Arial Narrow" w:hAnsi="Arial Narrow"/>
          <w:b/>
          <w:i/>
          <w:sz w:val="22"/>
        </w:rPr>
      </w:pPr>
      <w:r w:rsidRPr="00020EF8">
        <w:rPr>
          <w:rFonts w:ascii="Arial Narrow" w:hAnsi="Arial Narrow"/>
          <w:b/>
          <w:i/>
          <w:sz w:val="22"/>
        </w:rPr>
        <w:t>Υπουργείο Υγείας</w:t>
      </w:r>
    </w:p>
    <w:p w:rsidR="00E6117F" w:rsidRPr="002324BB" w:rsidRDefault="00E6117F" w:rsidP="00E6117F">
      <w:pPr>
        <w:autoSpaceDE w:val="0"/>
        <w:autoSpaceDN w:val="0"/>
        <w:adjustRightInd w:val="0"/>
        <w:jc w:val="both"/>
        <w:rPr>
          <w:color w:val="000000"/>
          <w:sz w:val="22"/>
          <w:szCs w:val="22"/>
          <w:highlight w:val="yellow"/>
        </w:rPr>
      </w:pPr>
    </w:p>
    <w:p w:rsidR="00E6117F" w:rsidRPr="00D223B6" w:rsidRDefault="00E6117F" w:rsidP="00E6117F">
      <w:pPr>
        <w:autoSpaceDE w:val="0"/>
        <w:autoSpaceDN w:val="0"/>
        <w:adjustRightInd w:val="0"/>
        <w:jc w:val="both"/>
        <w:rPr>
          <w:color w:val="000000"/>
          <w:sz w:val="22"/>
          <w:szCs w:val="22"/>
        </w:rPr>
      </w:pPr>
      <w:r w:rsidRPr="00D223B6">
        <w:rPr>
          <w:color w:val="000000"/>
          <w:sz w:val="22"/>
          <w:szCs w:val="22"/>
        </w:rPr>
        <w:t xml:space="preserve">Οι πιστώσεις του προβλέπεται να διατεθούν για </w:t>
      </w:r>
      <w:r>
        <w:rPr>
          <w:color w:val="000000"/>
          <w:sz w:val="22"/>
          <w:szCs w:val="22"/>
        </w:rPr>
        <w:t>την αποτελεσματική</w:t>
      </w:r>
      <w:r w:rsidRPr="00D223B6">
        <w:rPr>
          <w:color w:val="000000"/>
          <w:sz w:val="22"/>
          <w:szCs w:val="22"/>
        </w:rPr>
        <w:t xml:space="preserve"> και εύρυθμη λειτουργία του σ</w:t>
      </w:r>
      <w:r w:rsidRPr="00D223B6">
        <w:rPr>
          <w:color w:val="000000"/>
          <w:sz w:val="22"/>
          <w:szCs w:val="22"/>
        </w:rPr>
        <w:t>υ</w:t>
      </w:r>
      <w:r w:rsidRPr="00D223B6">
        <w:rPr>
          <w:color w:val="000000"/>
          <w:sz w:val="22"/>
          <w:szCs w:val="22"/>
        </w:rPr>
        <w:t xml:space="preserve">στήματος παροχής υπηρεσιών πρωτοβάθμιας και δευτεροβάθμιας φροντίδας υγείας. </w:t>
      </w:r>
      <w:r>
        <w:rPr>
          <w:color w:val="000000"/>
          <w:sz w:val="22"/>
          <w:szCs w:val="22"/>
        </w:rPr>
        <w:t>Με βασική πρ</w:t>
      </w:r>
      <w:r>
        <w:rPr>
          <w:color w:val="000000"/>
          <w:sz w:val="22"/>
          <w:szCs w:val="22"/>
        </w:rPr>
        <w:t>ο</w:t>
      </w:r>
      <w:r>
        <w:rPr>
          <w:color w:val="000000"/>
          <w:sz w:val="22"/>
          <w:szCs w:val="22"/>
        </w:rPr>
        <w:t xml:space="preserve">τεραιότητα την </w:t>
      </w:r>
      <w:r w:rsidRPr="00D223B6">
        <w:rPr>
          <w:color w:val="000000"/>
          <w:sz w:val="22"/>
          <w:szCs w:val="22"/>
        </w:rPr>
        <w:t xml:space="preserve">εν γένει προστασία </w:t>
      </w:r>
      <w:r>
        <w:rPr>
          <w:color w:val="000000"/>
          <w:sz w:val="22"/>
          <w:szCs w:val="22"/>
        </w:rPr>
        <w:t xml:space="preserve">και θωράκιση της δημόσιας υγείας και την </w:t>
      </w:r>
      <w:r w:rsidRPr="00D223B6">
        <w:rPr>
          <w:color w:val="000000"/>
          <w:sz w:val="22"/>
          <w:szCs w:val="22"/>
        </w:rPr>
        <w:t>πληρέστερη παροχή υγειονομικής φροντίδας</w:t>
      </w:r>
      <w:r w:rsidRPr="00186B0B">
        <w:rPr>
          <w:color w:val="000000"/>
          <w:sz w:val="22"/>
          <w:szCs w:val="22"/>
        </w:rPr>
        <w:t xml:space="preserve"> </w:t>
      </w:r>
      <w:r>
        <w:rPr>
          <w:color w:val="000000"/>
          <w:sz w:val="22"/>
          <w:szCs w:val="22"/>
        </w:rPr>
        <w:t>για το σύνολο του πληθυσμού, ο</w:t>
      </w:r>
      <w:r w:rsidRPr="00D223B6">
        <w:rPr>
          <w:color w:val="000000"/>
          <w:sz w:val="22"/>
          <w:szCs w:val="22"/>
        </w:rPr>
        <w:t>ι μεταβιβάσεις προς τα νοσηλευτικά ιδρύμ</w:t>
      </w:r>
      <w:r w:rsidRPr="00D223B6">
        <w:rPr>
          <w:color w:val="000000"/>
          <w:sz w:val="22"/>
          <w:szCs w:val="22"/>
        </w:rPr>
        <w:t>α</w:t>
      </w:r>
      <w:r w:rsidRPr="00D223B6">
        <w:rPr>
          <w:color w:val="000000"/>
          <w:sz w:val="22"/>
          <w:szCs w:val="22"/>
        </w:rPr>
        <w:t xml:space="preserve">τα, τις μονάδες υγείας του Πρωτοβάθμιου Εθνικού Δικτύου Υγείας (ΠΕΔΥ) και τον ΕΟΠΥΥ </w:t>
      </w:r>
      <w:r>
        <w:rPr>
          <w:color w:val="000000"/>
          <w:sz w:val="22"/>
          <w:szCs w:val="22"/>
        </w:rPr>
        <w:t>στοχε</w:t>
      </w:r>
      <w:r>
        <w:rPr>
          <w:color w:val="000000"/>
          <w:sz w:val="22"/>
          <w:szCs w:val="22"/>
        </w:rPr>
        <w:t>ύ</w:t>
      </w:r>
      <w:r>
        <w:rPr>
          <w:color w:val="000000"/>
          <w:sz w:val="22"/>
          <w:szCs w:val="22"/>
        </w:rPr>
        <w:t>ουν</w:t>
      </w:r>
      <w:r w:rsidRPr="00D223B6">
        <w:rPr>
          <w:color w:val="000000"/>
          <w:sz w:val="22"/>
          <w:szCs w:val="22"/>
        </w:rPr>
        <w:t xml:space="preserve"> </w:t>
      </w:r>
      <w:r>
        <w:rPr>
          <w:color w:val="000000"/>
          <w:sz w:val="22"/>
          <w:szCs w:val="22"/>
        </w:rPr>
        <w:t>στην</w:t>
      </w:r>
      <w:r w:rsidRPr="00D223B6">
        <w:rPr>
          <w:color w:val="000000"/>
          <w:sz w:val="22"/>
          <w:szCs w:val="22"/>
        </w:rPr>
        <w:t xml:space="preserve"> αναβάθμιση του επιπέδου των προσφερόμενων υπηρεσιών, στη βελτίω</w:t>
      </w:r>
      <w:r>
        <w:rPr>
          <w:color w:val="000000"/>
          <w:sz w:val="22"/>
          <w:szCs w:val="22"/>
        </w:rPr>
        <w:t>ση της εξυπηρέτησης των ασθενών, στον εκσυγχρονισμό του ιατρικού εξοπλισμού και των κτιριακών υποδομών, καθώς και στον απρόσκοπτο εφοδιασμό με ιατρικό και φαρμακευτικό υλικό.</w:t>
      </w:r>
    </w:p>
    <w:p w:rsidR="00E6117F" w:rsidRPr="00D223B6" w:rsidRDefault="00E6117F" w:rsidP="00E6117F">
      <w:pPr>
        <w:autoSpaceDE w:val="0"/>
        <w:autoSpaceDN w:val="0"/>
        <w:adjustRightInd w:val="0"/>
        <w:jc w:val="both"/>
        <w:rPr>
          <w:color w:val="000000"/>
          <w:sz w:val="22"/>
          <w:szCs w:val="22"/>
        </w:rPr>
      </w:pPr>
    </w:p>
    <w:p w:rsidR="00E6117F" w:rsidRPr="005E25E6" w:rsidRDefault="00E6117F" w:rsidP="00E6117F">
      <w:pPr>
        <w:autoSpaceDE w:val="0"/>
        <w:autoSpaceDN w:val="0"/>
        <w:adjustRightInd w:val="0"/>
        <w:jc w:val="both"/>
        <w:rPr>
          <w:color w:val="000000"/>
          <w:sz w:val="22"/>
          <w:szCs w:val="22"/>
        </w:rPr>
      </w:pPr>
      <w:r>
        <w:rPr>
          <w:color w:val="000000"/>
          <w:sz w:val="22"/>
          <w:szCs w:val="22"/>
        </w:rPr>
        <w:t xml:space="preserve">Οι πιστώσεις προς τους εποπτευόμενους φορείς του Υπουργείου αποσκοπούν στην κάλυψη των πάσης φύσεως αναγκών τους, όπως λειτουργικές </w:t>
      </w:r>
      <w:r w:rsidRPr="00D223B6">
        <w:rPr>
          <w:color w:val="000000"/>
          <w:sz w:val="22"/>
          <w:szCs w:val="22"/>
        </w:rPr>
        <w:t>δαπάνες</w:t>
      </w:r>
      <w:r>
        <w:rPr>
          <w:color w:val="000000"/>
          <w:sz w:val="22"/>
          <w:szCs w:val="22"/>
        </w:rPr>
        <w:t xml:space="preserve"> και</w:t>
      </w:r>
      <w:r w:rsidRPr="00D223B6">
        <w:rPr>
          <w:color w:val="000000"/>
          <w:sz w:val="22"/>
          <w:szCs w:val="22"/>
        </w:rPr>
        <w:t xml:space="preserve"> εξειδικευμέν</w:t>
      </w:r>
      <w:r>
        <w:rPr>
          <w:color w:val="000000"/>
          <w:sz w:val="22"/>
          <w:szCs w:val="22"/>
        </w:rPr>
        <w:t>ες δραστηριότητες κατά τομέα, με στόχο την</w:t>
      </w:r>
      <w:r w:rsidRPr="00D223B6">
        <w:rPr>
          <w:color w:val="000000"/>
          <w:sz w:val="22"/>
          <w:szCs w:val="22"/>
        </w:rPr>
        <w:t xml:space="preserve"> απρόσκοπτη </w:t>
      </w:r>
      <w:r>
        <w:rPr>
          <w:color w:val="000000"/>
          <w:sz w:val="22"/>
          <w:szCs w:val="22"/>
        </w:rPr>
        <w:t>λειτουργία</w:t>
      </w:r>
      <w:r w:rsidRPr="00D223B6">
        <w:rPr>
          <w:color w:val="000000"/>
          <w:sz w:val="22"/>
          <w:szCs w:val="22"/>
        </w:rPr>
        <w:t xml:space="preserve"> των μονάδων ψυχικής υγείας, </w:t>
      </w:r>
      <w:r>
        <w:rPr>
          <w:color w:val="000000"/>
          <w:sz w:val="22"/>
          <w:szCs w:val="22"/>
        </w:rPr>
        <w:t xml:space="preserve">τη συνέχιση των </w:t>
      </w:r>
      <w:r w:rsidRPr="00D223B6">
        <w:rPr>
          <w:color w:val="000000"/>
          <w:sz w:val="22"/>
          <w:szCs w:val="22"/>
        </w:rPr>
        <w:t xml:space="preserve">δράσεων για </w:t>
      </w:r>
      <w:r>
        <w:rPr>
          <w:color w:val="000000"/>
          <w:sz w:val="22"/>
          <w:szCs w:val="22"/>
        </w:rPr>
        <w:t xml:space="preserve">την καταπολέμηση των ναρκωτικών, </w:t>
      </w:r>
      <w:r w:rsidRPr="00D223B6">
        <w:rPr>
          <w:color w:val="000000"/>
          <w:sz w:val="22"/>
          <w:szCs w:val="22"/>
        </w:rPr>
        <w:t xml:space="preserve">καθώς επίσης και την αντιμετώπιση έκτακτων περιστατικών και </w:t>
      </w:r>
      <w:r w:rsidRPr="00D223B6">
        <w:rPr>
          <w:color w:val="000000"/>
          <w:sz w:val="22"/>
          <w:szCs w:val="22"/>
        </w:rPr>
        <w:t>α</w:t>
      </w:r>
      <w:r w:rsidRPr="00D223B6">
        <w:rPr>
          <w:color w:val="000000"/>
          <w:sz w:val="22"/>
          <w:szCs w:val="22"/>
        </w:rPr>
        <w:t>πρόβ</w:t>
      </w:r>
      <w:r>
        <w:rPr>
          <w:color w:val="000000"/>
          <w:sz w:val="22"/>
          <w:szCs w:val="22"/>
        </w:rPr>
        <w:t>λεπτων υγειονομικών καταστάσεων.</w:t>
      </w:r>
    </w:p>
    <w:p w:rsidR="00E6117F" w:rsidRPr="00730563" w:rsidRDefault="00E6117F" w:rsidP="00E6117F">
      <w:pPr>
        <w:jc w:val="both"/>
        <w:rPr>
          <w:b/>
          <w:i/>
        </w:rPr>
      </w:pPr>
    </w:p>
    <w:p w:rsidR="00E6117F" w:rsidRPr="004924E9" w:rsidRDefault="00E6117F" w:rsidP="00E6117F">
      <w:pPr>
        <w:jc w:val="both"/>
        <w:rPr>
          <w:rFonts w:ascii="Arial Narrow" w:hAnsi="Arial Narrow"/>
          <w:b/>
          <w:i/>
          <w:sz w:val="22"/>
          <w:szCs w:val="22"/>
        </w:rPr>
      </w:pPr>
      <w:r w:rsidRPr="004924E9">
        <w:rPr>
          <w:rFonts w:ascii="Arial Narrow" w:hAnsi="Arial Narrow"/>
          <w:b/>
          <w:i/>
          <w:sz w:val="22"/>
          <w:szCs w:val="22"/>
        </w:rPr>
        <w:t xml:space="preserve">Υπουργείο Μεταναστευτικής Πολιτικής </w:t>
      </w:r>
    </w:p>
    <w:p w:rsidR="00E6117F" w:rsidRPr="004924E9" w:rsidRDefault="00E6117F" w:rsidP="00E6117F">
      <w:pPr>
        <w:jc w:val="both"/>
        <w:rPr>
          <w:sz w:val="22"/>
          <w:szCs w:val="22"/>
        </w:rPr>
      </w:pPr>
    </w:p>
    <w:p w:rsidR="00E6117F" w:rsidRPr="003C7217" w:rsidRDefault="00E6117F" w:rsidP="00E6117F">
      <w:pPr>
        <w:jc w:val="both"/>
        <w:rPr>
          <w:sz w:val="22"/>
          <w:szCs w:val="22"/>
        </w:rPr>
      </w:pPr>
      <w:r w:rsidRPr="003C7217">
        <w:rPr>
          <w:sz w:val="22"/>
          <w:szCs w:val="22"/>
        </w:rPr>
        <w:t>Έχουν προβλεφθεί πιστώσεις που θα καλύψουν δαπάνες για:</w:t>
      </w:r>
    </w:p>
    <w:p w:rsidR="00E6117F" w:rsidRPr="003C7217" w:rsidRDefault="00E6117F" w:rsidP="00E6117F">
      <w:pPr>
        <w:jc w:val="both"/>
        <w:rPr>
          <w:sz w:val="22"/>
          <w:szCs w:val="22"/>
        </w:rPr>
      </w:pPr>
    </w:p>
    <w:p w:rsidR="00E6117F" w:rsidRPr="003C7217" w:rsidRDefault="00E6117F" w:rsidP="00E6117F">
      <w:pPr>
        <w:numPr>
          <w:ilvl w:val="0"/>
          <w:numId w:val="3"/>
        </w:numPr>
        <w:tabs>
          <w:tab w:val="num" w:pos="426"/>
        </w:tabs>
        <w:autoSpaceDE w:val="0"/>
        <w:autoSpaceDN w:val="0"/>
        <w:adjustRightInd w:val="0"/>
        <w:ind w:left="425" w:hanging="425"/>
        <w:jc w:val="both"/>
        <w:rPr>
          <w:sz w:val="22"/>
          <w:szCs w:val="22"/>
        </w:rPr>
      </w:pPr>
      <w:r w:rsidRPr="003C7217">
        <w:rPr>
          <w:sz w:val="22"/>
          <w:szCs w:val="22"/>
        </w:rPr>
        <w:t>το σχεδιασμό και την εφαρμο</w:t>
      </w:r>
      <w:r w:rsidR="003C7217">
        <w:rPr>
          <w:sz w:val="22"/>
          <w:szCs w:val="22"/>
        </w:rPr>
        <w:t>γή της εθνικής πολιτικής για τη</w:t>
      </w:r>
      <w:r w:rsidRPr="003C7217">
        <w:rPr>
          <w:sz w:val="22"/>
          <w:szCs w:val="22"/>
        </w:rPr>
        <w:t xml:space="preserve"> μετανάστευση, τόσο σχετικά με την νόμιμη είσοδο, διαμονή και κοινωνική ένταξη των πολιτών τρίτων χωρών στην ελληνική επικρ</w:t>
      </w:r>
      <w:r w:rsidRPr="003C7217">
        <w:rPr>
          <w:sz w:val="22"/>
          <w:szCs w:val="22"/>
        </w:rPr>
        <w:t>ά</w:t>
      </w:r>
      <w:r w:rsidRPr="003C7217">
        <w:rPr>
          <w:sz w:val="22"/>
          <w:szCs w:val="22"/>
        </w:rPr>
        <w:t>τεια, όσο και σχετικά με την ταυτοποίηση και υποδοχή πολιτών τρίτων χωρών που εισέρ</w:t>
      </w:r>
      <w:r w:rsidR="003C7217">
        <w:rPr>
          <w:sz w:val="22"/>
          <w:szCs w:val="22"/>
        </w:rPr>
        <w:t>χονται στη χ</w:t>
      </w:r>
      <w:r w:rsidRPr="003C7217">
        <w:rPr>
          <w:sz w:val="22"/>
          <w:szCs w:val="22"/>
        </w:rPr>
        <w:t xml:space="preserve">ώρα χωρίς τις νόμιμες διατυπώσεις, </w:t>
      </w:r>
    </w:p>
    <w:p w:rsidR="00E6117F" w:rsidRPr="003C7217" w:rsidRDefault="003C7217" w:rsidP="00E6117F">
      <w:pPr>
        <w:numPr>
          <w:ilvl w:val="0"/>
          <w:numId w:val="3"/>
        </w:numPr>
        <w:tabs>
          <w:tab w:val="num" w:pos="426"/>
        </w:tabs>
        <w:autoSpaceDE w:val="0"/>
        <w:autoSpaceDN w:val="0"/>
        <w:adjustRightInd w:val="0"/>
        <w:ind w:left="425" w:hanging="425"/>
        <w:jc w:val="both"/>
        <w:rPr>
          <w:sz w:val="22"/>
          <w:szCs w:val="22"/>
        </w:rPr>
      </w:pPr>
      <w:r>
        <w:rPr>
          <w:sz w:val="22"/>
          <w:szCs w:val="22"/>
        </w:rPr>
        <w:t>το</w:t>
      </w:r>
      <w:r w:rsidR="00E6117F" w:rsidRPr="003C7217">
        <w:rPr>
          <w:sz w:val="22"/>
          <w:szCs w:val="22"/>
        </w:rPr>
        <w:t xml:space="preserve"> σχεδιασμό και την υλοποίηση της εθνικής πολιτικής για τη χορήγηση ασύλου ή άλλων μο</w:t>
      </w:r>
      <w:r w:rsidR="00E6117F" w:rsidRPr="003C7217">
        <w:rPr>
          <w:sz w:val="22"/>
          <w:szCs w:val="22"/>
        </w:rPr>
        <w:t>ρ</w:t>
      </w:r>
      <w:r w:rsidR="00E6117F" w:rsidRPr="003C7217">
        <w:rPr>
          <w:sz w:val="22"/>
          <w:szCs w:val="22"/>
        </w:rPr>
        <w:t>φών διεθνούς προστασίας και την παροχή προστασίας των αιτούντων και των ατόμων που διαπ</w:t>
      </w:r>
      <w:r w:rsidR="00E6117F" w:rsidRPr="003C7217">
        <w:rPr>
          <w:sz w:val="22"/>
          <w:szCs w:val="22"/>
        </w:rPr>
        <w:t>ι</w:t>
      </w:r>
      <w:r w:rsidR="00E6117F" w:rsidRPr="003C7217">
        <w:rPr>
          <w:sz w:val="22"/>
          <w:szCs w:val="22"/>
        </w:rPr>
        <w:t>στωμέ</w:t>
      </w:r>
      <w:r w:rsidR="00727177">
        <w:rPr>
          <w:sz w:val="22"/>
          <w:szCs w:val="22"/>
        </w:rPr>
        <w:t>να χρήζουν διεθνούς προστασίας.</w:t>
      </w:r>
    </w:p>
    <w:p w:rsidR="003C7217" w:rsidRDefault="003C7217" w:rsidP="00E6117F">
      <w:pPr>
        <w:autoSpaceDE w:val="0"/>
        <w:autoSpaceDN w:val="0"/>
        <w:adjustRightInd w:val="0"/>
        <w:jc w:val="both"/>
        <w:rPr>
          <w:rFonts w:ascii="Arial Narrow" w:hAnsi="Arial Narrow"/>
          <w:b/>
          <w:i/>
          <w:sz w:val="22"/>
        </w:rPr>
      </w:pPr>
    </w:p>
    <w:p w:rsidR="00E6117F" w:rsidRPr="00EC7738" w:rsidRDefault="00E6117F" w:rsidP="00E6117F">
      <w:pPr>
        <w:autoSpaceDE w:val="0"/>
        <w:autoSpaceDN w:val="0"/>
        <w:adjustRightInd w:val="0"/>
        <w:jc w:val="both"/>
        <w:rPr>
          <w:rFonts w:ascii="Arial Narrow" w:hAnsi="Arial Narrow"/>
          <w:b/>
          <w:i/>
          <w:sz w:val="22"/>
        </w:rPr>
      </w:pPr>
      <w:r w:rsidRPr="00EC7738">
        <w:rPr>
          <w:rFonts w:ascii="Arial Narrow" w:hAnsi="Arial Narrow"/>
          <w:b/>
          <w:i/>
          <w:sz w:val="22"/>
        </w:rPr>
        <w:t>Υπουργείο Διοικητικής Ανασυγκρότησης</w:t>
      </w:r>
    </w:p>
    <w:p w:rsidR="00E6117F" w:rsidRPr="0019006E" w:rsidRDefault="00E6117F" w:rsidP="00E6117F">
      <w:pPr>
        <w:autoSpaceDE w:val="0"/>
        <w:autoSpaceDN w:val="0"/>
        <w:adjustRightInd w:val="0"/>
        <w:jc w:val="both"/>
        <w:rPr>
          <w:color w:val="000000"/>
          <w:sz w:val="22"/>
          <w:szCs w:val="22"/>
        </w:rPr>
      </w:pPr>
    </w:p>
    <w:p w:rsidR="00E6117F" w:rsidRPr="0019006E" w:rsidRDefault="00E6117F" w:rsidP="00E6117F">
      <w:pPr>
        <w:autoSpaceDE w:val="0"/>
        <w:autoSpaceDN w:val="0"/>
        <w:adjustRightInd w:val="0"/>
        <w:jc w:val="both"/>
        <w:rPr>
          <w:color w:val="000000"/>
          <w:sz w:val="22"/>
          <w:szCs w:val="22"/>
        </w:rPr>
      </w:pPr>
      <w:r w:rsidRPr="0019006E">
        <w:rPr>
          <w:color w:val="000000"/>
          <w:sz w:val="22"/>
          <w:szCs w:val="22"/>
        </w:rPr>
        <w:t>Οι πιστώσεις του προϋπολογισμού του Υπουργείου</w:t>
      </w:r>
      <w:r>
        <w:rPr>
          <w:color w:val="000000"/>
          <w:sz w:val="22"/>
          <w:szCs w:val="22"/>
        </w:rPr>
        <w:t>, πέραν των λειτουργικών</w:t>
      </w:r>
      <w:r w:rsidR="00EF4932">
        <w:rPr>
          <w:color w:val="000000"/>
          <w:sz w:val="22"/>
          <w:szCs w:val="22"/>
        </w:rPr>
        <w:t xml:space="preserve"> του</w:t>
      </w:r>
      <w:r>
        <w:rPr>
          <w:color w:val="000000"/>
          <w:sz w:val="22"/>
          <w:szCs w:val="22"/>
        </w:rPr>
        <w:t xml:space="preserve"> δαπανών,</w:t>
      </w:r>
      <w:r w:rsidRPr="0019006E">
        <w:rPr>
          <w:color w:val="000000"/>
          <w:sz w:val="22"/>
          <w:szCs w:val="22"/>
        </w:rPr>
        <w:t xml:space="preserve"> προβλέπ</w:t>
      </w:r>
      <w:r>
        <w:rPr>
          <w:color w:val="000000"/>
          <w:sz w:val="22"/>
          <w:szCs w:val="22"/>
        </w:rPr>
        <w:t>ε</w:t>
      </w:r>
      <w:r w:rsidRPr="0019006E">
        <w:rPr>
          <w:color w:val="000000"/>
          <w:sz w:val="22"/>
          <w:szCs w:val="22"/>
        </w:rPr>
        <w:t>ται να καλύψουν</w:t>
      </w:r>
      <w:r>
        <w:rPr>
          <w:color w:val="000000"/>
          <w:sz w:val="22"/>
          <w:szCs w:val="22"/>
        </w:rPr>
        <w:t xml:space="preserve"> και</w:t>
      </w:r>
      <w:r w:rsidRPr="0019006E">
        <w:rPr>
          <w:color w:val="000000"/>
          <w:sz w:val="22"/>
          <w:szCs w:val="22"/>
        </w:rPr>
        <w:t xml:space="preserve"> δαπάνες</w:t>
      </w:r>
      <w:r w:rsidRPr="00734B54">
        <w:rPr>
          <w:color w:val="000000"/>
          <w:sz w:val="22"/>
          <w:szCs w:val="22"/>
        </w:rPr>
        <w:t xml:space="preserve"> </w:t>
      </w:r>
      <w:r w:rsidRPr="0019006E">
        <w:rPr>
          <w:color w:val="000000"/>
          <w:sz w:val="22"/>
          <w:szCs w:val="22"/>
        </w:rPr>
        <w:t>του Γενικού Επιθεωρητή Δημόσιας Διοίκησης, του Ανωτάτου Συμβο</w:t>
      </w:r>
      <w:r w:rsidRPr="0019006E">
        <w:rPr>
          <w:color w:val="000000"/>
          <w:sz w:val="22"/>
          <w:szCs w:val="22"/>
        </w:rPr>
        <w:t>υ</w:t>
      </w:r>
      <w:r w:rsidRPr="0019006E">
        <w:rPr>
          <w:color w:val="000000"/>
          <w:sz w:val="22"/>
          <w:szCs w:val="22"/>
        </w:rPr>
        <w:t>λίου Επιλογής Προσωπικού (ΑΣΕ</w:t>
      </w:r>
      <w:r>
        <w:rPr>
          <w:color w:val="000000"/>
          <w:sz w:val="22"/>
          <w:szCs w:val="22"/>
        </w:rPr>
        <w:t>Π) και του Συνηγόρου του Πολίτη</w:t>
      </w:r>
      <w:r w:rsidR="00EF4932">
        <w:rPr>
          <w:color w:val="000000"/>
          <w:sz w:val="22"/>
          <w:szCs w:val="22"/>
        </w:rPr>
        <w:t xml:space="preserve">, καθώς και την </w:t>
      </w:r>
      <w:r w:rsidRPr="0019006E">
        <w:rPr>
          <w:color w:val="000000"/>
          <w:sz w:val="22"/>
          <w:szCs w:val="22"/>
        </w:rPr>
        <w:t>επιχορ</w:t>
      </w:r>
      <w:r w:rsidR="003C7217">
        <w:rPr>
          <w:color w:val="000000"/>
          <w:sz w:val="22"/>
          <w:szCs w:val="22"/>
        </w:rPr>
        <w:t>ή</w:t>
      </w:r>
      <w:r>
        <w:rPr>
          <w:color w:val="000000"/>
          <w:sz w:val="22"/>
          <w:szCs w:val="22"/>
        </w:rPr>
        <w:t>γηση</w:t>
      </w:r>
      <w:r w:rsidRPr="0019006E">
        <w:rPr>
          <w:color w:val="000000"/>
          <w:sz w:val="22"/>
          <w:szCs w:val="22"/>
        </w:rPr>
        <w:t xml:space="preserve"> του Εθνικού Κέντρου Δημόσ</w:t>
      </w:r>
      <w:r>
        <w:rPr>
          <w:color w:val="000000"/>
          <w:sz w:val="22"/>
          <w:szCs w:val="22"/>
        </w:rPr>
        <w:t xml:space="preserve">ιας Διοίκησης και Αυτοδιοίκησης </w:t>
      </w:r>
      <w:r w:rsidRPr="0019006E">
        <w:rPr>
          <w:color w:val="000000"/>
          <w:sz w:val="22"/>
          <w:szCs w:val="22"/>
        </w:rPr>
        <w:t>(ΕΚΔΔΑ)</w:t>
      </w:r>
      <w:r>
        <w:rPr>
          <w:color w:val="000000"/>
          <w:sz w:val="22"/>
          <w:szCs w:val="22"/>
        </w:rPr>
        <w:t>.</w:t>
      </w:r>
    </w:p>
    <w:p w:rsidR="00E6117F" w:rsidRPr="0019006E" w:rsidRDefault="00E6117F" w:rsidP="00E6117F">
      <w:pPr>
        <w:autoSpaceDE w:val="0"/>
        <w:autoSpaceDN w:val="0"/>
        <w:adjustRightInd w:val="0"/>
        <w:jc w:val="both"/>
        <w:rPr>
          <w:rFonts w:ascii="Arial Narrow" w:hAnsi="Arial Narrow"/>
          <w:b/>
          <w:i/>
          <w:sz w:val="22"/>
        </w:rPr>
      </w:pPr>
    </w:p>
    <w:p w:rsidR="00E6117F" w:rsidRPr="00EC7738" w:rsidRDefault="00E6117F" w:rsidP="00EC7738">
      <w:pPr>
        <w:autoSpaceDE w:val="0"/>
        <w:autoSpaceDN w:val="0"/>
        <w:adjustRightInd w:val="0"/>
        <w:jc w:val="both"/>
        <w:rPr>
          <w:rFonts w:ascii="Arial Narrow" w:hAnsi="Arial Narrow"/>
          <w:b/>
          <w:i/>
          <w:sz w:val="22"/>
        </w:rPr>
      </w:pPr>
      <w:r w:rsidRPr="00EC7738">
        <w:rPr>
          <w:rFonts w:ascii="Arial Narrow" w:hAnsi="Arial Narrow"/>
          <w:b/>
          <w:i/>
          <w:sz w:val="22"/>
        </w:rPr>
        <w:t>Υπουργείο Πολιτισμού και Αθλητισμού</w:t>
      </w:r>
    </w:p>
    <w:p w:rsidR="00E6117F" w:rsidRPr="000D77D4" w:rsidRDefault="00E6117F" w:rsidP="00E6117F">
      <w:pPr>
        <w:jc w:val="both"/>
        <w:rPr>
          <w:b/>
          <w:i/>
          <w:sz w:val="22"/>
          <w:szCs w:val="22"/>
        </w:rPr>
      </w:pPr>
    </w:p>
    <w:p w:rsidR="00E6117F" w:rsidRPr="000D77D4" w:rsidRDefault="00E6117F" w:rsidP="00E6117F">
      <w:pPr>
        <w:jc w:val="both"/>
        <w:rPr>
          <w:sz w:val="22"/>
          <w:szCs w:val="22"/>
        </w:rPr>
      </w:pPr>
      <w:r w:rsidRPr="000D77D4">
        <w:rPr>
          <w:sz w:val="22"/>
          <w:szCs w:val="22"/>
        </w:rPr>
        <w:t>Οι πιστώσεις του Υπουργείου Πολιτισμού και Αθλητισμού θα καλύψουν κυρίως δαπάνες:</w:t>
      </w:r>
    </w:p>
    <w:p w:rsidR="00E6117F" w:rsidRPr="000D77D4" w:rsidRDefault="00E6117F" w:rsidP="00E6117F">
      <w:pPr>
        <w:jc w:val="both"/>
        <w:rPr>
          <w:sz w:val="22"/>
          <w:szCs w:val="22"/>
        </w:rPr>
      </w:pPr>
    </w:p>
    <w:p w:rsidR="00E6117F" w:rsidRPr="000D77D4" w:rsidRDefault="00E6117F" w:rsidP="00E6117F">
      <w:pPr>
        <w:numPr>
          <w:ilvl w:val="0"/>
          <w:numId w:val="3"/>
        </w:numPr>
        <w:tabs>
          <w:tab w:val="num" w:pos="426"/>
        </w:tabs>
        <w:autoSpaceDE w:val="0"/>
        <w:autoSpaceDN w:val="0"/>
        <w:adjustRightInd w:val="0"/>
        <w:ind w:left="425" w:hanging="425"/>
        <w:jc w:val="both"/>
        <w:rPr>
          <w:sz w:val="22"/>
          <w:szCs w:val="22"/>
        </w:rPr>
      </w:pPr>
      <w:r w:rsidRPr="000D77D4">
        <w:rPr>
          <w:sz w:val="22"/>
          <w:szCs w:val="22"/>
        </w:rPr>
        <w:t xml:space="preserve">μισθοδοσίας του προσωπικού και πρόσληψης εποχικού προσωπικού </w:t>
      </w:r>
      <w:r>
        <w:rPr>
          <w:sz w:val="22"/>
          <w:szCs w:val="22"/>
        </w:rPr>
        <w:t>για τη</w:t>
      </w:r>
      <w:r w:rsidRPr="000D77D4">
        <w:rPr>
          <w:sz w:val="22"/>
          <w:szCs w:val="22"/>
        </w:rPr>
        <w:t xml:space="preserve"> φύλαξη</w:t>
      </w:r>
      <w:r>
        <w:rPr>
          <w:sz w:val="22"/>
          <w:szCs w:val="22"/>
        </w:rPr>
        <w:t xml:space="preserve"> των</w:t>
      </w:r>
      <w:r w:rsidRPr="000D77D4">
        <w:rPr>
          <w:sz w:val="22"/>
          <w:szCs w:val="22"/>
        </w:rPr>
        <w:t xml:space="preserve"> μουσείων και των αρχαιολογικών χώρων,</w:t>
      </w:r>
    </w:p>
    <w:p w:rsidR="00E6117F" w:rsidRPr="000D77D4" w:rsidRDefault="00E6117F" w:rsidP="00E6117F">
      <w:pPr>
        <w:numPr>
          <w:ilvl w:val="0"/>
          <w:numId w:val="3"/>
        </w:numPr>
        <w:tabs>
          <w:tab w:val="num" w:pos="426"/>
        </w:tabs>
        <w:autoSpaceDE w:val="0"/>
        <w:autoSpaceDN w:val="0"/>
        <w:adjustRightInd w:val="0"/>
        <w:ind w:left="425" w:hanging="425"/>
        <w:jc w:val="both"/>
        <w:rPr>
          <w:sz w:val="22"/>
          <w:szCs w:val="22"/>
        </w:rPr>
      </w:pPr>
      <w:r w:rsidRPr="000D77D4">
        <w:rPr>
          <w:sz w:val="22"/>
          <w:szCs w:val="22"/>
        </w:rPr>
        <w:lastRenderedPageBreak/>
        <w:t>συντήρησης, διαμόρφωσης και προστασίας των αρχαιολογικών χώρων και μουσείων, με στόχο την προστασία και την ανάδειξη της πολιτιστικής κληρονομιάς,</w:t>
      </w:r>
    </w:p>
    <w:p w:rsidR="00E6117F" w:rsidRPr="000D77D4" w:rsidRDefault="00E6117F" w:rsidP="00E6117F">
      <w:pPr>
        <w:numPr>
          <w:ilvl w:val="0"/>
          <w:numId w:val="3"/>
        </w:numPr>
        <w:tabs>
          <w:tab w:val="num" w:pos="426"/>
        </w:tabs>
        <w:autoSpaceDE w:val="0"/>
        <w:autoSpaceDN w:val="0"/>
        <w:adjustRightInd w:val="0"/>
        <w:ind w:left="425" w:hanging="425"/>
        <w:jc w:val="both"/>
        <w:rPr>
          <w:sz w:val="22"/>
          <w:szCs w:val="22"/>
        </w:rPr>
      </w:pPr>
      <w:r w:rsidRPr="00730563">
        <w:rPr>
          <w:sz w:val="22"/>
          <w:szCs w:val="22"/>
        </w:rPr>
        <w:t>λειτουργικών</w:t>
      </w:r>
      <w:r w:rsidRPr="000D77D4">
        <w:rPr>
          <w:sz w:val="22"/>
          <w:szCs w:val="22"/>
        </w:rPr>
        <w:t xml:space="preserve"> αναγκών των αρχαιολογικών υπηρεσιών,</w:t>
      </w:r>
    </w:p>
    <w:p w:rsidR="00E6117F" w:rsidRPr="000D77D4" w:rsidRDefault="00E6117F" w:rsidP="00E6117F">
      <w:pPr>
        <w:numPr>
          <w:ilvl w:val="0"/>
          <w:numId w:val="3"/>
        </w:numPr>
        <w:tabs>
          <w:tab w:val="num" w:pos="426"/>
        </w:tabs>
        <w:autoSpaceDE w:val="0"/>
        <w:autoSpaceDN w:val="0"/>
        <w:adjustRightInd w:val="0"/>
        <w:ind w:left="425" w:hanging="425"/>
        <w:jc w:val="both"/>
        <w:rPr>
          <w:sz w:val="22"/>
          <w:szCs w:val="22"/>
        </w:rPr>
      </w:pPr>
      <w:r w:rsidRPr="00730563">
        <w:rPr>
          <w:sz w:val="22"/>
          <w:szCs w:val="22"/>
        </w:rPr>
        <w:t>επιχορηγήσεων</w:t>
      </w:r>
      <w:r w:rsidRPr="000D77D4">
        <w:rPr>
          <w:sz w:val="22"/>
          <w:szCs w:val="22"/>
        </w:rPr>
        <w:t xml:space="preserve"> φορέων που προάγουν τον πολιτισμό και τον αθλητισμό,</w:t>
      </w:r>
    </w:p>
    <w:p w:rsidR="00E6117F" w:rsidRPr="000D77D4" w:rsidRDefault="00E6117F" w:rsidP="00E6117F">
      <w:pPr>
        <w:numPr>
          <w:ilvl w:val="0"/>
          <w:numId w:val="3"/>
        </w:numPr>
        <w:tabs>
          <w:tab w:val="num" w:pos="426"/>
        </w:tabs>
        <w:autoSpaceDE w:val="0"/>
        <w:autoSpaceDN w:val="0"/>
        <w:adjustRightInd w:val="0"/>
        <w:ind w:left="425" w:hanging="425"/>
        <w:jc w:val="both"/>
        <w:rPr>
          <w:sz w:val="22"/>
          <w:szCs w:val="22"/>
        </w:rPr>
      </w:pPr>
      <w:r w:rsidRPr="00730563">
        <w:rPr>
          <w:sz w:val="22"/>
          <w:szCs w:val="22"/>
        </w:rPr>
        <w:t>κάλυψης</w:t>
      </w:r>
      <w:r w:rsidRPr="000D77D4">
        <w:rPr>
          <w:sz w:val="22"/>
          <w:szCs w:val="22"/>
        </w:rPr>
        <w:t xml:space="preserve"> πολιτιστικών εκδηλώσεων, συνεδρίων και προγραμμάτων διάδοσης του ελληνικού π</w:t>
      </w:r>
      <w:r w:rsidRPr="000D77D4">
        <w:rPr>
          <w:sz w:val="22"/>
          <w:szCs w:val="22"/>
        </w:rPr>
        <w:t>ο</w:t>
      </w:r>
      <w:r w:rsidRPr="000D77D4">
        <w:rPr>
          <w:sz w:val="22"/>
          <w:szCs w:val="22"/>
        </w:rPr>
        <w:t>λιτισμού,</w:t>
      </w:r>
    </w:p>
    <w:p w:rsidR="00E6117F" w:rsidRDefault="00E6117F" w:rsidP="00E6117F">
      <w:pPr>
        <w:numPr>
          <w:ilvl w:val="0"/>
          <w:numId w:val="3"/>
        </w:numPr>
        <w:tabs>
          <w:tab w:val="num" w:pos="426"/>
        </w:tabs>
        <w:autoSpaceDE w:val="0"/>
        <w:autoSpaceDN w:val="0"/>
        <w:adjustRightInd w:val="0"/>
        <w:ind w:left="425" w:hanging="425"/>
        <w:jc w:val="both"/>
        <w:rPr>
          <w:sz w:val="22"/>
          <w:szCs w:val="22"/>
        </w:rPr>
      </w:pPr>
      <w:r w:rsidRPr="00730563">
        <w:rPr>
          <w:sz w:val="22"/>
          <w:szCs w:val="22"/>
        </w:rPr>
        <w:t>προβολής</w:t>
      </w:r>
      <w:r w:rsidRPr="000D77D4">
        <w:rPr>
          <w:sz w:val="22"/>
          <w:szCs w:val="22"/>
        </w:rPr>
        <w:t xml:space="preserve"> των πολιτιστικών θησαυρών της χώρας στο εξωτερικό </w:t>
      </w:r>
      <w:r w:rsidR="000D4290">
        <w:rPr>
          <w:sz w:val="22"/>
          <w:szCs w:val="22"/>
        </w:rPr>
        <w:t>με σκοπό</w:t>
      </w:r>
      <w:r w:rsidRPr="000D77D4">
        <w:rPr>
          <w:sz w:val="22"/>
          <w:szCs w:val="22"/>
        </w:rPr>
        <w:t xml:space="preserve"> την </w:t>
      </w:r>
      <w:r w:rsidR="00B94199">
        <w:rPr>
          <w:sz w:val="22"/>
          <w:szCs w:val="22"/>
        </w:rPr>
        <w:t>καθιέρωσή</w:t>
      </w:r>
      <w:r w:rsidRPr="000D77D4">
        <w:rPr>
          <w:sz w:val="22"/>
          <w:szCs w:val="22"/>
        </w:rPr>
        <w:t xml:space="preserve"> της ως προορισμ</w:t>
      </w:r>
      <w:r w:rsidR="000D4290">
        <w:rPr>
          <w:sz w:val="22"/>
          <w:szCs w:val="22"/>
        </w:rPr>
        <w:t>ό</w:t>
      </w:r>
      <w:r>
        <w:rPr>
          <w:sz w:val="22"/>
          <w:szCs w:val="22"/>
        </w:rPr>
        <w:t xml:space="preserve"> </w:t>
      </w:r>
      <w:r w:rsidR="000D4290">
        <w:rPr>
          <w:sz w:val="22"/>
          <w:szCs w:val="22"/>
        </w:rPr>
        <w:t>υψηλού</w:t>
      </w:r>
      <w:r>
        <w:rPr>
          <w:sz w:val="22"/>
          <w:szCs w:val="22"/>
        </w:rPr>
        <w:t xml:space="preserve"> πολιτιστικ</w:t>
      </w:r>
      <w:r w:rsidR="000D4290">
        <w:rPr>
          <w:sz w:val="22"/>
          <w:szCs w:val="22"/>
        </w:rPr>
        <w:t>ού</w:t>
      </w:r>
      <w:r>
        <w:rPr>
          <w:sz w:val="22"/>
          <w:szCs w:val="22"/>
        </w:rPr>
        <w:t xml:space="preserve"> ενδιαφέρον</w:t>
      </w:r>
      <w:r w:rsidR="000D4290">
        <w:rPr>
          <w:sz w:val="22"/>
          <w:szCs w:val="22"/>
        </w:rPr>
        <w:t>τος</w:t>
      </w:r>
      <w:r>
        <w:rPr>
          <w:sz w:val="22"/>
          <w:szCs w:val="22"/>
        </w:rPr>
        <w:t>.</w:t>
      </w:r>
      <w:r w:rsidRPr="000D77D4">
        <w:rPr>
          <w:sz w:val="22"/>
          <w:szCs w:val="22"/>
        </w:rPr>
        <w:t xml:space="preserve"> </w:t>
      </w:r>
    </w:p>
    <w:p w:rsidR="00E6117F" w:rsidRPr="000D77D4" w:rsidRDefault="00E6117F" w:rsidP="00E6117F">
      <w:pPr>
        <w:ind w:left="720"/>
        <w:jc w:val="both"/>
        <w:rPr>
          <w:sz w:val="22"/>
          <w:szCs w:val="22"/>
        </w:rPr>
      </w:pPr>
    </w:p>
    <w:p w:rsidR="00E6117F" w:rsidRPr="00EC7738" w:rsidRDefault="00E6117F" w:rsidP="00EC7738">
      <w:pPr>
        <w:autoSpaceDE w:val="0"/>
        <w:autoSpaceDN w:val="0"/>
        <w:adjustRightInd w:val="0"/>
        <w:jc w:val="both"/>
        <w:rPr>
          <w:rFonts w:ascii="Arial Narrow" w:hAnsi="Arial Narrow"/>
          <w:b/>
          <w:i/>
          <w:sz w:val="22"/>
        </w:rPr>
      </w:pPr>
      <w:r w:rsidRPr="00EC7738">
        <w:rPr>
          <w:rFonts w:ascii="Arial Narrow" w:hAnsi="Arial Narrow"/>
          <w:b/>
          <w:i/>
          <w:sz w:val="22"/>
        </w:rPr>
        <w:t xml:space="preserve">Υπουργείο Περιβάλλοντος και Ενέργειας </w:t>
      </w:r>
    </w:p>
    <w:p w:rsidR="00E6117F" w:rsidRPr="004335E3" w:rsidRDefault="00E6117F" w:rsidP="00E6117F">
      <w:pPr>
        <w:rPr>
          <w:b/>
          <w:sz w:val="22"/>
          <w:szCs w:val="22"/>
        </w:rPr>
      </w:pPr>
    </w:p>
    <w:p w:rsidR="00E6117F" w:rsidRPr="004335E3" w:rsidRDefault="00E6117F" w:rsidP="00E6117F">
      <w:pPr>
        <w:rPr>
          <w:sz w:val="22"/>
          <w:szCs w:val="22"/>
        </w:rPr>
      </w:pPr>
      <w:r w:rsidRPr="004335E3">
        <w:rPr>
          <w:sz w:val="22"/>
          <w:szCs w:val="22"/>
        </w:rPr>
        <w:t>Οι πιστώσεις του προϋπολογισμού του Υπουργείου θα καλύψουν κυρίως :</w:t>
      </w:r>
    </w:p>
    <w:p w:rsidR="00E6117F" w:rsidRPr="004335E3" w:rsidRDefault="00E6117F" w:rsidP="00E6117F">
      <w:pPr>
        <w:rPr>
          <w:sz w:val="22"/>
          <w:szCs w:val="22"/>
        </w:rPr>
      </w:pPr>
    </w:p>
    <w:p w:rsidR="00E6117F" w:rsidRPr="004335E3" w:rsidRDefault="00E6117F" w:rsidP="00E6117F">
      <w:pPr>
        <w:numPr>
          <w:ilvl w:val="0"/>
          <w:numId w:val="3"/>
        </w:numPr>
        <w:tabs>
          <w:tab w:val="num" w:pos="426"/>
        </w:tabs>
        <w:autoSpaceDE w:val="0"/>
        <w:autoSpaceDN w:val="0"/>
        <w:adjustRightInd w:val="0"/>
        <w:ind w:left="425" w:hanging="425"/>
        <w:jc w:val="both"/>
        <w:rPr>
          <w:sz w:val="22"/>
          <w:szCs w:val="22"/>
        </w:rPr>
      </w:pPr>
      <w:r w:rsidRPr="004335E3">
        <w:rPr>
          <w:sz w:val="22"/>
          <w:szCs w:val="22"/>
        </w:rPr>
        <w:t xml:space="preserve">την </w:t>
      </w:r>
      <w:r w:rsidRPr="00730563">
        <w:rPr>
          <w:sz w:val="22"/>
          <w:szCs w:val="22"/>
        </w:rPr>
        <w:t>επιχορήγηση</w:t>
      </w:r>
      <w:r w:rsidRPr="004335E3">
        <w:rPr>
          <w:sz w:val="22"/>
          <w:szCs w:val="22"/>
        </w:rPr>
        <w:t xml:space="preserve"> των εποπτευόμενων από το υπουργείο φορέων (ΕΚΠΑΑ,</w:t>
      </w:r>
      <w:r>
        <w:rPr>
          <w:sz w:val="22"/>
          <w:szCs w:val="22"/>
        </w:rPr>
        <w:t xml:space="preserve"> </w:t>
      </w:r>
      <w:r w:rsidRPr="004335E3">
        <w:rPr>
          <w:sz w:val="22"/>
          <w:szCs w:val="22"/>
        </w:rPr>
        <w:t>ΙΓΜΕ, ΚΑΠΕ) για να συνεχιστεί απρόσκοπτα το επιστημονικό και ερευνητικό τους έργο,</w:t>
      </w:r>
    </w:p>
    <w:p w:rsidR="00E6117F" w:rsidRPr="004335E3" w:rsidRDefault="00E6117F" w:rsidP="00E6117F">
      <w:pPr>
        <w:numPr>
          <w:ilvl w:val="0"/>
          <w:numId w:val="3"/>
        </w:numPr>
        <w:tabs>
          <w:tab w:val="num" w:pos="426"/>
        </w:tabs>
        <w:autoSpaceDE w:val="0"/>
        <w:autoSpaceDN w:val="0"/>
        <w:adjustRightInd w:val="0"/>
        <w:ind w:left="425" w:hanging="425"/>
        <w:jc w:val="both"/>
        <w:rPr>
          <w:sz w:val="22"/>
          <w:szCs w:val="22"/>
        </w:rPr>
      </w:pPr>
      <w:r w:rsidRPr="004335E3">
        <w:rPr>
          <w:sz w:val="22"/>
          <w:szCs w:val="22"/>
        </w:rPr>
        <w:t xml:space="preserve"> τις </w:t>
      </w:r>
      <w:r w:rsidRPr="00730563">
        <w:rPr>
          <w:sz w:val="22"/>
          <w:szCs w:val="22"/>
        </w:rPr>
        <w:t>αποδόσεις</w:t>
      </w:r>
      <w:r w:rsidRPr="004335E3">
        <w:rPr>
          <w:sz w:val="22"/>
          <w:szCs w:val="22"/>
        </w:rPr>
        <w:t xml:space="preserve"> εσόδων στο Πράσινο Ταμείο και στον Ελ</w:t>
      </w:r>
      <w:r w:rsidR="003C7217">
        <w:rPr>
          <w:sz w:val="22"/>
          <w:szCs w:val="22"/>
        </w:rPr>
        <w:t>ληνικό Οργανισμό Ανακύκλωσης (ΕΟΑΝ</w:t>
      </w:r>
      <w:r w:rsidRPr="004335E3">
        <w:rPr>
          <w:sz w:val="22"/>
          <w:szCs w:val="22"/>
        </w:rPr>
        <w:t>) και</w:t>
      </w:r>
    </w:p>
    <w:p w:rsidR="00E6117F" w:rsidRPr="001601C0" w:rsidRDefault="00E6117F" w:rsidP="00E6117F">
      <w:pPr>
        <w:numPr>
          <w:ilvl w:val="0"/>
          <w:numId w:val="3"/>
        </w:numPr>
        <w:tabs>
          <w:tab w:val="num" w:pos="426"/>
        </w:tabs>
        <w:autoSpaceDE w:val="0"/>
        <w:autoSpaceDN w:val="0"/>
        <w:adjustRightInd w:val="0"/>
        <w:ind w:left="425" w:hanging="425"/>
        <w:jc w:val="both"/>
        <w:rPr>
          <w:sz w:val="22"/>
          <w:szCs w:val="22"/>
        </w:rPr>
      </w:pPr>
      <w:r w:rsidRPr="004335E3">
        <w:rPr>
          <w:sz w:val="22"/>
          <w:szCs w:val="22"/>
        </w:rPr>
        <w:t xml:space="preserve">τη </w:t>
      </w:r>
      <w:r w:rsidRPr="00730563">
        <w:rPr>
          <w:sz w:val="22"/>
          <w:szCs w:val="22"/>
        </w:rPr>
        <w:t>χρηματοδότηση</w:t>
      </w:r>
      <w:r w:rsidRPr="004335E3">
        <w:rPr>
          <w:sz w:val="22"/>
          <w:szCs w:val="22"/>
        </w:rPr>
        <w:t xml:space="preserve"> προγραμμάτων προστασίας του δασικού πλούτου της χώρας</w:t>
      </w:r>
      <w:r w:rsidRPr="001601C0">
        <w:rPr>
          <w:sz w:val="22"/>
          <w:szCs w:val="22"/>
        </w:rPr>
        <w:t xml:space="preserve"> .</w:t>
      </w:r>
    </w:p>
    <w:p w:rsidR="00E6117F" w:rsidRPr="001601C0" w:rsidRDefault="00E6117F" w:rsidP="00E6117F">
      <w:pPr>
        <w:rPr>
          <w:sz w:val="22"/>
          <w:szCs w:val="22"/>
        </w:rPr>
      </w:pPr>
    </w:p>
    <w:p w:rsidR="00E6117F" w:rsidRPr="00EC7738" w:rsidRDefault="00E6117F" w:rsidP="00E6117F">
      <w:pPr>
        <w:autoSpaceDE w:val="0"/>
        <w:autoSpaceDN w:val="0"/>
        <w:adjustRightInd w:val="0"/>
        <w:jc w:val="both"/>
        <w:rPr>
          <w:rFonts w:ascii="Arial Narrow" w:hAnsi="Arial Narrow"/>
          <w:b/>
          <w:i/>
          <w:sz w:val="22"/>
        </w:rPr>
      </w:pPr>
      <w:r w:rsidRPr="00EC7738">
        <w:rPr>
          <w:rFonts w:ascii="Arial Narrow" w:hAnsi="Arial Narrow"/>
          <w:b/>
          <w:i/>
          <w:sz w:val="22"/>
        </w:rPr>
        <w:t>Υπουργείο Υποδομών και Μεταφορών</w:t>
      </w:r>
    </w:p>
    <w:p w:rsidR="00E6117F" w:rsidRPr="004924E9" w:rsidRDefault="00E6117F" w:rsidP="00E6117F">
      <w:pPr>
        <w:autoSpaceDE w:val="0"/>
        <w:autoSpaceDN w:val="0"/>
        <w:adjustRightInd w:val="0"/>
        <w:jc w:val="both"/>
        <w:rPr>
          <w:color w:val="000000"/>
          <w:sz w:val="22"/>
          <w:szCs w:val="22"/>
        </w:rPr>
      </w:pPr>
    </w:p>
    <w:p w:rsidR="00E6117F" w:rsidRPr="004924E9" w:rsidRDefault="00E6117F" w:rsidP="00E6117F">
      <w:pPr>
        <w:autoSpaceDE w:val="0"/>
        <w:autoSpaceDN w:val="0"/>
        <w:adjustRightInd w:val="0"/>
        <w:jc w:val="both"/>
        <w:rPr>
          <w:color w:val="000000"/>
          <w:sz w:val="22"/>
          <w:szCs w:val="22"/>
        </w:rPr>
      </w:pPr>
      <w:r w:rsidRPr="004924E9">
        <w:rPr>
          <w:color w:val="000000"/>
          <w:sz w:val="22"/>
          <w:szCs w:val="22"/>
        </w:rPr>
        <w:t>Οι πιστώσεις του προϋπολογισμού του Υπουργείου προβλέπεται, μεταξύ άλλων, να καλύψουν δαπ</w:t>
      </w:r>
      <w:r w:rsidRPr="004924E9">
        <w:rPr>
          <w:color w:val="000000"/>
          <w:sz w:val="22"/>
          <w:szCs w:val="22"/>
        </w:rPr>
        <w:t>ά</w:t>
      </w:r>
      <w:r w:rsidRPr="004924E9">
        <w:rPr>
          <w:color w:val="000000"/>
          <w:sz w:val="22"/>
          <w:szCs w:val="22"/>
        </w:rPr>
        <w:t>νες για:</w:t>
      </w:r>
    </w:p>
    <w:p w:rsidR="00E6117F" w:rsidRPr="004924E9" w:rsidRDefault="00E6117F" w:rsidP="00E6117F">
      <w:pPr>
        <w:autoSpaceDE w:val="0"/>
        <w:autoSpaceDN w:val="0"/>
        <w:adjustRightInd w:val="0"/>
        <w:jc w:val="both"/>
        <w:rPr>
          <w:color w:val="000000"/>
          <w:sz w:val="22"/>
          <w:szCs w:val="22"/>
        </w:rPr>
      </w:pPr>
    </w:p>
    <w:p w:rsidR="00E6117F" w:rsidRPr="004924E9" w:rsidRDefault="00E6117F" w:rsidP="00E6117F">
      <w:pPr>
        <w:numPr>
          <w:ilvl w:val="0"/>
          <w:numId w:val="11"/>
        </w:numPr>
        <w:autoSpaceDE w:val="0"/>
        <w:autoSpaceDN w:val="0"/>
        <w:adjustRightInd w:val="0"/>
        <w:ind w:left="284" w:hanging="284"/>
        <w:jc w:val="both"/>
        <w:rPr>
          <w:color w:val="000000"/>
          <w:sz w:val="22"/>
          <w:szCs w:val="22"/>
        </w:rPr>
      </w:pPr>
      <w:r w:rsidRPr="004924E9">
        <w:rPr>
          <w:color w:val="000000"/>
          <w:sz w:val="22"/>
          <w:szCs w:val="22"/>
        </w:rPr>
        <w:t>την επιχορήγηση των συγκοινωνιακών φορέων,</w:t>
      </w:r>
    </w:p>
    <w:p w:rsidR="00E6117F" w:rsidRPr="004924E9" w:rsidRDefault="00E6117F" w:rsidP="00E6117F">
      <w:pPr>
        <w:numPr>
          <w:ilvl w:val="0"/>
          <w:numId w:val="11"/>
        </w:numPr>
        <w:autoSpaceDE w:val="0"/>
        <w:autoSpaceDN w:val="0"/>
        <w:adjustRightInd w:val="0"/>
        <w:ind w:left="284" w:hanging="284"/>
        <w:jc w:val="both"/>
        <w:rPr>
          <w:color w:val="000000"/>
          <w:sz w:val="22"/>
          <w:szCs w:val="22"/>
        </w:rPr>
      </w:pPr>
      <w:r w:rsidRPr="004924E9">
        <w:rPr>
          <w:color w:val="000000"/>
          <w:sz w:val="22"/>
          <w:szCs w:val="22"/>
        </w:rPr>
        <w:t>την επιχορήγηση των λοιπών φορέων εποπτείας του, όπως Κτιριακές Υποδομές ΑΕ, Εταιρεία Π</w:t>
      </w:r>
      <w:r w:rsidRPr="004924E9">
        <w:rPr>
          <w:color w:val="000000"/>
          <w:sz w:val="22"/>
          <w:szCs w:val="22"/>
        </w:rPr>
        <w:t>α</w:t>
      </w:r>
      <w:r w:rsidRPr="004924E9">
        <w:rPr>
          <w:color w:val="000000"/>
          <w:sz w:val="22"/>
          <w:szCs w:val="22"/>
        </w:rPr>
        <w:t>γίων ΕΥΔΑΠ, Οργανισμός Αντισεισμικού Σχεδιασμού και Προστασίας,</w:t>
      </w:r>
    </w:p>
    <w:p w:rsidR="00E6117F" w:rsidRPr="004924E9" w:rsidRDefault="00E6117F" w:rsidP="00E6117F">
      <w:pPr>
        <w:numPr>
          <w:ilvl w:val="0"/>
          <w:numId w:val="11"/>
        </w:numPr>
        <w:autoSpaceDE w:val="0"/>
        <w:autoSpaceDN w:val="0"/>
        <w:adjustRightInd w:val="0"/>
        <w:ind w:left="284" w:hanging="284"/>
        <w:jc w:val="both"/>
        <w:rPr>
          <w:b/>
          <w:color w:val="000000"/>
          <w:sz w:val="22"/>
          <w:szCs w:val="22"/>
        </w:rPr>
      </w:pPr>
      <w:r w:rsidRPr="004924E9">
        <w:rPr>
          <w:color w:val="000000"/>
          <w:sz w:val="22"/>
          <w:szCs w:val="22"/>
        </w:rPr>
        <w:t xml:space="preserve">τη λειτουργία της Ρυθμιστικής Αρχής Σιδηροδρόμων, της Επιτροπής Διερεύνησης Ατυχημάτων και Ασφάλειας Πτήσεων, καθώς και της Επιτροπής Διερεύνησης Σιδηροδρομικών Ατυχημάτων και Συμβάντων και </w:t>
      </w:r>
    </w:p>
    <w:p w:rsidR="00E6117F" w:rsidRPr="004924E9" w:rsidRDefault="00E6117F" w:rsidP="00E6117F">
      <w:pPr>
        <w:numPr>
          <w:ilvl w:val="0"/>
          <w:numId w:val="11"/>
        </w:numPr>
        <w:autoSpaceDE w:val="0"/>
        <w:autoSpaceDN w:val="0"/>
        <w:adjustRightInd w:val="0"/>
        <w:ind w:left="284" w:hanging="284"/>
        <w:jc w:val="both"/>
        <w:rPr>
          <w:b/>
          <w:color w:val="000000"/>
          <w:sz w:val="22"/>
          <w:szCs w:val="22"/>
        </w:rPr>
      </w:pPr>
      <w:r w:rsidRPr="004924E9">
        <w:rPr>
          <w:color w:val="000000"/>
          <w:sz w:val="22"/>
          <w:szCs w:val="22"/>
        </w:rPr>
        <w:t>τον εξοπλισμό, εκτέλεση εργασιών, κατασκευή έργων, συντήρηση, βελτίωση και επέκταση των εγκαταστάσεων των αερολιμένων.</w:t>
      </w:r>
    </w:p>
    <w:p w:rsidR="00912018" w:rsidRPr="00275E97" w:rsidRDefault="00912018" w:rsidP="00E6117F">
      <w:pPr>
        <w:autoSpaceDE w:val="0"/>
        <w:autoSpaceDN w:val="0"/>
        <w:adjustRightInd w:val="0"/>
        <w:ind w:left="426"/>
        <w:jc w:val="both"/>
        <w:rPr>
          <w:color w:val="000000"/>
          <w:sz w:val="22"/>
          <w:szCs w:val="22"/>
        </w:rPr>
      </w:pPr>
    </w:p>
    <w:p w:rsidR="00E6117F" w:rsidRPr="00EC7738" w:rsidRDefault="00E6117F" w:rsidP="00E6117F">
      <w:pPr>
        <w:autoSpaceDE w:val="0"/>
        <w:autoSpaceDN w:val="0"/>
        <w:adjustRightInd w:val="0"/>
        <w:jc w:val="both"/>
        <w:rPr>
          <w:rFonts w:ascii="Arial Narrow" w:hAnsi="Arial Narrow"/>
          <w:b/>
          <w:i/>
          <w:sz w:val="22"/>
        </w:rPr>
      </w:pPr>
      <w:r w:rsidRPr="00EC7738">
        <w:rPr>
          <w:rFonts w:ascii="Arial Narrow" w:hAnsi="Arial Narrow"/>
          <w:b/>
          <w:i/>
          <w:sz w:val="22"/>
        </w:rPr>
        <w:t>Υπουργείο Ναυτιλίας και Νησιωτικής Πολιτικής</w:t>
      </w:r>
    </w:p>
    <w:p w:rsidR="00E6117F" w:rsidRPr="00275E97" w:rsidRDefault="00E6117F" w:rsidP="00E6117F">
      <w:pPr>
        <w:autoSpaceDE w:val="0"/>
        <w:autoSpaceDN w:val="0"/>
        <w:adjustRightInd w:val="0"/>
        <w:jc w:val="both"/>
        <w:rPr>
          <w:b/>
          <w:color w:val="000000"/>
          <w:szCs w:val="22"/>
        </w:rPr>
      </w:pPr>
    </w:p>
    <w:p w:rsidR="00E6117F" w:rsidRPr="00275E97" w:rsidRDefault="00E6117F" w:rsidP="00E6117F">
      <w:pPr>
        <w:autoSpaceDE w:val="0"/>
        <w:autoSpaceDN w:val="0"/>
        <w:adjustRightInd w:val="0"/>
        <w:jc w:val="both"/>
        <w:rPr>
          <w:color w:val="000000"/>
          <w:sz w:val="22"/>
          <w:szCs w:val="22"/>
        </w:rPr>
      </w:pPr>
      <w:r w:rsidRPr="00275E97">
        <w:rPr>
          <w:color w:val="000000"/>
          <w:sz w:val="22"/>
          <w:szCs w:val="22"/>
        </w:rPr>
        <w:t>Οι πιστώσεις του προϋπολογισμού του Υπουργείου Ναυτιλίας και Νησιωτικής Πολιτικής θα καλ</w:t>
      </w:r>
      <w:r w:rsidRPr="00275E97">
        <w:rPr>
          <w:color w:val="000000"/>
          <w:sz w:val="22"/>
          <w:szCs w:val="22"/>
        </w:rPr>
        <w:t>ύ</w:t>
      </w:r>
      <w:r w:rsidRPr="00275E97">
        <w:rPr>
          <w:color w:val="000000"/>
          <w:sz w:val="22"/>
          <w:szCs w:val="22"/>
        </w:rPr>
        <w:t>ψουν κυρίως δαπάνες για:</w:t>
      </w:r>
    </w:p>
    <w:p w:rsidR="00E6117F" w:rsidRPr="00275E97" w:rsidRDefault="00E6117F" w:rsidP="00E6117F">
      <w:pPr>
        <w:autoSpaceDE w:val="0"/>
        <w:autoSpaceDN w:val="0"/>
        <w:adjustRightInd w:val="0"/>
        <w:jc w:val="both"/>
        <w:rPr>
          <w:color w:val="000000"/>
          <w:sz w:val="22"/>
          <w:szCs w:val="22"/>
        </w:rPr>
      </w:pPr>
    </w:p>
    <w:p w:rsidR="00E6117F" w:rsidRPr="008F7ACB" w:rsidRDefault="00E6117F" w:rsidP="00E6117F">
      <w:pPr>
        <w:numPr>
          <w:ilvl w:val="0"/>
          <w:numId w:val="3"/>
        </w:numPr>
        <w:tabs>
          <w:tab w:val="num" w:pos="426"/>
        </w:tabs>
        <w:autoSpaceDE w:val="0"/>
        <w:autoSpaceDN w:val="0"/>
        <w:adjustRightInd w:val="0"/>
        <w:ind w:left="425" w:hanging="425"/>
        <w:jc w:val="both"/>
        <w:rPr>
          <w:color w:val="000000"/>
          <w:sz w:val="22"/>
          <w:szCs w:val="22"/>
        </w:rPr>
      </w:pPr>
      <w:r w:rsidRPr="008F7ACB">
        <w:rPr>
          <w:color w:val="000000"/>
          <w:sz w:val="22"/>
          <w:szCs w:val="22"/>
        </w:rPr>
        <w:t>την</w:t>
      </w:r>
      <w:r>
        <w:rPr>
          <w:color w:val="000000"/>
          <w:sz w:val="22"/>
          <w:szCs w:val="22"/>
        </w:rPr>
        <w:t xml:space="preserve"> </w:t>
      </w:r>
      <w:r w:rsidRPr="008F7ACB">
        <w:rPr>
          <w:color w:val="000000"/>
          <w:sz w:val="22"/>
          <w:szCs w:val="22"/>
        </w:rPr>
        <w:t xml:space="preserve">επιδότηση των άγονων γραμμών </w:t>
      </w:r>
      <w:r>
        <w:rPr>
          <w:color w:val="000000"/>
          <w:sz w:val="22"/>
          <w:szCs w:val="22"/>
        </w:rPr>
        <w:t>για την</w:t>
      </w:r>
      <w:r w:rsidRPr="008F7ACB">
        <w:rPr>
          <w:color w:val="000000"/>
          <w:sz w:val="22"/>
          <w:szCs w:val="22"/>
        </w:rPr>
        <w:t xml:space="preserve"> απρόσκοπτη μετακίνηση του επιβατικού κοινού στη νησιωτική επικράτεια,</w:t>
      </w:r>
    </w:p>
    <w:p w:rsidR="00E6117F" w:rsidRPr="004335E3" w:rsidRDefault="00E6117F" w:rsidP="00E6117F">
      <w:pPr>
        <w:numPr>
          <w:ilvl w:val="0"/>
          <w:numId w:val="3"/>
        </w:numPr>
        <w:tabs>
          <w:tab w:val="num" w:pos="426"/>
        </w:tabs>
        <w:autoSpaceDE w:val="0"/>
        <w:autoSpaceDN w:val="0"/>
        <w:adjustRightInd w:val="0"/>
        <w:ind w:left="425" w:hanging="425"/>
        <w:jc w:val="both"/>
        <w:rPr>
          <w:sz w:val="22"/>
          <w:szCs w:val="22"/>
        </w:rPr>
      </w:pPr>
      <w:r w:rsidRPr="004335E3">
        <w:rPr>
          <w:color w:val="000000"/>
          <w:sz w:val="22"/>
          <w:szCs w:val="22"/>
        </w:rPr>
        <w:t>τη</w:t>
      </w:r>
      <w:r w:rsidR="003C7217">
        <w:rPr>
          <w:color w:val="000000"/>
          <w:sz w:val="22"/>
          <w:szCs w:val="22"/>
        </w:rPr>
        <w:t>ν</w:t>
      </w:r>
      <w:r w:rsidRPr="004335E3">
        <w:rPr>
          <w:color w:val="000000"/>
          <w:sz w:val="22"/>
          <w:szCs w:val="22"/>
        </w:rPr>
        <w:t xml:space="preserve"> φύλαξη των θαλασσίων οδών εισόδου στη χώρα και </w:t>
      </w:r>
      <w:r w:rsidRPr="004335E3">
        <w:rPr>
          <w:sz w:val="22"/>
          <w:szCs w:val="22"/>
        </w:rPr>
        <w:t>την κάλυψη των αναγκών που σχετίζ</w:t>
      </w:r>
      <w:r w:rsidRPr="004335E3">
        <w:rPr>
          <w:sz w:val="22"/>
          <w:szCs w:val="22"/>
        </w:rPr>
        <w:t>ο</w:t>
      </w:r>
      <w:r w:rsidRPr="004335E3">
        <w:rPr>
          <w:sz w:val="22"/>
          <w:szCs w:val="22"/>
        </w:rPr>
        <w:t>νται με τις μεταναστευτικές και προσφυγικές ροές,</w:t>
      </w:r>
    </w:p>
    <w:p w:rsidR="00E6117F" w:rsidRPr="00275E97" w:rsidRDefault="00E6117F" w:rsidP="00E6117F">
      <w:pPr>
        <w:numPr>
          <w:ilvl w:val="0"/>
          <w:numId w:val="3"/>
        </w:numPr>
        <w:tabs>
          <w:tab w:val="num" w:pos="426"/>
        </w:tabs>
        <w:autoSpaceDE w:val="0"/>
        <w:autoSpaceDN w:val="0"/>
        <w:adjustRightInd w:val="0"/>
        <w:ind w:left="425" w:hanging="425"/>
        <w:jc w:val="both"/>
        <w:rPr>
          <w:color w:val="000000"/>
          <w:sz w:val="22"/>
          <w:szCs w:val="22"/>
        </w:rPr>
      </w:pPr>
      <w:r w:rsidRPr="00275E97">
        <w:rPr>
          <w:color w:val="000000"/>
          <w:sz w:val="22"/>
          <w:szCs w:val="22"/>
        </w:rPr>
        <w:t xml:space="preserve">τις δράσεις που συνδέονται με τη βελτίωση της ανταγωνιστικότητας στον τομέα της ναυτιλίας, </w:t>
      </w:r>
    </w:p>
    <w:p w:rsidR="00E6117F" w:rsidRDefault="00E6117F" w:rsidP="00E6117F">
      <w:pPr>
        <w:numPr>
          <w:ilvl w:val="0"/>
          <w:numId w:val="3"/>
        </w:numPr>
        <w:tabs>
          <w:tab w:val="num" w:pos="426"/>
        </w:tabs>
        <w:autoSpaceDE w:val="0"/>
        <w:autoSpaceDN w:val="0"/>
        <w:adjustRightInd w:val="0"/>
        <w:ind w:left="425" w:hanging="425"/>
        <w:jc w:val="both"/>
        <w:rPr>
          <w:color w:val="000000"/>
          <w:sz w:val="22"/>
          <w:szCs w:val="22"/>
        </w:rPr>
      </w:pPr>
      <w:r w:rsidRPr="00275E97">
        <w:rPr>
          <w:color w:val="000000"/>
          <w:sz w:val="22"/>
          <w:szCs w:val="22"/>
        </w:rPr>
        <w:t>την εκπαίδευση των στελεχών του Λιμενικού Σώματος - Ελληνικής Ακτοφυλακής και τη ναυτική εκπαίδευση,</w:t>
      </w:r>
    </w:p>
    <w:p w:rsidR="00E6117F" w:rsidRPr="005A59C1" w:rsidRDefault="00E6117F" w:rsidP="00E6117F">
      <w:pPr>
        <w:numPr>
          <w:ilvl w:val="0"/>
          <w:numId w:val="3"/>
        </w:numPr>
        <w:tabs>
          <w:tab w:val="num" w:pos="426"/>
        </w:tabs>
        <w:autoSpaceDE w:val="0"/>
        <w:autoSpaceDN w:val="0"/>
        <w:adjustRightInd w:val="0"/>
        <w:ind w:left="425" w:hanging="425"/>
        <w:jc w:val="both"/>
        <w:rPr>
          <w:sz w:val="22"/>
          <w:szCs w:val="22"/>
        </w:rPr>
      </w:pPr>
      <w:r w:rsidRPr="005A59C1">
        <w:rPr>
          <w:sz w:val="22"/>
          <w:szCs w:val="22"/>
        </w:rPr>
        <w:t>τη συνέχιση του προγράμματος χορήγησης στεγαστικού επιδόματος σε σπουδαστές των Ακαδ</w:t>
      </w:r>
      <w:r w:rsidRPr="005A59C1">
        <w:rPr>
          <w:sz w:val="22"/>
          <w:szCs w:val="22"/>
        </w:rPr>
        <w:t>η</w:t>
      </w:r>
      <w:r w:rsidRPr="005A59C1">
        <w:rPr>
          <w:sz w:val="22"/>
          <w:szCs w:val="22"/>
        </w:rPr>
        <w:t>μιών Εμπορικού Ναυτικού που σπουδάζουν μακριά από τον τόπο κατοικίας τους,</w:t>
      </w:r>
    </w:p>
    <w:p w:rsidR="00E6117F" w:rsidRPr="005A59C1" w:rsidRDefault="00E6117F" w:rsidP="00E6117F">
      <w:pPr>
        <w:numPr>
          <w:ilvl w:val="0"/>
          <w:numId w:val="3"/>
        </w:numPr>
        <w:tabs>
          <w:tab w:val="num" w:pos="426"/>
        </w:tabs>
        <w:autoSpaceDE w:val="0"/>
        <w:autoSpaceDN w:val="0"/>
        <w:adjustRightInd w:val="0"/>
        <w:ind w:left="425" w:hanging="425"/>
        <w:jc w:val="both"/>
        <w:rPr>
          <w:sz w:val="22"/>
          <w:szCs w:val="22"/>
        </w:rPr>
      </w:pPr>
      <w:r w:rsidRPr="005A59C1">
        <w:rPr>
          <w:sz w:val="22"/>
          <w:szCs w:val="22"/>
        </w:rPr>
        <w:t>την ασφάλεια της ναυσιπλοΐας και την ασφάλεια της ανθρώπινης ζωής στη θάλασσα, και</w:t>
      </w:r>
    </w:p>
    <w:p w:rsidR="00E6117F" w:rsidRPr="00D803F5" w:rsidRDefault="00E6117F" w:rsidP="00E6117F">
      <w:pPr>
        <w:numPr>
          <w:ilvl w:val="0"/>
          <w:numId w:val="3"/>
        </w:numPr>
        <w:tabs>
          <w:tab w:val="num" w:pos="426"/>
        </w:tabs>
        <w:autoSpaceDE w:val="0"/>
        <w:autoSpaceDN w:val="0"/>
        <w:adjustRightInd w:val="0"/>
        <w:ind w:left="425" w:hanging="425"/>
        <w:jc w:val="both"/>
        <w:rPr>
          <w:color w:val="000000"/>
          <w:sz w:val="22"/>
          <w:szCs w:val="22"/>
        </w:rPr>
      </w:pPr>
      <w:r w:rsidRPr="00275E97">
        <w:rPr>
          <w:color w:val="000000"/>
          <w:sz w:val="22"/>
          <w:szCs w:val="22"/>
        </w:rPr>
        <w:t>τις δράσεις που συνδέονται με τον πολιτισμό, τον αθλητισμό, την προστασία της εθνικής κληρ</w:t>
      </w:r>
      <w:r w:rsidRPr="00275E97">
        <w:rPr>
          <w:color w:val="000000"/>
          <w:sz w:val="22"/>
          <w:szCs w:val="22"/>
        </w:rPr>
        <w:t>ο</w:t>
      </w:r>
      <w:r w:rsidRPr="00275E97">
        <w:rPr>
          <w:color w:val="000000"/>
          <w:sz w:val="22"/>
          <w:szCs w:val="22"/>
        </w:rPr>
        <w:t>νομιάς και της αρχιτεκ</w:t>
      </w:r>
      <w:r>
        <w:rPr>
          <w:color w:val="000000"/>
          <w:sz w:val="22"/>
          <w:szCs w:val="22"/>
        </w:rPr>
        <w:t>τονικής των νησιωτικών περιοχών του Αιγαίου.</w:t>
      </w:r>
    </w:p>
    <w:p w:rsidR="00E6117F" w:rsidRDefault="00E6117F" w:rsidP="00E6117F">
      <w:pPr>
        <w:autoSpaceDE w:val="0"/>
        <w:autoSpaceDN w:val="0"/>
        <w:adjustRightInd w:val="0"/>
        <w:jc w:val="both"/>
        <w:rPr>
          <w:rFonts w:ascii="Arial Narrow" w:hAnsi="Arial Narrow"/>
          <w:b/>
          <w:i/>
          <w:sz w:val="22"/>
        </w:rPr>
      </w:pPr>
    </w:p>
    <w:p w:rsidR="0096602F" w:rsidRDefault="0096602F" w:rsidP="00E6117F">
      <w:pPr>
        <w:autoSpaceDE w:val="0"/>
        <w:autoSpaceDN w:val="0"/>
        <w:adjustRightInd w:val="0"/>
        <w:jc w:val="both"/>
        <w:rPr>
          <w:rFonts w:ascii="Arial Narrow" w:hAnsi="Arial Narrow"/>
          <w:b/>
          <w:i/>
          <w:sz w:val="22"/>
        </w:rPr>
      </w:pPr>
    </w:p>
    <w:p w:rsidR="002D0121" w:rsidRDefault="002D0121" w:rsidP="00E6117F">
      <w:pPr>
        <w:autoSpaceDE w:val="0"/>
        <w:autoSpaceDN w:val="0"/>
        <w:adjustRightInd w:val="0"/>
        <w:jc w:val="both"/>
        <w:rPr>
          <w:rFonts w:ascii="Arial Narrow" w:hAnsi="Arial Narrow"/>
          <w:b/>
          <w:i/>
          <w:sz w:val="22"/>
        </w:rPr>
      </w:pPr>
    </w:p>
    <w:p w:rsidR="0096602F" w:rsidRDefault="0096602F" w:rsidP="00E6117F">
      <w:pPr>
        <w:autoSpaceDE w:val="0"/>
        <w:autoSpaceDN w:val="0"/>
        <w:adjustRightInd w:val="0"/>
        <w:jc w:val="both"/>
        <w:rPr>
          <w:rFonts w:ascii="Arial Narrow" w:hAnsi="Arial Narrow"/>
          <w:b/>
          <w:i/>
          <w:sz w:val="22"/>
        </w:rPr>
      </w:pPr>
    </w:p>
    <w:p w:rsidR="00E6117F" w:rsidRPr="00FF3DF1" w:rsidRDefault="00E6117F" w:rsidP="00E6117F">
      <w:pPr>
        <w:autoSpaceDE w:val="0"/>
        <w:autoSpaceDN w:val="0"/>
        <w:adjustRightInd w:val="0"/>
        <w:jc w:val="both"/>
        <w:rPr>
          <w:rFonts w:ascii="Arial Narrow" w:hAnsi="Arial Narrow"/>
          <w:b/>
          <w:color w:val="000000"/>
          <w:sz w:val="22"/>
          <w:szCs w:val="22"/>
        </w:rPr>
      </w:pPr>
      <w:r w:rsidRPr="00FF3DF1">
        <w:rPr>
          <w:rFonts w:ascii="Arial Narrow" w:hAnsi="Arial Narrow"/>
          <w:b/>
          <w:i/>
          <w:sz w:val="22"/>
          <w:szCs w:val="22"/>
        </w:rPr>
        <w:lastRenderedPageBreak/>
        <w:t>Υπουργείο Αγροτικής Ανάπτυξης και Τροφίμων</w:t>
      </w:r>
    </w:p>
    <w:p w:rsidR="00E6117F" w:rsidRPr="00FF3DF1" w:rsidRDefault="00E6117F" w:rsidP="00E6117F">
      <w:pPr>
        <w:autoSpaceDE w:val="0"/>
        <w:autoSpaceDN w:val="0"/>
        <w:adjustRightInd w:val="0"/>
        <w:jc w:val="both"/>
        <w:rPr>
          <w:color w:val="000000"/>
          <w:sz w:val="22"/>
          <w:szCs w:val="22"/>
        </w:rPr>
      </w:pPr>
    </w:p>
    <w:p w:rsidR="00E6117F" w:rsidRPr="00FF3DF1" w:rsidRDefault="00E6117F" w:rsidP="00E6117F">
      <w:pPr>
        <w:jc w:val="both"/>
        <w:rPr>
          <w:color w:val="000000"/>
          <w:sz w:val="22"/>
          <w:szCs w:val="22"/>
        </w:rPr>
      </w:pPr>
      <w:r w:rsidRPr="00FF3DF1">
        <w:rPr>
          <w:color w:val="000000"/>
          <w:sz w:val="22"/>
          <w:szCs w:val="22"/>
        </w:rPr>
        <w:t>Σημαντικό μέρος των πιστώσεων του Υπουργείου Αγροτικής Ανάπτυξης και Τροφίμων θα διατεθεί για την κάλυψη δαπανών:</w:t>
      </w:r>
    </w:p>
    <w:p w:rsidR="00E6117F" w:rsidRPr="00FF3DF1" w:rsidRDefault="00E6117F" w:rsidP="00E6117F">
      <w:pPr>
        <w:jc w:val="both"/>
        <w:rPr>
          <w:color w:val="000000"/>
          <w:sz w:val="22"/>
          <w:szCs w:val="22"/>
        </w:rPr>
      </w:pPr>
    </w:p>
    <w:p w:rsidR="00E6117F" w:rsidRPr="00FF3DF1" w:rsidRDefault="00E6117F" w:rsidP="00E6117F">
      <w:pPr>
        <w:numPr>
          <w:ilvl w:val="0"/>
          <w:numId w:val="2"/>
        </w:numPr>
        <w:autoSpaceDE w:val="0"/>
        <w:autoSpaceDN w:val="0"/>
        <w:adjustRightInd w:val="0"/>
        <w:ind w:left="426" w:hanging="426"/>
        <w:jc w:val="both"/>
        <w:rPr>
          <w:color w:val="000000"/>
          <w:sz w:val="22"/>
          <w:szCs w:val="22"/>
        </w:rPr>
      </w:pPr>
      <w:r w:rsidRPr="00FF3DF1">
        <w:rPr>
          <w:color w:val="000000"/>
          <w:sz w:val="22"/>
          <w:szCs w:val="22"/>
        </w:rPr>
        <w:t>καταβολής επιδοτήσεων για την υλοποίηση αγροπεριβαλλοντικών και άλλων προγραμμάτων, όπως η πρόωρη συνταξιοδότηση αγροτών, η εξυγίανση του ζωικού κεφαλαίου της χώρας κ.λπ.,</w:t>
      </w:r>
    </w:p>
    <w:p w:rsidR="00E6117F" w:rsidRPr="00FF3DF1" w:rsidRDefault="00E6117F" w:rsidP="00E6117F">
      <w:pPr>
        <w:numPr>
          <w:ilvl w:val="0"/>
          <w:numId w:val="2"/>
        </w:numPr>
        <w:autoSpaceDE w:val="0"/>
        <w:autoSpaceDN w:val="0"/>
        <w:adjustRightInd w:val="0"/>
        <w:ind w:left="426" w:hanging="426"/>
        <w:jc w:val="both"/>
        <w:rPr>
          <w:color w:val="000000"/>
          <w:sz w:val="22"/>
          <w:szCs w:val="22"/>
        </w:rPr>
      </w:pPr>
      <w:r w:rsidRPr="00FF3DF1">
        <w:rPr>
          <w:color w:val="000000"/>
          <w:sz w:val="22"/>
          <w:szCs w:val="22"/>
        </w:rPr>
        <w:t>χορήγησης ενισχύσεων από εθνικούς πόρους στο πλαίσιο υλοποίησης προγραμμάτων Πολιτικής Σχεδίασης Έκτακτης Ανάγκης (ΠΣΕΑ),</w:t>
      </w:r>
    </w:p>
    <w:p w:rsidR="00E6117F" w:rsidRPr="00FF3DF1" w:rsidRDefault="00E6117F" w:rsidP="00E6117F">
      <w:pPr>
        <w:numPr>
          <w:ilvl w:val="0"/>
          <w:numId w:val="2"/>
        </w:numPr>
        <w:autoSpaceDE w:val="0"/>
        <w:autoSpaceDN w:val="0"/>
        <w:adjustRightInd w:val="0"/>
        <w:ind w:left="426" w:hanging="426"/>
        <w:jc w:val="both"/>
        <w:rPr>
          <w:color w:val="000000"/>
          <w:sz w:val="22"/>
          <w:szCs w:val="22"/>
        </w:rPr>
      </w:pPr>
      <w:r w:rsidRPr="00FF3DF1">
        <w:rPr>
          <w:color w:val="000000"/>
          <w:sz w:val="22"/>
          <w:szCs w:val="22"/>
        </w:rPr>
        <w:t>κατοχύρωσης της μέγιστης δυνατής ασφάλειας των παραγομένων και των εισαγόμενων τροφίμων στη χώρα,</w:t>
      </w:r>
    </w:p>
    <w:p w:rsidR="00E6117F" w:rsidRPr="00FF3DF1" w:rsidRDefault="00E6117F" w:rsidP="00E6117F">
      <w:pPr>
        <w:numPr>
          <w:ilvl w:val="0"/>
          <w:numId w:val="2"/>
        </w:numPr>
        <w:autoSpaceDE w:val="0"/>
        <w:autoSpaceDN w:val="0"/>
        <w:adjustRightInd w:val="0"/>
        <w:ind w:left="426" w:hanging="426"/>
        <w:jc w:val="both"/>
        <w:rPr>
          <w:color w:val="000000"/>
          <w:sz w:val="22"/>
          <w:szCs w:val="22"/>
        </w:rPr>
      </w:pPr>
      <w:r w:rsidRPr="00FF3DF1">
        <w:rPr>
          <w:color w:val="000000"/>
          <w:sz w:val="22"/>
          <w:szCs w:val="22"/>
        </w:rPr>
        <w:t>κάλυψης του ελλείμματος του Ειδικού Λογαριασμού Εγγυήσεων Γεωργικών Προϊόντων (ΕΛΕΓΕΠ).</w:t>
      </w:r>
    </w:p>
    <w:p w:rsidR="00E6117F" w:rsidRDefault="00E6117F" w:rsidP="00E6117F">
      <w:pPr>
        <w:autoSpaceDE w:val="0"/>
        <w:autoSpaceDN w:val="0"/>
        <w:adjustRightInd w:val="0"/>
        <w:jc w:val="both"/>
        <w:rPr>
          <w:rFonts w:ascii="Arial Narrow" w:hAnsi="Arial Narrow"/>
          <w:b/>
          <w:color w:val="000000" w:themeColor="text1"/>
          <w:sz w:val="22"/>
          <w:szCs w:val="22"/>
        </w:rPr>
      </w:pPr>
    </w:p>
    <w:p w:rsidR="00E6117F" w:rsidRPr="00EC7738" w:rsidRDefault="00E6117F" w:rsidP="00E6117F">
      <w:pPr>
        <w:autoSpaceDE w:val="0"/>
        <w:autoSpaceDN w:val="0"/>
        <w:adjustRightInd w:val="0"/>
        <w:jc w:val="both"/>
        <w:rPr>
          <w:rFonts w:ascii="Arial Narrow" w:hAnsi="Arial Narrow"/>
          <w:b/>
          <w:i/>
          <w:sz w:val="22"/>
        </w:rPr>
      </w:pPr>
      <w:r w:rsidRPr="00EC7738">
        <w:rPr>
          <w:rFonts w:ascii="Arial Narrow" w:hAnsi="Arial Narrow"/>
          <w:b/>
          <w:i/>
          <w:sz w:val="22"/>
        </w:rPr>
        <w:t>Υπουργείο Τουρισμού</w:t>
      </w:r>
    </w:p>
    <w:p w:rsidR="00E6117F" w:rsidRPr="008F7ACB" w:rsidRDefault="00E6117F" w:rsidP="00E6117F">
      <w:pPr>
        <w:autoSpaceDE w:val="0"/>
        <w:autoSpaceDN w:val="0"/>
        <w:adjustRightInd w:val="0"/>
        <w:jc w:val="both"/>
        <w:rPr>
          <w:b/>
          <w:bCs/>
          <w:i/>
          <w:iCs/>
          <w:color w:val="000000"/>
          <w:sz w:val="22"/>
          <w:szCs w:val="22"/>
        </w:rPr>
      </w:pPr>
    </w:p>
    <w:p w:rsidR="00E6117F" w:rsidRPr="008F7ACB" w:rsidRDefault="00E6117F" w:rsidP="00E6117F">
      <w:pPr>
        <w:autoSpaceDE w:val="0"/>
        <w:autoSpaceDN w:val="0"/>
        <w:adjustRightInd w:val="0"/>
        <w:jc w:val="both"/>
        <w:rPr>
          <w:color w:val="000000"/>
          <w:sz w:val="22"/>
          <w:szCs w:val="22"/>
        </w:rPr>
      </w:pPr>
      <w:r w:rsidRPr="008F7ACB">
        <w:rPr>
          <w:color w:val="000000"/>
          <w:sz w:val="22"/>
          <w:szCs w:val="22"/>
        </w:rPr>
        <w:t>Οι πιστώσεις για τον τουρισμό θα καλύψουν κυρίως δαπάνες για:</w:t>
      </w:r>
    </w:p>
    <w:p w:rsidR="00E6117F" w:rsidRPr="008F7ACB" w:rsidRDefault="00E6117F" w:rsidP="00E6117F">
      <w:pPr>
        <w:autoSpaceDE w:val="0"/>
        <w:autoSpaceDN w:val="0"/>
        <w:adjustRightInd w:val="0"/>
        <w:jc w:val="both"/>
        <w:rPr>
          <w:color w:val="000000"/>
          <w:sz w:val="22"/>
          <w:szCs w:val="22"/>
        </w:rPr>
      </w:pPr>
    </w:p>
    <w:p w:rsidR="00E6117F" w:rsidRPr="008F7ACB" w:rsidRDefault="00E6117F" w:rsidP="00E6117F">
      <w:pPr>
        <w:numPr>
          <w:ilvl w:val="0"/>
          <w:numId w:val="3"/>
        </w:numPr>
        <w:tabs>
          <w:tab w:val="num" w:pos="284"/>
        </w:tabs>
        <w:autoSpaceDE w:val="0"/>
        <w:autoSpaceDN w:val="0"/>
        <w:adjustRightInd w:val="0"/>
        <w:ind w:left="284" w:hanging="284"/>
        <w:jc w:val="both"/>
        <w:rPr>
          <w:color w:val="000000"/>
          <w:sz w:val="22"/>
          <w:szCs w:val="22"/>
        </w:rPr>
      </w:pPr>
      <w:r w:rsidRPr="008F7ACB">
        <w:rPr>
          <w:color w:val="000000"/>
          <w:sz w:val="22"/>
          <w:szCs w:val="22"/>
        </w:rPr>
        <w:t>την προβολή της χώρας στο εξωτερικό</w:t>
      </w:r>
      <w:r>
        <w:rPr>
          <w:color w:val="000000"/>
          <w:sz w:val="22"/>
          <w:szCs w:val="22"/>
        </w:rPr>
        <w:t xml:space="preserve"> </w:t>
      </w:r>
      <w:r w:rsidRPr="008F7ACB">
        <w:rPr>
          <w:color w:val="000000"/>
          <w:sz w:val="22"/>
          <w:szCs w:val="22"/>
        </w:rPr>
        <w:t>ως</w:t>
      </w:r>
      <w:r>
        <w:rPr>
          <w:color w:val="000000"/>
          <w:sz w:val="22"/>
          <w:szCs w:val="22"/>
        </w:rPr>
        <w:t xml:space="preserve"> σημαντικού αλλά ταυτόχρονα και</w:t>
      </w:r>
      <w:r w:rsidRPr="008F7ACB">
        <w:rPr>
          <w:color w:val="000000"/>
          <w:sz w:val="22"/>
          <w:szCs w:val="22"/>
        </w:rPr>
        <w:t xml:space="preserve"> ελκυστικού τουριστ</w:t>
      </w:r>
      <w:r w:rsidRPr="008F7ACB">
        <w:rPr>
          <w:color w:val="000000"/>
          <w:sz w:val="22"/>
          <w:szCs w:val="22"/>
        </w:rPr>
        <w:t>ι</w:t>
      </w:r>
      <w:r w:rsidRPr="008F7ACB">
        <w:rPr>
          <w:color w:val="000000"/>
          <w:sz w:val="22"/>
          <w:szCs w:val="22"/>
        </w:rPr>
        <w:t>κού προορισμού,</w:t>
      </w:r>
    </w:p>
    <w:p w:rsidR="00E6117F" w:rsidRPr="008F7ACB" w:rsidRDefault="00E6117F" w:rsidP="00E6117F">
      <w:pPr>
        <w:numPr>
          <w:ilvl w:val="0"/>
          <w:numId w:val="3"/>
        </w:numPr>
        <w:tabs>
          <w:tab w:val="num" w:pos="284"/>
        </w:tabs>
        <w:autoSpaceDE w:val="0"/>
        <w:autoSpaceDN w:val="0"/>
        <w:adjustRightInd w:val="0"/>
        <w:ind w:left="284" w:hanging="284"/>
        <w:jc w:val="both"/>
        <w:rPr>
          <w:sz w:val="22"/>
          <w:szCs w:val="22"/>
        </w:rPr>
      </w:pPr>
      <w:r w:rsidRPr="008F7ACB">
        <w:rPr>
          <w:sz w:val="22"/>
          <w:szCs w:val="22"/>
        </w:rPr>
        <w:t xml:space="preserve">την τουριστική εκπαίδευση και κατάρτιση, </w:t>
      </w:r>
    </w:p>
    <w:p w:rsidR="00E6117F" w:rsidRPr="008F7ACB" w:rsidRDefault="00E6117F" w:rsidP="00E6117F">
      <w:pPr>
        <w:numPr>
          <w:ilvl w:val="0"/>
          <w:numId w:val="3"/>
        </w:numPr>
        <w:tabs>
          <w:tab w:val="num" w:pos="284"/>
        </w:tabs>
        <w:autoSpaceDE w:val="0"/>
        <w:autoSpaceDN w:val="0"/>
        <w:adjustRightInd w:val="0"/>
        <w:ind w:left="284" w:hanging="284"/>
        <w:jc w:val="both"/>
        <w:rPr>
          <w:sz w:val="22"/>
          <w:szCs w:val="22"/>
        </w:rPr>
      </w:pPr>
      <w:r w:rsidRPr="008F7ACB">
        <w:rPr>
          <w:sz w:val="22"/>
          <w:szCs w:val="22"/>
        </w:rPr>
        <w:t>τη λειτουργία των Σχολών Ξεναγών,</w:t>
      </w:r>
    </w:p>
    <w:p w:rsidR="00E6117F" w:rsidRPr="005A59C1" w:rsidRDefault="00E6117F" w:rsidP="00E6117F">
      <w:pPr>
        <w:numPr>
          <w:ilvl w:val="0"/>
          <w:numId w:val="3"/>
        </w:numPr>
        <w:tabs>
          <w:tab w:val="num" w:pos="284"/>
        </w:tabs>
        <w:autoSpaceDE w:val="0"/>
        <w:autoSpaceDN w:val="0"/>
        <w:adjustRightInd w:val="0"/>
        <w:ind w:left="284" w:hanging="284"/>
        <w:jc w:val="both"/>
        <w:rPr>
          <w:sz w:val="22"/>
          <w:szCs w:val="22"/>
        </w:rPr>
      </w:pPr>
      <w:r w:rsidRPr="005A59C1">
        <w:rPr>
          <w:sz w:val="22"/>
          <w:szCs w:val="22"/>
        </w:rPr>
        <w:t>τη συνέχιση του προγράμματος χορήγησης στεγαστικού επιδόματος των φοιτητών των Ανώτατων Σχολών Τουριστικών Επαγγελμάτων που σπουδάζουν μακριά από τον τόπο κατοικίας τους</w:t>
      </w:r>
    </w:p>
    <w:p w:rsidR="00E6117F" w:rsidRDefault="00E6117F" w:rsidP="00E6117F">
      <w:pPr>
        <w:numPr>
          <w:ilvl w:val="0"/>
          <w:numId w:val="3"/>
        </w:numPr>
        <w:tabs>
          <w:tab w:val="num" w:pos="284"/>
        </w:tabs>
        <w:autoSpaceDE w:val="0"/>
        <w:autoSpaceDN w:val="0"/>
        <w:adjustRightInd w:val="0"/>
        <w:ind w:left="284" w:hanging="284"/>
        <w:jc w:val="both"/>
        <w:rPr>
          <w:color w:val="000000"/>
          <w:sz w:val="22"/>
          <w:szCs w:val="22"/>
        </w:rPr>
      </w:pPr>
      <w:r w:rsidRPr="00F923D9">
        <w:rPr>
          <w:color w:val="000000"/>
          <w:sz w:val="22"/>
          <w:szCs w:val="22"/>
        </w:rPr>
        <w:t xml:space="preserve">την αδειοδότηση και έλεγχο των τουριστικών επιχειρήσεων, καθώς και τη διασφάλιση ποιότητας του παρεχόμενου τουριστικού προϊόντος, </w:t>
      </w:r>
      <w:r>
        <w:rPr>
          <w:color w:val="000000"/>
          <w:sz w:val="22"/>
          <w:szCs w:val="22"/>
        </w:rPr>
        <w:t>και</w:t>
      </w:r>
    </w:p>
    <w:p w:rsidR="00E6117F" w:rsidRPr="000D77D4" w:rsidRDefault="00E6117F" w:rsidP="00E6117F">
      <w:pPr>
        <w:numPr>
          <w:ilvl w:val="0"/>
          <w:numId w:val="3"/>
        </w:numPr>
        <w:tabs>
          <w:tab w:val="num" w:pos="284"/>
        </w:tabs>
        <w:autoSpaceDE w:val="0"/>
        <w:autoSpaceDN w:val="0"/>
        <w:adjustRightInd w:val="0"/>
        <w:ind w:left="284" w:hanging="284"/>
        <w:jc w:val="both"/>
        <w:rPr>
          <w:sz w:val="22"/>
          <w:szCs w:val="22"/>
        </w:rPr>
      </w:pPr>
      <w:r w:rsidRPr="00C36265">
        <w:rPr>
          <w:sz w:val="22"/>
          <w:szCs w:val="22"/>
        </w:rPr>
        <w:t xml:space="preserve">την </w:t>
      </w:r>
      <w:r w:rsidR="004953B8">
        <w:rPr>
          <w:sz w:val="22"/>
          <w:szCs w:val="22"/>
        </w:rPr>
        <w:t>προώθηση</w:t>
      </w:r>
      <w:r>
        <w:rPr>
          <w:sz w:val="22"/>
          <w:szCs w:val="22"/>
        </w:rPr>
        <w:t xml:space="preserve"> αναπτυξιακών</w:t>
      </w:r>
      <w:r w:rsidRPr="00C36265">
        <w:rPr>
          <w:sz w:val="22"/>
          <w:szCs w:val="22"/>
        </w:rPr>
        <w:t xml:space="preserve"> πρωτοβουλιών</w:t>
      </w:r>
      <w:r>
        <w:rPr>
          <w:sz w:val="22"/>
          <w:szCs w:val="22"/>
        </w:rPr>
        <w:t xml:space="preserve"> </w:t>
      </w:r>
      <w:r w:rsidRPr="00C36265">
        <w:rPr>
          <w:sz w:val="22"/>
          <w:szCs w:val="22"/>
        </w:rPr>
        <w:t>στον τομέα του τουρισμού.</w:t>
      </w:r>
    </w:p>
    <w:p w:rsidR="00E6117F" w:rsidRPr="00275E97" w:rsidRDefault="00E6117F" w:rsidP="00E6117F">
      <w:pPr>
        <w:autoSpaceDE w:val="0"/>
        <w:autoSpaceDN w:val="0"/>
        <w:adjustRightInd w:val="0"/>
        <w:jc w:val="both"/>
        <w:rPr>
          <w:b/>
          <w:i/>
          <w:color w:val="000000"/>
          <w:sz w:val="22"/>
          <w:szCs w:val="22"/>
        </w:rPr>
      </w:pPr>
    </w:p>
    <w:p w:rsidR="00E6117F" w:rsidRPr="004924E9" w:rsidRDefault="00E6117F" w:rsidP="00E6117F">
      <w:pPr>
        <w:autoSpaceDE w:val="0"/>
        <w:autoSpaceDN w:val="0"/>
        <w:adjustRightInd w:val="0"/>
        <w:jc w:val="both"/>
        <w:rPr>
          <w:rFonts w:ascii="Arial Narrow" w:hAnsi="Arial Narrow"/>
          <w:b/>
          <w:i/>
          <w:sz w:val="22"/>
        </w:rPr>
      </w:pPr>
      <w:r w:rsidRPr="004924E9">
        <w:rPr>
          <w:rFonts w:ascii="Arial Narrow" w:hAnsi="Arial Narrow"/>
          <w:b/>
          <w:i/>
          <w:sz w:val="22"/>
        </w:rPr>
        <w:t>Αποκεντρωμένες Διοικήσεις</w:t>
      </w:r>
    </w:p>
    <w:p w:rsidR="00E6117F" w:rsidRPr="004335E3" w:rsidRDefault="00E6117F" w:rsidP="00E6117F">
      <w:pPr>
        <w:autoSpaceDE w:val="0"/>
        <w:autoSpaceDN w:val="0"/>
        <w:adjustRightInd w:val="0"/>
        <w:jc w:val="both"/>
        <w:rPr>
          <w:color w:val="000000"/>
          <w:szCs w:val="22"/>
        </w:rPr>
      </w:pPr>
    </w:p>
    <w:p w:rsidR="00E6117F" w:rsidRDefault="00E6117F" w:rsidP="00E6117F">
      <w:pPr>
        <w:autoSpaceDE w:val="0"/>
        <w:autoSpaceDN w:val="0"/>
        <w:adjustRightInd w:val="0"/>
        <w:jc w:val="both"/>
        <w:rPr>
          <w:color w:val="000000"/>
          <w:sz w:val="22"/>
          <w:szCs w:val="22"/>
        </w:rPr>
      </w:pPr>
      <w:r w:rsidRPr="004335E3">
        <w:rPr>
          <w:color w:val="000000"/>
          <w:sz w:val="22"/>
          <w:szCs w:val="22"/>
        </w:rPr>
        <w:t>Οι πιστώσεις του προϋπολογισμού των Αποκεντρωμένων Διοικήσεων προβλέπεται, μεταξύ άλλων, να καλύψουν δαπάνες για:</w:t>
      </w:r>
    </w:p>
    <w:p w:rsidR="003C7217" w:rsidRPr="004335E3" w:rsidRDefault="003C7217" w:rsidP="00E6117F">
      <w:pPr>
        <w:autoSpaceDE w:val="0"/>
        <w:autoSpaceDN w:val="0"/>
        <w:adjustRightInd w:val="0"/>
        <w:jc w:val="both"/>
        <w:rPr>
          <w:color w:val="000000"/>
          <w:sz w:val="22"/>
          <w:szCs w:val="22"/>
        </w:rPr>
      </w:pPr>
    </w:p>
    <w:p w:rsidR="00E6117F" w:rsidRPr="004335E3" w:rsidRDefault="00E6117F" w:rsidP="00E6117F">
      <w:pPr>
        <w:numPr>
          <w:ilvl w:val="0"/>
          <w:numId w:val="11"/>
        </w:numPr>
        <w:autoSpaceDE w:val="0"/>
        <w:autoSpaceDN w:val="0"/>
        <w:adjustRightInd w:val="0"/>
        <w:ind w:left="284" w:hanging="284"/>
        <w:jc w:val="both"/>
        <w:rPr>
          <w:color w:val="000000"/>
          <w:sz w:val="22"/>
          <w:szCs w:val="22"/>
        </w:rPr>
      </w:pPr>
      <w:r w:rsidRPr="004335E3">
        <w:rPr>
          <w:color w:val="000000"/>
          <w:sz w:val="22"/>
          <w:szCs w:val="22"/>
        </w:rPr>
        <w:t>την εισοδηματική ενίσχυση νοικοκυριών ορεινών και μειονεκτικών περιοχών με χαμηλά εισοδ</w:t>
      </w:r>
      <w:r w:rsidRPr="004335E3">
        <w:rPr>
          <w:color w:val="000000"/>
          <w:sz w:val="22"/>
          <w:szCs w:val="22"/>
        </w:rPr>
        <w:t>ή</w:t>
      </w:r>
      <w:r w:rsidRPr="004335E3">
        <w:rPr>
          <w:color w:val="000000"/>
          <w:sz w:val="22"/>
          <w:szCs w:val="22"/>
        </w:rPr>
        <w:t>ματα,</w:t>
      </w:r>
    </w:p>
    <w:p w:rsidR="00E6117F" w:rsidRPr="004335E3" w:rsidRDefault="00E6117F" w:rsidP="00E6117F">
      <w:pPr>
        <w:numPr>
          <w:ilvl w:val="0"/>
          <w:numId w:val="3"/>
        </w:numPr>
        <w:tabs>
          <w:tab w:val="num" w:pos="284"/>
        </w:tabs>
        <w:autoSpaceDE w:val="0"/>
        <w:autoSpaceDN w:val="0"/>
        <w:adjustRightInd w:val="0"/>
        <w:ind w:left="284" w:hanging="284"/>
        <w:jc w:val="both"/>
        <w:rPr>
          <w:color w:val="000000"/>
          <w:sz w:val="22"/>
          <w:szCs w:val="22"/>
        </w:rPr>
      </w:pPr>
      <w:r w:rsidRPr="004335E3">
        <w:rPr>
          <w:color w:val="000000"/>
          <w:sz w:val="22"/>
          <w:szCs w:val="22"/>
        </w:rPr>
        <w:t>τις υπηρεσίες που αφορούν θέματα πολιτικής αλλοδαπών και μετανάστευσης,</w:t>
      </w:r>
    </w:p>
    <w:p w:rsidR="00E6117F" w:rsidRPr="004335E3" w:rsidRDefault="00E6117F" w:rsidP="00E6117F">
      <w:pPr>
        <w:numPr>
          <w:ilvl w:val="0"/>
          <w:numId w:val="3"/>
        </w:numPr>
        <w:tabs>
          <w:tab w:val="num" w:pos="284"/>
        </w:tabs>
        <w:autoSpaceDE w:val="0"/>
        <w:autoSpaceDN w:val="0"/>
        <w:adjustRightInd w:val="0"/>
        <w:ind w:left="284" w:hanging="284"/>
        <w:jc w:val="both"/>
        <w:rPr>
          <w:color w:val="000000"/>
          <w:sz w:val="22"/>
          <w:szCs w:val="22"/>
        </w:rPr>
      </w:pPr>
      <w:r w:rsidRPr="004335E3">
        <w:rPr>
          <w:color w:val="000000"/>
          <w:sz w:val="22"/>
          <w:szCs w:val="22"/>
        </w:rPr>
        <w:t>τη χωροταξία, την περιβαλλοντική πολιτική και τα δάση.</w:t>
      </w:r>
    </w:p>
    <w:p w:rsidR="00E91D90" w:rsidRDefault="00E91D90">
      <w:pPr>
        <w:rPr>
          <w:bCs/>
          <w:sz w:val="22"/>
          <w:szCs w:val="22"/>
        </w:rPr>
      </w:pPr>
    </w:p>
    <w:p w:rsidR="00912018" w:rsidRPr="00A97919" w:rsidRDefault="00912018">
      <w:pPr>
        <w:rPr>
          <w:bCs/>
          <w:sz w:val="22"/>
          <w:szCs w:val="22"/>
        </w:rPr>
      </w:pPr>
    </w:p>
    <w:p w:rsidR="00F003E3" w:rsidRPr="00221A99" w:rsidRDefault="00F003E3" w:rsidP="00F003E3">
      <w:pPr>
        <w:shd w:val="clear" w:color="auto" w:fill="A6A6A6"/>
        <w:spacing w:line="235" w:lineRule="auto"/>
        <w:rPr>
          <w:rFonts w:ascii="Arial Narrow" w:hAnsi="Arial Narrow"/>
          <w:b/>
          <w:szCs w:val="26"/>
        </w:rPr>
      </w:pPr>
      <w:r w:rsidRPr="00221A99">
        <w:rPr>
          <w:rFonts w:ascii="Arial Narrow" w:hAnsi="Arial Narrow"/>
          <w:b/>
          <w:szCs w:val="26"/>
        </w:rPr>
        <w:t>3.3</w:t>
      </w:r>
      <w:r w:rsidRPr="00221A99">
        <w:rPr>
          <w:rFonts w:ascii="Arial Narrow" w:hAnsi="Arial Narrow"/>
          <w:b/>
          <w:szCs w:val="26"/>
        </w:rPr>
        <w:tab/>
        <w:t>Πρόγραμμα Δημοσίων Επενδύσεων</w:t>
      </w:r>
    </w:p>
    <w:p w:rsidR="00F003E3" w:rsidRPr="00301426" w:rsidRDefault="00F003E3" w:rsidP="00F003E3">
      <w:pPr>
        <w:spacing w:line="235" w:lineRule="auto"/>
        <w:jc w:val="both"/>
        <w:rPr>
          <w:rFonts w:ascii="Arial Narrow" w:hAnsi="Arial Narrow"/>
          <w:b/>
          <w:color w:val="000080"/>
        </w:rPr>
      </w:pPr>
    </w:p>
    <w:p w:rsidR="00915AB4" w:rsidRPr="00F54EA6" w:rsidRDefault="00915AB4" w:rsidP="00F54EA6">
      <w:pPr>
        <w:contextualSpacing/>
        <w:jc w:val="both"/>
        <w:rPr>
          <w:sz w:val="22"/>
          <w:szCs w:val="22"/>
        </w:rPr>
      </w:pPr>
      <w:r w:rsidRPr="00F54EA6">
        <w:rPr>
          <w:sz w:val="22"/>
          <w:szCs w:val="22"/>
        </w:rPr>
        <w:t>Το ύψος των δαπανών για το έτος 2018 προβλέπεται να ανέλθει στα 6.750 εκατ. ευρώ, σ</w:t>
      </w:r>
      <w:r w:rsidR="00B35613">
        <w:rPr>
          <w:sz w:val="22"/>
          <w:szCs w:val="22"/>
        </w:rPr>
        <w:t>το ίδιο ύψος με αυτό του 2017. Οι</w:t>
      </w:r>
      <w:r w:rsidRPr="00F54EA6">
        <w:rPr>
          <w:sz w:val="22"/>
          <w:szCs w:val="22"/>
        </w:rPr>
        <w:t xml:space="preserve"> δαπάνες αυτές αντιπροσωπεύουν το 3,65% του προβλεπόμενου ΑΕΠ της χώρας </w:t>
      </w:r>
      <w:r w:rsidR="00A931F0">
        <w:rPr>
          <w:sz w:val="22"/>
          <w:szCs w:val="22"/>
        </w:rPr>
        <w:t>και</w:t>
      </w:r>
      <w:r w:rsidRPr="00F54EA6">
        <w:rPr>
          <w:sz w:val="22"/>
          <w:szCs w:val="22"/>
        </w:rPr>
        <w:t xml:space="preserve"> κατανέμονται σε 5.750 εκατ. ευρώ για έργα που θα συγχρηματοδοτηθούν από πόρους της Ευρ</w:t>
      </w:r>
      <w:r w:rsidRPr="00F54EA6">
        <w:rPr>
          <w:sz w:val="22"/>
          <w:szCs w:val="22"/>
        </w:rPr>
        <w:t>ω</w:t>
      </w:r>
      <w:r w:rsidRPr="00F54EA6">
        <w:rPr>
          <w:sz w:val="22"/>
          <w:szCs w:val="22"/>
        </w:rPr>
        <w:t>παϊκής Ένωσης και σε 1.000 εκατ. ευρώ</w:t>
      </w:r>
      <w:r w:rsidR="008D2B58">
        <w:rPr>
          <w:sz w:val="22"/>
          <w:szCs w:val="22"/>
        </w:rPr>
        <w:t xml:space="preserve"> για έργα</w:t>
      </w:r>
      <w:r w:rsidRPr="00F54EA6">
        <w:rPr>
          <w:sz w:val="22"/>
          <w:szCs w:val="22"/>
        </w:rPr>
        <w:t xml:space="preserve"> που θα χρηματοδοτηθούν αποκλειστικά από εθν</w:t>
      </w:r>
      <w:r w:rsidRPr="00F54EA6">
        <w:rPr>
          <w:sz w:val="22"/>
          <w:szCs w:val="22"/>
        </w:rPr>
        <w:t>ι</w:t>
      </w:r>
      <w:r w:rsidRPr="00F54EA6">
        <w:rPr>
          <w:sz w:val="22"/>
          <w:szCs w:val="22"/>
        </w:rPr>
        <w:t>κούς πόρους.</w:t>
      </w:r>
    </w:p>
    <w:p w:rsidR="00915AB4" w:rsidRPr="00F54EA6" w:rsidRDefault="00915AB4" w:rsidP="00F54EA6">
      <w:pPr>
        <w:contextualSpacing/>
        <w:jc w:val="both"/>
        <w:rPr>
          <w:sz w:val="22"/>
          <w:szCs w:val="22"/>
        </w:rPr>
      </w:pPr>
      <w:r w:rsidRPr="00F54EA6">
        <w:rPr>
          <w:sz w:val="22"/>
          <w:szCs w:val="22"/>
        </w:rPr>
        <w:t xml:space="preserve"> </w:t>
      </w:r>
    </w:p>
    <w:p w:rsidR="00915AB4" w:rsidRPr="00F54EA6" w:rsidRDefault="00915AB4" w:rsidP="00F54EA6">
      <w:pPr>
        <w:spacing w:before="100" w:beforeAutospacing="1" w:after="100" w:afterAutospacing="1"/>
        <w:contextualSpacing/>
        <w:jc w:val="both"/>
        <w:rPr>
          <w:sz w:val="22"/>
          <w:szCs w:val="22"/>
        </w:rPr>
      </w:pPr>
      <w:r w:rsidRPr="00F54EA6">
        <w:rPr>
          <w:sz w:val="22"/>
          <w:szCs w:val="22"/>
        </w:rPr>
        <w:t>Αναλυτικότερα, η συνολική δαπάνη του συγχρηματοδοτούμενου σκέλους θα κατανεμηθεί σε 4</w:t>
      </w:r>
      <w:r w:rsidR="00B35613">
        <w:rPr>
          <w:sz w:val="22"/>
          <w:szCs w:val="22"/>
        </w:rPr>
        <w:t>.062 εκατ</w:t>
      </w:r>
      <w:r w:rsidRPr="00F54EA6">
        <w:rPr>
          <w:sz w:val="22"/>
          <w:szCs w:val="22"/>
        </w:rPr>
        <w:t>. ευρώ για την έναρξη και υλοποίηση δρά</w:t>
      </w:r>
      <w:r w:rsidR="00B35613">
        <w:rPr>
          <w:sz w:val="22"/>
          <w:szCs w:val="22"/>
        </w:rPr>
        <w:t>σεων του ΕΣΠΑ 2014-</w:t>
      </w:r>
      <w:r w:rsidRPr="00F54EA6">
        <w:rPr>
          <w:sz w:val="22"/>
          <w:szCs w:val="22"/>
        </w:rPr>
        <w:t xml:space="preserve">2020 και σε </w:t>
      </w:r>
      <w:r w:rsidR="00B35613">
        <w:rPr>
          <w:sz w:val="22"/>
          <w:szCs w:val="22"/>
        </w:rPr>
        <w:t>1.688</w:t>
      </w:r>
      <w:r w:rsidRPr="00F54EA6">
        <w:rPr>
          <w:sz w:val="22"/>
          <w:szCs w:val="22"/>
        </w:rPr>
        <w:t xml:space="preserve"> </w:t>
      </w:r>
      <w:r w:rsidR="00B35613">
        <w:rPr>
          <w:sz w:val="22"/>
          <w:szCs w:val="22"/>
        </w:rPr>
        <w:t>εκατ</w:t>
      </w:r>
      <w:r w:rsidRPr="00F54EA6">
        <w:rPr>
          <w:sz w:val="22"/>
          <w:szCs w:val="22"/>
        </w:rPr>
        <w:t>. ευρώ για τη χρηματοδότηση άλλων συγχρηματοδοτούμενων προγραμμάτων.</w:t>
      </w:r>
    </w:p>
    <w:p w:rsidR="00915AB4" w:rsidRPr="00F54EA6" w:rsidRDefault="00915AB4" w:rsidP="00F54EA6">
      <w:pPr>
        <w:contextualSpacing/>
        <w:jc w:val="both"/>
        <w:rPr>
          <w:sz w:val="22"/>
          <w:szCs w:val="22"/>
        </w:rPr>
      </w:pPr>
    </w:p>
    <w:p w:rsidR="00915AB4" w:rsidRPr="00F54EA6" w:rsidRDefault="00915AB4" w:rsidP="00F54EA6">
      <w:pPr>
        <w:contextualSpacing/>
        <w:jc w:val="both"/>
        <w:rPr>
          <w:sz w:val="22"/>
          <w:szCs w:val="22"/>
        </w:rPr>
      </w:pPr>
      <w:r w:rsidRPr="00F54EA6">
        <w:rPr>
          <w:sz w:val="22"/>
          <w:szCs w:val="22"/>
        </w:rPr>
        <w:t>Το ΠΔΕ χρηματοδοτεί την αναπτυξιακή πολιτική της χώρας με δράσεις που συμβάλλουν στην αύξηση του ιδιωτικού και δημόσιου κεφαλαίου της οικονομίας και στηρίζουν την αναπτυξιακή διαδικασία και τον εκσυγχρονισμό της χώρας σε μακροχρόνια βάση.</w:t>
      </w:r>
    </w:p>
    <w:p w:rsidR="00915AB4" w:rsidRPr="00F54EA6" w:rsidRDefault="00915AB4" w:rsidP="00F54EA6">
      <w:pPr>
        <w:spacing w:before="100" w:beforeAutospacing="1" w:after="100" w:afterAutospacing="1"/>
        <w:contextualSpacing/>
        <w:jc w:val="both"/>
        <w:rPr>
          <w:sz w:val="22"/>
          <w:szCs w:val="22"/>
        </w:rPr>
      </w:pPr>
    </w:p>
    <w:p w:rsidR="00915AB4" w:rsidRPr="00F54EA6" w:rsidRDefault="00915AB4" w:rsidP="00F54EA6">
      <w:pPr>
        <w:spacing w:before="100" w:beforeAutospacing="1" w:after="100" w:afterAutospacing="1"/>
        <w:contextualSpacing/>
        <w:jc w:val="both"/>
        <w:rPr>
          <w:sz w:val="22"/>
          <w:szCs w:val="22"/>
        </w:rPr>
      </w:pPr>
      <w:r w:rsidRPr="00F54EA6">
        <w:rPr>
          <w:sz w:val="22"/>
          <w:szCs w:val="22"/>
        </w:rPr>
        <w:t>Η αναπτυξιακή πολιτική προωθείται με την εντατικοποίηση των ενεργειών για την άμεση έναρξη και την ταχεία υλοποίηση των έργων των προγραμμάτων της περι</w:t>
      </w:r>
      <w:r w:rsidR="00B35613">
        <w:rPr>
          <w:sz w:val="22"/>
          <w:szCs w:val="22"/>
        </w:rPr>
        <w:t>όδου 2014-</w:t>
      </w:r>
      <w:r w:rsidRPr="00F54EA6">
        <w:rPr>
          <w:sz w:val="22"/>
          <w:szCs w:val="22"/>
        </w:rPr>
        <w:t>2020</w:t>
      </w:r>
      <w:r w:rsidR="002D0121">
        <w:rPr>
          <w:sz w:val="22"/>
          <w:szCs w:val="22"/>
        </w:rPr>
        <w:t>, καθώς</w:t>
      </w:r>
      <w:r w:rsidRPr="00F54EA6">
        <w:rPr>
          <w:sz w:val="22"/>
          <w:szCs w:val="22"/>
        </w:rPr>
        <w:t xml:space="preserve"> και με την επ</w:t>
      </w:r>
      <w:r w:rsidRPr="00F54EA6">
        <w:rPr>
          <w:sz w:val="22"/>
          <w:szCs w:val="22"/>
        </w:rPr>
        <w:t>ί</w:t>
      </w:r>
      <w:r w:rsidRPr="00F54EA6">
        <w:rPr>
          <w:sz w:val="22"/>
          <w:szCs w:val="22"/>
        </w:rPr>
        <w:t xml:space="preserve">σπευση των ενεργειών για την ολοκλήρωση όλων των ημιτελών έργων ΕΣΠΑ 2007-2013. </w:t>
      </w:r>
    </w:p>
    <w:p w:rsidR="00915AB4" w:rsidRPr="00F54EA6" w:rsidRDefault="00915AB4" w:rsidP="00F54EA6">
      <w:pPr>
        <w:contextualSpacing/>
        <w:jc w:val="both"/>
        <w:outlineLvl w:val="3"/>
        <w:rPr>
          <w:bCs/>
          <w:sz w:val="22"/>
          <w:szCs w:val="22"/>
        </w:rPr>
      </w:pPr>
    </w:p>
    <w:p w:rsidR="00915AB4" w:rsidRPr="00F54EA6" w:rsidRDefault="00915AB4" w:rsidP="00F54EA6">
      <w:pPr>
        <w:contextualSpacing/>
        <w:jc w:val="both"/>
        <w:outlineLvl w:val="3"/>
        <w:rPr>
          <w:sz w:val="22"/>
          <w:szCs w:val="22"/>
        </w:rPr>
      </w:pPr>
      <w:r w:rsidRPr="00F54EA6">
        <w:rPr>
          <w:bCs/>
          <w:sz w:val="22"/>
          <w:szCs w:val="22"/>
        </w:rPr>
        <w:t xml:space="preserve">Σταθερή επιδίωξη για την υλοποίηση </w:t>
      </w:r>
      <w:r w:rsidRPr="00F54EA6">
        <w:rPr>
          <w:sz w:val="22"/>
          <w:szCs w:val="22"/>
        </w:rPr>
        <w:t>του συγχρηματοδοτούμενου σκέλους του ΠΔΕ και για το 2018 παραμένει η απορρόφηση των πόρων, έτσι ώστε να εξασφαλιστεί η εισροή της αναλογούσας κοινοτ</w:t>
      </w:r>
      <w:r w:rsidRPr="00F54EA6">
        <w:rPr>
          <w:sz w:val="22"/>
          <w:szCs w:val="22"/>
        </w:rPr>
        <w:t>ι</w:t>
      </w:r>
      <w:r w:rsidRPr="00F54EA6">
        <w:rPr>
          <w:sz w:val="22"/>
          <w:szCs w:val="22"/>
        </w:rPr>
        <w:t>κής συνδρομής.</w:t>
      </w:r>
      <w:r w:rsidR="00B35613">
        <w:rPr>
          <w:sz w:val="22"/>
          <w:szCs w:val="22"/>
        </w:rPr>
        <w:t xml:space="preserve"> </w:t>
      </w:r>
      <w:r w:rsidRPr="00F54EA6">
        <w:rPr>
          <w:sz w:val="22"/>
          <w:szCs w:val="22"/>
        </w:rPr>
        <w:t>Στο πλαίσιο αυτό εξακολουθούν να αποτελούν προτεραιότητα οι τομείς των μεγάλων έργων υποδομών (οδικά έργα, σιδηρόδρομοι, μετρό κ.λπ.), η προώθηση της επιχειρηματικότητας (κ</w:t>
      </w:r>
      <w:r w:rsidRPr="00F54EA6">
        <w:rPr>
          <w:sz w:val="22"/>
          <w:szCs w:val="22"/>
        </w:rPr>
        <w:t>υ</w:t>
      </w:r>
      <w:r w:rsidRPr="00F54EA6">
        <w:rPr>
          <w:sz w:val="22"/>
          <w:szCs w:val="22"/>
        </w:rPr>
        <w:t>ρίως στους τομείς της μεταποίησης και του τουρισμού), η ενίσχυση της απασχόλησης, η εκπαίδευση και κατάρτιση, οι τομείς της υγείας και της πρόνοιας, η προστασία του περιβάλλοντος, τα έργα υπ</w:t>
      </w:r>
      <w:r w:rsidRPr="00F54EA6">
        <w:rPr>
          <w:sz w:val="22"/>
          <w:szCs w:val="22"/>
        </w:rPr>
        <w:t>ο</w:t>
      </w:r>
      <w:r w:rsidRPr="00F54EA6">
        <w:rPr>
          <w:sz w:val="22"/>
          <w:szCs w:val="22"/>
        </w:rPr>
        <w:t>δομής των ΟΤΑ όλης της χώρας</w:t>
      </w:r>
      <w:r w:rsidR="00B35613">
        <w:rPr>
          <w:sz w:val="22"/>
          <w:szCs w:val="22"/>
        </w:rPr>
        <w:t>,</w:t>
      </w:r>
      <w:r w:rsidRPr="00F54EA6">
        <w:rPr>
          <w:sz w:val="22"/>
          <w:szCs w:val="22"/>
        </w:rPr>
        <w:t xml:space="preserve"> καθώς και </w:t>
      </w:r>
      <w:r w:rsidR="00B35613">
        <w:rPr>
          <w:sz w:val="22"/>
          <w:szCs w:val="22"/>
        </w:rPr>
        <w:t>οι</w:t>
      </w:r>
      <w:r w:rsidRPr="00F54EA6">
        <w:rPr>
          <w:sz w:val="22"/>
          <w:szCs w:val="22"/>
        </w:rPr>
        <w:t xml:space="preserve"> δράσεις για τη διοικητική μεταρρύθμιση, την παιδεία και την ενίσχυση της κοινωνικής συνοχής.</w:t>
      </w:r>
    </w:p>
    <w:p w:rsidR="00915AB4" w:rsidRPr="00F54EA6" w:rsidRDefault="00915AB4" w:rsidP="00F54EA6">
      <w:pPr>
        <w:spacing w:before="100" w:beforeAutospacing="1" w:after="100" w:afterAutospacing="1"/>
        <w:contextualSpacing/>
        <w:jc w:val="both"/>
        <w:rPr>
          <w:sz w:val="22"/>
          <w:szCs w:val="22"/>
        </w:rPr>
      </w:pPr>
    </w:p>
    <w:p w:rsidR="00915AB4" w:rsidRPr="00F54EA6" w:rsidRDefault="00915AB4" w:rsidP="00F54EA6">
      <w:pPr>
        <w:spacing w:before="100" w:beforeAutospacing="1" w:after="100" w:afterAutospacing="1"/>
        <w:contextualSpacing/>
        <w:jc w:val="both"/>
        <w:rPr>
          <w:sz w:val="22"/>
          <w:szCs w:val="22"/>
        </w:rPr>
      </w:pPr>
      <w:r w:rsidRPr="00F54EA6">
        <w:rPr>
          <w:sz w:val="22"/>
          <w:szCs w:val="22"/>
        </w:rPr>
        <w:t>Σε ό,τι αφορά τέλος το σκέλος του ΠΔΕ που χρηματοδοτείται αμιγώς από εθνικούς πόρους, προβλ</w:t>
      </w:r>
      <w:r w:rsidRPr="00F54EA6">
        <w:rPr>
          <w:sz w:val="22"/>
          <w:szCs w:val="22"/>
        </w:rPr>
        <w:t>έ</w:t>
      </w:r>
      <w:r w:rsidRPr="00F54EA6">
        <w:rPr>
          <w:sz w:val="22"/>
          <w:szCs w:val="22"/>
        </w:rPr>
        <w:t>πεται να χρηματοδοτηθούν δράσεις, με βασικά κριτήρια την κάλυψη ανελαστικών υποχρεώσεων και επιτακτικών αναγκών που αφορούν την κοινωνική συνοχή,</w:t>
      </w:r>
      <w:r w:rsidR="00B35613">
        <w:rPr>
          <w:sz w:val="22"/>
          <w:szCs w:val="22"/>
        </w:rPr>
        <w:t xml:space="preserve"> </w:t>
      </w:r>
      <w:r w:rsidRPr="00F54EA6">
        <w:rPr>
          <w:sz w:val="22"/>
          <w:szCs w:val="22"/>
        </w:rPr>
        <w:t>τη συνέργεια σε συγχρηματοδοτούμενα έργα από την ΕΕ και τη συμπληρωματικότητα.</w:t>
      </w:r>
    </w:p>
    <w:p w:rsidR="00915AB4" w:rsidRPr="00F54EA6" w:rsidRDefault="00915AB4" w:rsidP="00F54EA6">
      <w:pPr>
        <w:spacing w:before="100" w:beforeAutospacing="1" w:after="100" w:afterAutospacing="1"/>
        <w:contextualSpacing/>
        <w:jc w:val="both"/>
        <w:rPr>
          <w:sz w:val="22"/>
          <w:szCs w:val="22"/>
        </w:rPr>
      </w:pPr>
    </w:p>
    <w:p w:rsidR="00915AB4" w:rsidRPr="00F54EA6" w:rsidRDefault="00915AB4" w:rsidP="00F54EA6">
      <w:pPr>
        <w:spacing w:before="100" w:beforeAutospacing="1" w:after="100" w:afterAutospacing="1"/>
        <w:contextualSpacing/>
        <w:jc w:val="both"/>
        <w:rPr>
          <w:sz w:val="22"/>
          <w:szCs w:val="22"/>
        </w:rPr>
      </w:pPr>
      <w:r w:rsidRPr="00F54EA6">
        <w:rPr>
          <w:sz w:val="22"/>
          <w:szCs w:val="22"/>
        </w:rPr>
        <w:t>Οι δράσεις που προβλέπεται να χρηματοδοτηθούν αφορούν κυρίως προγράμματα απασχόλησης, ε</w:t>
      </w:r>
      <w:r w:rsidRPr="00F54EA6">
        <w:rPr>
          <w:sz w:val="22"/>
          <w:szCs w:val="22"/>
        </w:rPr>
        <w:t>κ</w:t>
      </w:r>
      <w:r w:rsidRPr="00F54EA6">
        <w:rPr>
          <w:sz w:val="22"/>
          <w:szCs w:val="22"/>
        </w:rPr>
        <w:t>παίδευσης, συντηρήσεις υποδομών, αποκατάσταση ζημιών σε υποδομές από σεισμούς, πυρκαγιές και άλλες φυσικές καταστροφές</w:t>
      </w:r>
      <w:r w:rsidR="00B35613">
        <w:rPr>
          <w:sz w:val="22"/>
          <w:szCs w:val="22"/>
        </w:rPr>
        <w:t>,</w:t>
      </w:r>
      <w:r w:rsidRPr="00F54EA6">
        <w:rPr>
          <w:sz w:val="22"/>
          <w:szCs w:val="22"/>
        </w:rPr>
        <w:t xml:space="preserve"> καθώς και ενισχύσεις πληγέντων από αυτές</w:t>
      </w:r>
      <w:r w:rsidR="00B35613">
        <w:rPr>
          <w:sz w:val="22"/>
          <w:szCs w:val="22"/>
        </w:rPr>
        <w:t>. Τέλος</w:t>
      </w:r>
      <w:r w:rsidRPr="00F54EA6">
        <w:rPr>
          <w:sz w:val="22"/>
          <w:szCs w:val="22"/>
        </w:rPr>
        <w:t xml:space="preserve">, </w:t>
      </w:r>
      <w:r w:rsidR="00CE6379">
        <w:rPr>
          <w:sz w:val="22"/>
          <w:szCs w:val="22"/>
        </w:rPr>
        <w:t xml:space="preserve">θα χρηματοδοτηθούν </w:t>
      </w:r>
      <w:r w:rsidRPr="00F54EA6">
        <w:rPr>
          <w:sz w:val="22"/>
          <w:szCs w:val="22"/>
        </w:rPr>
        <w:t>κοινωνι</w:t>
      </w:r>
      <w:r w:rsidR="00B35613">
        <w:rPr>
          <w:sz w:val="22"/>
          <w:szCs w:val="22"/>
        </w:rPr>
        <w:t>κά</w:t>
      </w:r>
      <w:r w:rsidRPr="00F54EA6">
        <w:rPr>
          <w:sz w:val="22"/>
          <w:szCs w:val="22"/>
        </w:rPr>
        <w:t xml:space="preserve"> προγρ</w:t>
      </w:r>
      <w:r w:rsidR="00B35613">
        <w:rPr>
          <w:sz w:val="22"/>
          <w:szCs w:val="22"/>
        </w:rPr>
        <w:t>άμματα</w:t>
      </w:r>
      <w:r w:rsidRPr="00F54EA6">
        <w:rPr>
          <w:sz w:val="22"/>
          <w:szCs w:val="22"/>
        </w:rPr>
        <w:t xml:space="preserve"> για τις πλέον ευάλωτες ομάδες του πληθυσμού (κοινωνική πρόνοια, καταπ</w:t>
      </w:r>
      <w:r w:rsidRPr="00F54EA6">
        <w:rPr>
          <w:sz w:val="22"/>
          <w:szCs w:val="22"/>
        </w:rPr>
        <w:t>ο</w:t>
      </w:r>
      <w:r w:rsidRPr="00F54EA6">
        <w:rPr>
          <w:sz w:val="22"/>
          <w:szCs w:val="22"/>
        </w:rPr>
        <w:t>λέμηση της ανεργίας κ.λπ.)</w:t>
      </w:r>
      <w:r w:rsidR="00B35613">
        <w:rPr>
          <w:sz w:val="22"/>
          <w:szCs w:val="22"/>
        </w:rPr>
        <w:t>,</w:t>
      </w:r>
      <w:r w:rsidRPr="00F54EA6">
        <w:rPr>
          <w:sz w:val="22"/>
          <w:szCs w:val="22"/>
        </w:rPr>
        <w:t xml:space="preserve"> καθώς και </w:t>
      </w:r>
      <w:r w:rsidR="00B35613">
        <w:rPr>
          <w:sz w:val="22"/>
          <w:szCs w:val="22"/>
        </w:rPr>
        <w:t xml:space="preserve">προγράμματα για </w:t>
      </w:r>
      <w:r w:rsidRPr="00F54EA6">
        <w:rPr>
          <w:sz w:val="22"/>
          <w:szCs w:val="22"/>
        </w:rPr>
        <w:t>την ορθολογική οργάνωση και τον εκσυ</w:t>
      </w:r>
      <w:r w:rsidRPr="00F54EA6">
        <w:rPr>
          <w:sz w:val="22"/>
          <w:szCs w:val="22"/>
        </w:rPr>
        <w:t>γ</w:t>
      </w:r>
      <w:r w:rsidRPr="00F54EA6">
        <w:rPr>
          <w:sz w:val="22"/>
          <w:szCs w:val="22"/>
        </w:rPr>
        <w:t>χρονισμό της Δημόσιας Διοίκησης.</w:t>
      </w:r>
    </w:p>
    <w:p w:rsidR="00E91D90" w:rsidRDefault="00E91D90" w:rsidP="00F54EA6">
      <w:pPr>
        <w:contextualSpacing/>
        <w:jc w:val="both"/>
        <w:rPr>
          <w:sz w:val="22"/>
          <w:szCs w:val="22"/>
        </w:rPr>
      </w:pPr>
    </w:p>
    <w:p w:rsidR="00A35EA9" w:rsidRPr="00F54EA6" w:rsidRDefault="00A35EA9" w:rsidP="00F54EA6">
      <w:pPr>
        <w:contextualSpacing/>
        <w:jc w:val="both"/>
        <w:rPr>
          <w:sz w:val="22"/>
          <w:szCs w:val="22"/>
        </w:rPr>
      </w:pPr>
      <w:r w:rsidRPr="00F54EA6">
        <w:rPr>
          <w:sz w:val="22"/>
          <w:szCs w:val="22"/>
        </w:rPr>
        <w:t>Στον πίνακα που ακολουθεί παρουσιάζεται η διαχρο</w:t>
      </w:r>
      <w:r w:rsidR="00E4004D">
        <w:rPr>
          <w:sz w:val="22"/>
          <w:szCs w:val="22"/>
        </w:rPr>
        <w:t>νική εξέλιξη του ΠΔΕ από το 2008</w:t>
      </w:r>
      <w:r w:rsidRPr="00F54EA6">
        <w:rPr>
          <w:sz w:val="22"/>
          <w:szCs w:val="22"/>
        </w:rPr>
        <w:t xml:space="preserve"> έως και το 2018.</w:t>
      </w:r>
    </w:p>
    <w:p w:rsidR="00912018" w:rsidRDefault="00912018" w:rsidP="00F54EA6">
      <w:pPr>
        <w:spacing w:before="100" w:beforeAutospacing="1" w:after="100" w:afterAutospacing="1"/>
        <w:contextualSpacing/>
        <w:jc w:val="both"/>
        <w:rPr>
          <w:sz w:val="22"/>
          <w:szCs w:val="22"/>
        </w:rPr>
      </w:pPr>
    </w:p>
    <w:p w:rsidR="00E91D90" w:rsidRPr="00F54EA6" w:rsidRDefault="00E91D90" w:rsidP="00F54EA6">
      <w:pPr>
        <w:spacing w:before="100" w:beforeAutospacing="1" w:after="100" w:afterAutospacing="1"/>
        <w:contextualSpacing/>
        <w:jc w:val="both"/>
        <w:rPr>
          <w:sz w:val="22"/>
          <w:szCs w:val="22"/>
        </w:rPr>
      </w:pPr>
    </w:p>
    <w:tbl>
      <w:tblPr>
        <w:tblW w:w="0" w:type="auto"/>
        <w:jc w:val="center"/>
        <w:tblLook w:val="00BF" w:firstRow="1" w:lastRow="0" w:firstColumn="1" w:lastColumn="0" w:noHBand="0" w:noVBand="0"/>
      </w:tblPr>
      <w:tblGrid>
        <w:gridCol w:w="1332"/>
        <w:gridCol w:w="1417"/>
        <w:gridCol w:w="1774"/>
        <w:gridCol w:w="1488"/>
      </w:tblGrid>
      <w:tr w:rsidR="007418E7" w:rsidRPr="00F54EA6" w:rsidTr="009D635E">
        <w:trPr>
          <w:jc w:val="center"/>
        </w:trPr>
        <w:tc>
          <w:tcPr>
            <w:tcW w:w="6011" w:type="dxa"/>
            <w:gridSpan w:val="4"/>
            <w:tcBorders>
              <w:top w:val="single" w:sz="4" w:space="0" w:color="auto"/>
              <w:left w:val="single" w:sz="4" w:space="0" w:color="auto"/>
              <w:right w:val="single" w:sz="4" w:space="0" w:color="auto"/>
            </w:tcBorders>
            <w:shd w:val="clear" w:color="auto" w:fill="404040" w:themeFill="text1" w:themeFillTint="BF"/>
            <w:tcMar>
              <w:left w:w="28" w:type="dxa"/>
              <w:right w:w="28" w:type="dxa"/>
            </w:tcMar>
            <w:vAlign w:val="center"/>
          </w:tcPr>
          <w:p w:rsidR="007418E7" w:rsidRPr="00F54EA6" w:rsidRDefault="00185230" w:rsidP="00F54EA6">
            <w:pPr>
              <w:spacing w:before="80"/>
              <w:jc w:val="center"/>
              <w:rPr>
                <w:rFonts w:ascii="Arial Narrow" w:hAnsi="Arial Narrow"/>
                <w:b/>
                <w:color w:val="FFFFFF"/>
                <w:sz w:val="22"/>
                <w:szCs w:val="22"/>
              </w:rPr>
            </w:pPr>
            <w:r>
              <w:rPr>
                <w:rFonts w:ascii="Arial Narrow" w:hAnsi="Arial Narrow"/>
                <w:b/>
                <w:color w:val="FFFFFF"/>
                <w:sz w:val="22"/>
                <w:szCs w:val="22"/>
              </w:rPr>
              <w:t>Πίνακας 3.10</w:t>
            </w:r>
            <w:r w:rsidR="008967F1">
              <w:rPr>
                <w:rFonts w:ascii="Arial Narrow" w:hAnsi="Arial Narrow"/>
                <w:b/>
                <w:color w:val="FFFFFF"/>
                <w:sz w:val="22"/>
                <w:szCs w:val="22"/>
              </w:rPr>
              <w:t xml:space="preserve"> </w:t>
            </w:r>
            <w:r w:rsidR="007418E7" w:rsidRPr="00F54EA6">
              <w:rPr>
                <w:rFonts w:ascii="Arial Narrow" w:hAnsi="Arial Narrow"/>
                <w:b/>
                <w:color w:val="FFFFFF"/>
                <w:sz w:val="22"/>
                <w:szCs w:val="22"/>
              </w:rPr>
              <w:t>Διαχ</w:t>
            </w:r>
            <w:r w:rsidR="00B35613">
              <w:rPr>
                <w:rFonts w:ascii="Arial Narrow" w:hAnsi="Arial Narrow"/>
                <w:b/>
                <w:color w:val="FFFFFF"/>
                <w:sz w:val="22"/>
                <w:szCs w:val="22"/>
              </w:rPr>
              <w:t>ρονική εξέλιξη δαπανών ΠΔΕ (2008</w:t>
            </w:r>
            <w:r w:rsidR="007418E7" w:rsidRPr="00F54EA6">
              <w:rPr>
                <w:rFonts w:ascii="Arial Narrow" w:hAnsi="Arial Narrow"/>
                <w:b/>
                <w:color w:val="FFFFFF"/>
                <w:sz w:val="22"/>
                <w:szCs w:val="22"/>
              </w:rPr>
              <w:t>-2018)</w:t>
            </w:r>
          </w:p>
          <w:p w:rsidR="007418E7" w:rsidRPr="00F54EA6" w:rsidRDefault="007418E7" w:rsidP="00F54EA6">
            <w:pPr>
              <w:spacing w:after="80"/>
              <w:jc w:val="center"/>
              <w:rPr>
                <w:rFonts w:ascii="Arial Narrow" w:hAnsi="Arial Narrow"/>
                <w:b/>
                <w:color w:val="FFFFFF"/>
                <w:sz w:val="22"/>
                <w:szCs w:val="22"/>
              </w:rPr>
            </w:pPr>
            <w:r w:rsidRPr="00F54EA6">
              <w:rPr>
                <w:rFonts w:ascii="Arial Narrow" w:hAnsi="Arial Narrow"/>
                <w:b/>
                <w:color w:val="FFFFFF"/>
                <w:sz w:val="22"/>
                <w:szCs w:val="22"/>
              </w:rPr>
              <w:t>(σε εκατ. ευρώ)</w:t>
            </w:r>
          </w:p>
        </w:tc>
      </w:tr>
      <w:tr w:rsidR="007418E7" w:rsidRPr="00F54EA6" w:rsidTr="009D635E">
        <w:trPr>
          <w:jc w:val="center"/>
        </w:trPr>
        <w:tc>
          <w:tcPr>
            <w:tcW w:w="6011" w:type="dxa"/>
            <w:gridSpan w:val="4"/>
            <w:tcBorders>
              <w:left w:val="single" w:sz="4" w:space="0" w:color="auto"/>
              <w:bottom w:val="single" w:sz="4" w:space="0" w:color="auto"/>
              <w:right w:val="single" w:sz="4" w:space="0" w:color="auto"/>
            </w:tcBorders>
            <w:shd w:val="clear" w:color="auto" w:fill="auto"/>
            <w:tcMar>
              <w:left w:w="28" w:type="dxa"/>
              <w:right w:w="28" w:type="dxa"/>
            </w:tcMar>
            <w:vAlign w:val="center"/>
          </w:tcPr>
          <w:p w:rsidR="007418E7" w:rsidRPr="00F54EA6" w:rsidRDefault="007418E7" w:rsidP="00F54EA6">
            <w:pPr>
              <w:jc w:val="center"/>
              <w:rPr>
                <w:rFonts w:ascii="Arial Narrow" w:hAnsi="Arial Narrow"/>
                <w:b/>
                <w:sz w:val="22"/>
                <w:szCs w:val="22"/>
              </w:rPr>
            </w:pPr>
          </w:p>
        </w:tc>
      </w:tr>
      <w:tr w:rsidR="007418E7" w:rsidRPr="00EC191C" w:rsidTr="009D635E">
        <w:trPr>
          <w:jc w:val="center"/>
        </w:trPr>
        <w:tc>
          <w:tcPr>
            <w:tcW w:w="1332"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7418E7" w:rsidRPr="00EC191C" w:rsidRDefault="007418E7" w:rsidP="00F54EA6">
            <w:pPr>
              <w:jc w:val="center"/>
              <w:rPr>
                <w:rFonts w:ascii="Arial Narrow" w:hAnsi="Arial Narrow"/>
                <w:b/>
                <w:sz w:val="16"/>
                <w:szCs w:val="16"/>
              </w:rPr>
            </w:pPr>
            <w:r w:rsidRPr="00EC191C">
              <w:rPr>
                <w:rFonts w:ascii="Arial Narrow" w:hAnsi="Arial Narrow"/>
                <w:b/>
                <w:sz w:val="16"/>
                <w:szCs w:val="16"/>
              </w:rPr>
              <w:t>Έτη</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418E7" w:rsidRPr="00EC191C" w:rsidRDefault="007418E7" w:rsidP="00F54EA6">
            <w:pPr>
              <w:jc w:val="center"/>
              <w:rPr>
                <w:rFonts w:ascii="Arial Narrow" w:hAnsi="Arial Narrow"/>
                <w:b/>
                <w:sz w:val="16"/>
                <w:szCs w:val="16"/>
              </w:rPr>
            </w:pPr>
            <w:r w:rsidRPr="00EC191C">
              <w:rPr>
                <w:rFonts w:ascii="Arial Narrow" w:hAnsi="Arial Narrow"/>
                <w:b/>
                <w:sz w:val="16"/>
                <w:szCs w:val="16"/>
              </w:rPr>
              <w:t>ΠΔΕ</w:t>
            </w:r>
          </w:p>
        </w:tc>
      </w:tr>
      <w:tr w:rsidR="007418E7" w:rsidRPr="00EC191C" w:rsidTr="009D635E">
        <w:trPr>
          <w:jc w:val="center"/>
        </w:trPr>
        <w:tc>
          <w:tcPr>
            <w:tcW w:w="1332" w:type="dxa"/>
            <w:vMerge/>
            <w:tcBorders>
              <w:left w:val="single" w:sz="4" w:space="0" w:color="auto"/>
              <w:bottom w:val="single" w:sz="4" w:space="0" w:color="auto"/>
              <w:right w:val="single" w:sz="4" w:space="0" w:color="auto"/>
            </w:tcBorders>
            <w:shd w:val="clear" w:color="auto" w:fill="auto"/>
            <w:tcMar>
              <w:left w:w="28" w:type="dxa"/>
              <w:right w:w="28" w:type="dxa"/>
            </w:tcMar>
          </w:tcPr>
          <w:p w:rsidR="007418E7" w:rsidRPr="00EC191C" w:rsidRDefault="007418E7" w:rsidP="00F54EA6">
            <w:pPr>
              <w:jc w:val="center"/>
              <w:rPr>
                <w:rFonts w:ascii="Arial Narrow" w:hAnsi="Arial Narrow"/>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418E7" w:rsidRPr="00EC191C" w:rsidRDefault="007418E7" w:rsidP="00F54EA6">
            <w:pPr>
              <w:jc w:val="center"/>
              <w:rPr>
                <w:rFonts w:ascii="Arial Narrow" w:hAnsi="Arial Narrow"/>
                <w:b/>
                <w:sz w:val="16"/>
                <w:szCs w:val="16"/>
              </w:rPr>
            </w:pPr>
            <w:r w:rsidRPr="00EC191C">
              <w:rPr>
                <w:rFonts w:ascii="Arial Narrow" w:hAnsi="Arial Narrow"/>
                <w:b/>
                <w:sz w:val="16"/>
                <w:szCs w:val="16"/>
              </w:rPr>
              <w:t>Λοιποί</w:t>
            </w:r>
          </w:p>
          <w:p w:rsidR="007418E7" w:rsidRPr="00EC191C" w:rsidRDefault="007418E7" w:rsidP="00F54EA6">
            <w:pPr>
              <w:jc w:val="center"/>
              <w:rPr>
                <w:rFonts w:ascii="Arial Narrow" w:hAnsi="Arial Narrow"/>
                <w:b/>
                <w:sz w:val="16"/>
                <w:szCs w:val="16"/>
              </w:rPr>
            </w:pPr>
            <w:r w:rsidRPr="00EC191C">
              <w:rPr>
                <w:rFonts w:ascii="Arial Narrow" w:hAnsi="Arial Narrow"/>
                <w:b/>
                <w:sz w:val="16"/>
                <w:szCs w:val="16"/>
              </w:rPr>
              <w:t>εθνικοί πόροι</w:t>
            </w:r>
          </w:p>
        </w:tc>
        <w:tc>
          <w:tcPr>
            <w:tcW w:w="17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18E7" w:rsidRPr="00EC191C" w:rsidRDefault="007418E7" w:rsidP="00F54EA6">
            <w:pPr>
              <w:jc w:val="center"/>
              <w:rPr>
                <w:rFonts w:ascii="Arial Narrow" w:hAnsi="Arial Narrow"/>
                <w:b/>
                <w:sz w:val="16"/>
                <w:szCs w:val="16"/>
              </w:rPr>
            </w:pPr>
            <w:r w:rsidRPr="00EC191C">
              <w:rPr>
                <w:rFonts w:ascii="Arial Narrow" w:hAnsi="Arial Narrow"/>
                <w:b/>
                <w:sz w:val="16"/>
                <w:szCs w:val="16"/>
              </w:rPr>
              <w:t>Συγχρηματοδοτούμενο</w:t>
            </w:r>
          </w:p>
        </w:tc>
        <w:tc>
          <w:tcPr>
            <w:tcW w:w="1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18E7" w:rsidRPr="00EC191C" w:rsidRDefault="007418E7" w:rsidP="00F54EA6">
            <w:pPr>
              <w:jc w:val="center"/>
              <w:rPr>
                <w:rFonts w:ascii="Arial Narrow" w:hAnsi="Arial Narrow"/>
                <w:b/>
                <w:sz w:val="16"/>
                <w:szCs w:val="16"/>
              </w:rPr>
            </w:pPr>
            <w:r w:rsidRPr="00EC191C">
              <w:rPr>
                <w:rFonts w:ascii="Arial Narrow" w:hAnsi="Arial Narrow"/>
                <w:b/>
                <w:sz w:val="16"/>
                <w:szCs w:val="16"/>
              </w:rPr>
              <w:t>Σύνολο</w:t>
            </w:r>
          </w:p>
        </w:tc>
      </w:tr>
      <w:tr w:rsidR="007418E7" w:rsidRPr="00EC191C" w:rsidTr="009D635E">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7418E7" w:rsidRPr="00EC191C" w:rsidRDefault="007418E7" w:rsidP="00F54EA6">
            <w:pPr>
              <w:jc w:val="center"/>
              <w:rPr>
                <w:rFonts w:ascii="Arial Narrow" w:hAnsi="Arial Narrow"/>
                <w:sz w:val="16"/>
                <w:szCs w:val="16"/>
              </w:rPr>
            </w:pPr>
            <w:r w:rsidRPr="00EC191C">
              <w:rPr>
                <w:rFonts w:ascii="Arial Narrow" w:hAnsi="Arial Narrow"/>
                <w:sz w:val="16"/>
                <w:szCs w:val="16"/>
              </w:rPr>
              <w:t>2008</w:t>
            </w:r>
          </w:p>
        </w:tc>
        <w:tc>
          <w:tcPr>
            <w:tcW w:w="1417" w:type="dxa"/>
            <w:tcBorders>
              <w:top w:val="nil"/>
              <w:bottom w:val="nil"/>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2.559</w:t>
            </w:r>
          </w:p>
        </w:tc>
        <w:tc>
          <w:tcPr>
            <w:tcW w:w="1774" w:type="dxa"/>
            <w:tcBorders>
              <w:top w:val="nil"/>
              <w:bottom w:val="nil"/>
            </w:tcBorders>
            <w:shd w:val="clear" w:color="auto" w:fill="A6A6A6" w:themeFill="background1" w:themeFillShade="A6"/>
            <w:tcMar>
              <w:left w:w="28" w:type="dxa"/>
              <w:right w:w="28" w:type="dxa"/>
            </w:tcMar>
            <w:vAlign w:val="bottom"/>
          </w:tcPr>
          <w:p w:rsidR="007418E7" w:rsidRPr="00EC191C" w:rsidRDefault="007418E7" w:rsidP="00F54EA6">
            <w:pPr>
              <w:ind w:right="625"/>
              <w:jc w:val="right"/>
              <w:rPr>
                <w:rFonts w:ascii="Arial Narrow" w:hAnsi="Arial Narrow"/>
                <w:color w:val="000000"/>
                <w:sz w:val="16"/>
                <w:szCs w:val="16"/>
              </w:rPr>
            </w:pPr>
            <w:r w:rsidRPr="00EC191C">
              <w:rPr>
                <w:rFonts w:ascii="Arial Narrow" w:hAnsi="Arial Narrow"/>
                <w:color w:val="000000"/>
                <w:sz w:val="16"/>
                <w:szCs w:val="16"/>
              </w:rPr>
              <w:t>7.065</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9.624</w:t>
            </w:r>
          </w:p>
        </w:tc>
      </w:tr>
      <w:tr w:rsidR="007418E7" w:rsidRPr="00EC191C" w:rsidTr="009D635E">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7418E7" w:rsidRPr="00EC191C" w:rsidRDefault="007418E7" w:rsidP="00F54EA6">
            <w:pPr>
              <w:jc w:val="center"/>
              <w:rPr>
                <w:rFonts w:ascii="Arial Narrow" w:hAnsi="Arial Narrow"/>
                <w:sz w:val="16"/>
                <w:szCs w:val="16"/>
              </w:rPr>
            </w:pPr>
            <w:r w:rsidRPr="00EC191C">
              <w:rPr>
                <w:rFonts w:ascii="Arial Narrow" w:hAnsi="Arial Narrow"/>
                <w:sz w:val="16"/>
                <w:szCs w:val="16"/>
              </w:rPr>
              <w:t>2009</w:t>
            </w:r>
          </w:p>
        </w:tc>
        <w:tc>
          <w:tcPr>
            <w:tcW w:w="1417" w:type="dxa"/>
            <w:tcBorders>
              <w:top w:val="nil"/>
              <w:bottom w:val="nil"/>
            </w:tcBorders>
            <w:shd w:val="clear" w:color="auto" w:fill="auto"/>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2.455</w:t>
            </w:r>
          </w:p>
        </w:tc>
        <w:tc>
          <w:tcPr>
            <w:tcW w:w="1774" w:type="dxa"/>
            <w:tcBorders>
              <w:top w:val="nil"/>
              <w:bottom w:val="nil"/>
            </w:tcBorders>
            <w:shd w:val="clear" w:color="auto" w:fill="auto"/>
            <w:tcMar>
              <w:left w:w="28" w:type="dxa"/>
              <w:right w:w="28" w:type="dxa"/>
            </w:tcMar>
            <w:vAlign w:val="bottom"/>
          </w:tcPr>
          <w:p w:rsidR="007418E7" w:rsidRPr="00EC191C" w:rsidRDefault="007418E7" w:rsidP="00F54EA6">
            <w:pPr>
              <w:ind w:right="625"/>
              <w:jc w:val="right"/>
              <w:rPr>
                <w:rFonts w:ascii="Arial Narrow" w:hAnsi="Arial Narrow"/>
                <w:color w:val="000000"/>
                <w:sz w:val="16"/>
                <w:szCs w:val="16"/>
              </w:rPr>
            </w:pPr>
            <w:r w:rsidRPr="00EC191C">
              <w:rPr>
                <w:rFonts w:ascii="Arial Narrow" w:hAnsi="Arial Narrow"/>
                <w:color w:val="000000"/>
                <w:sz w:val="16"/>
                <w:szCs w:val="16"/>
              </w:rPr>
              <w:t>7.133</w:t>
            </w:r>
          </w:p>
        </w:tc>
        <w:tc>
          <w:tcPr>
            <w:tcW w:w="1488" w:type="dxa"/>
            <w:tcBorders>
              <w:top w:val="nil"/>
              <w:bottom w:val="nil"/>
              <w:right w:val="single" w:sz="4" w:space="0" w:color="auto"/>
            </w:tcBorders>
            <w:shd w:val="clear" w:color="auto" w:fill="auto"/>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9.588</w:t>
            </w:r>
          </w:p>
        </w:tc>
      </w:tr>
      <w:tr w:rsidR="007418E7" w:rsidRPr="00EC191C" w:rsidTr="009D635E">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7418E7" w:rsidRPr="00EC191C" w:rsidRDefault="007418E7" w:rsidP="00F54EA6">
            <w:pPr>
              <w:jc w:val="center"/>
              <w:rPr>
                <w:rFonts w:ascii="Arial Narrow" w:hAnsi="Arial Narrow"/>
                <w:sz w:val="16"/>
                <w:szCs w:val="16"/>
              </w:rPr>
            </w:pPr>
            <w:r w:rsidRPr="00EC191C">
              <w:rPr>
                <w:rFonts w:ascii="Arial Narrow" w:hAnsi="Arial Narrow"/>
                <w:sz w:val="16"/>
                <w:szCs w:val="16"/>
              </w:rPr>
              <w:t>2010</w:t>
            </w:r>
          </w:p>
        </w:tc>
        <w:tc>
          <w:tcPr>
            <w:tcW w:w="1417" w:type="dxa"/>
            <w:tcBorders>
              <w:top w:val="nil"/>
              <w:bottom w:val="nil"/>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2.218</w:t>
            </w:r>
          </w:p>
        </w:tc>
        <w:tc>
          <w:tcPr>
            <w:tcW w:w="1774" w:type="dxa"/>
            <w:tcBorders>
              <w:top w:val="nil"/>
              <w:bottom w:val="nil"/>
            </w:tcBorders>
            <w:shd w:val="clear" w:color="auto" w:fill="A6A6A6" w:themeFill="background1" w:themeFillShade="A6"/>
            <w:tcMar>
              <w:left w:w="28" w:type="dxa"/>
              <w:right w:w="28" w:type="dxa"/>
            </w:tcMar>
            <w:vAlign w:val="bottom"/>
          </w:tcPr>
          <w:p w:rsidR="007418E7" w:rsidRPr="00EC191C" w:rsidRDefault="007418E7" w:rsidP="00F54EA6">
            <w:pPr>
              <w:ind w:right="625"/>
              <w:jc w:val="right"/>
              <w:rPr>
                <w:rFonts w:ascii="Arial Narrow" w:hAnsi="Arial Narrow"/>
                <w:color w:val="000000"/>
                <w:sz w:val="16"/>
                <w:szCs w:val="16"/>
              </w:rPr>
            </w:pPr>
            <w:r w:rsidRPr="00EC191C">
              <w:rPr>
                <w:rFonts w:ascii="Arial Narrow" w:hAnsi="Arial Narrow"/>
                <w:color w:val="000000"/>
                <w:sz w:val="16"/>
                <w:szCs w:val="16"/>
              </w:rPr>
              <w:t>6.236</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8.454</w:t>
            </w:r>
          </w:p>
        </w:tc>
      </w:tr>
      <w:tr w:rsidR="007418E7" w:rsidRPr="00EC191C" w:rsidTr="009D635E">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7418E7" w:rsidRPr="00EC191C" w:rsidRDefault="007418E7" w:rsidP="00F54EA6">
            <w:pPr>
              <w:jc w:val="center"/>
              <w:rPr>
                <w:rFonts w:ascii="Arial Narrow" w:hAnsi="Arial Narrow"/>
                <w:sz w:val="16"/>
                <w:szCs w:val="16"/>
              </w:rPr>
            </w:pPr>
            <w:r w:rsidRPr="00EC191C">
              <w:rPr>
                <w:rFonts w:ascii="Arial Narrow" w:hAnsi="Arial Narrow"/>
                <w:sz w:val="16"/>
                <w:szCs w:val="16"/>
              </w:rPr>
              <w:t>2011</w:t>
            </w:r>
          </w:p>
        </w:tc>
        <w:tc>
          <w:tcPr>
            <w:tcW w:w="1417" w:type="dxa"/>
            <w:tcBorders>
              <w:top w:val="nil"/>
              <w:bottom w:val="nil"/>
            </w:tcBorders>
            <w:shd w:val="clear" w:color="auto" w:fill="auto"/>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1.885</w:t>
            </w:r>
          </w:p>
        </w:tc>
        <w:tc>
          <w:tcPr>
            <w:tcW w:w="1774" w:type="dxa"/>
            <w:tcBorders>
              <w:top w:val="nil"/>
              <w:bottom w:val="nil"/>
            </w:tcBorders>
            <w:shd w:val="clear" w:color="auto" w:fill="auto"/>
            <w:tcMar>
              <w:left w:w="28" w:type="dxa"/>
              <w:right w:w="28" w:type="dxa"/>
            </w:tcMar>
            <w:vAlign w:val="bottom"/>
          </w:tcPr>
          <w:p w:rsidR="007418E7" w:rsidRPr="00EC191C" w:rsidRDefault="007418E7" w:rsidP="00F54EA6">
            <w:pPr>
              <w:ind w:right="625"/>
              <w:jc w:val="right"/>
              <w:rPr>
                <w:rFonts w:ascii="Arial Narrow" w:hAnsi="Arial Narrow"/>
                <w:color w:val="000000"/>
                <w:sz w:val="16"/>
                <w:szCs w:val="16"/>
              </w:rPr>
            </w:pPr>
            <w:r w:rsidRPr="00EC191C">
              <w:rPr>
                <w:rFonts w:ascii="Arial Narrow" w:hAnsi="Arial Narrow"/>
                <w:color w:val="000000"/>
                <w:sz w:val="16"/>
                <w:szCs w:val="16"/>
              </w:rPr>
              <w:t>4.722</w:t>
            </w:r>
          </w:p>
        </w:tc>
        <w:tc>
          <w:tcPr>
            <w:tcW w:w="1488" w:type="dxa"/>
            <w:tcBorders>
              <w:top w:val="nil"/>
              <w:bottom w:val="nil"/>
              <w:right w:val="single" w:sz="4" w:space="0" w:color="auto"/>
            </w:tcBorders>
            <w:shd w:val="clear" w:color="auto" w:fill="auto"/>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6.608</w:t>
            </w:r>
          </w:p>
        </w:tc>
      </w:tr>
      <w:tr w:rsidR="007418E7" w:rsidRPr="00EC191C" w:rsidTr="009D635E">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7418E7" w:rsidRPr="00EC191C" w:rsidRDefault="007418E7" w:rsidP="00F54EA6">
            <w:pPr>
              <w:jc w:val="center"/>
              <w:rPr>
                <w:rFonts w:ascii="Arial Narrow" w:hAnsi="Arial Narrow"/>
                <w:sz w:val="16"/>
                <w:szCs w:val="16"/>
              </w:rPr>
            </w:pPr>
            <w:r w:rsidRPr="00EC191C">
              <w:rPr>
                <w:rFonts w:ascii="Arial Narrow" w:hAnsi="Arial Narrow"/>
                <w:sz w:val="16"/>
                <w:szCs w:val="16"/>
              </w:rPr>
              <w:t>2012</w:t>
            </w:r>
          </w:p>
        </w:tc>
        <w:tc>
          <w:tcPr>
            <w:tcW w:w="1417" w:type="dxa"/>
            <w:tcBorders>
              <w:top w:val="nil"/>
              <w:bottom w:val="nil"/>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1.412</w:t>
            </w:r>
          </w:p>
        </w:tc>
        <w:tc>
          <w:tcPr>
            <w:tcW w:w="1774" w:type="dxa"/>
            <w:tcBorders>
              <w:top w:val="nil"/>
              <w:bottom w:val="nil"/>
            </w:tcBorders>
            <w:shd w:val="clear" w:color="auto" w:fill="A6A6A6" w:themeFill="background1" w:themeFillShade="A6"/>
            <w:tcMar>
              <w:left w:w="28" w:type="dxa"/>
              <w:right w:w="28" w:type="dxa"/>
            </w:tcMar>
            <w:vAlign w:val="bottom"/>
          </w:tcPr>
          <w:p w:rsidR="007418E7" w:rsidRPr="00EC191C" w:rsidRDefault="007418E7" w:rsidP="00F54EA6">
            <w:pPr>
              <w:ind w:right="625"/>
              <w:jc w:val="right"/>
              <w:rPr>
                <w:rFonts w:ascii="Arial Narrow" w:hAnsi="Arial Narrow"/>
                <w:color w:val="000000"/>
                <w:sz w:val="16"/>
                <w:szCs w:val="16"/>
              </w:rPr>
            </w:pPr>
            <w:r w:rsidRPr="00EC191C">
              <w:rPr>
                <w:rFonts w:ascii="Arial Narrow" w:hAnsi="Arial Narrow"/>
                <w:color w:val="000000"/>
                <w:sz w:val="16"/>
                <w:szCs w:val="16"/>
              </w:rPr>
              <w:t>4.710</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6.122</w:t>
            </w:r>
          </w:p>
        </w:tc>
      </w:tr>
      <w:tr w:rsidR="007418E7" w:rsidRPr="00EC191C" w:rsidTr="009D635E">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uto"/>
            <w:tcMar>
              <w:left w:w="28" w:type="dxa"/>
              <w:right w:w="28" w:type="dxa"/>
            </w:tcMar>
            <w:vAlign w:val="center"/>
          </w:tcPr>
          <w:p w:rsidR="007418E7" w:rsidRPr="00EC191C" w:rsidRDefault="007418E7" w:rsidP="00F54EA6">
            <w:pPr>
              <w:jc w:val="center"/>
              <w:rPr>
                <w:rFonts w:ascii="Arial Narrow" w:hAnsi="Arial Narrow"/>
                <w:sz w:val="16"/>
                <w:szCs w:val="16"/>
              </w:rPr>
            </w:pPr>
            <w:r w:rsidRPr="00EC191C">
              <w:rPr>
                <w:rFonts w:ascii="Arial Narrow" w:hAnsi="Arial Narrow"/>
                <w:sz w:val="16"/>
                <w:szCs w:val="16"/>
              </w:rPr>
              <w:t>2013</w:t>
            </w:r>
          </w:p>
        </w:tc>
        <w:tc>
          <w:tcPr>
            <w:tcW w:w="1417" w:type="dxa"/>
            <w:tcBorders>
              <w:top w:val="nil"/>
              <w:bottom w:val="nil"/>
            </w:tcBorders>
            <w:shd w:val="clear" w:color="auto" w:fill="auto"/>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783</w:t>
            </w:r>
          </w:p>
        </w:tc>
        <w:tc>
          <w:tcPr>
            <w:tcW w:w="1774" w:type="dxa"/>
            <w:tcBorders>
              <w:top w:val="nil"/>
              <w:bottom w:val="nil"/>
            </w:tcBorders>
            <w:shd w:val="clear" w:color="auto" w:fill="auto"/>
            <w:tcMar>
              <w:left w:w="28" w:type="dxa"/>
              <w:right w:w="28" w:type="dxa"/>
            </w:tcMar>
            <w:vAlign w:val="bottom"/>
          </w:tcPr>
          <w:p w:rsidR="007418E7" w:rsidRPr="00EC191C" w:rsidRDefault="007418E7" w:rsidP="00F54EA6">
            <w:pPr>
              <w:ind w:right="625"/>
              <w:jc w:val="right"/>
              <w:rPr>
                <w:rFonts w:ascii="Arial Narrow" w:hAnsi="Arial Narrow"/>
                <w:color w:val="000000"/>
                <w:sz w:val="16"/>
                <w:szCs w:val="16"/>
              </w:rPr>
            </w:pPr>
            <w:r w:rsidRPr="00EC191C">
              <w:rPr>
                <w:rFonts w:ascii="Arial Narrow" w:hAnsi="Arial Narrow"/>
                <w:color w:val="000000"/>
                <w:sz w:val="16"/>
                <w:szCs w:val="16"/>
              </w:rPr>
              <w:t>5.867</w:t>
            </w:r>
          </w:p>
        </w:tc>
        <w:tc>
          <w:tcPr>
            <w:tcW w:w="1488" w:type="dxa"/>
            <w:tcBorders>
              <w:top w:val="nil"/>
              <w:bottom w:val="nil"/>
              <w:right w:val="single" w:sz="4" w:space="0" w:color="auto"/>
            </w:tcBorders>
            <w:shd w:val="clear" w:color="auto" w:fill="auto"/>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6.650</w:t>
            </w:r>
          </w:p>
        </w:tc>
      </w:tr>
      <w:tr w:rsidR="007418E7" w:rsidRPr="00EC191C" w:rsidTr="009D635E">
        <w:tblPrEx>
          <w:tblLook w:val="01E0" w:firstRow="1" w:lastRow="1" w:firstColumn="1" w:lastColumn="1" w:noHBand="0" w:noVBand="0"/>
        </w:tblPrEx>
        <w:trPr>
          <w:jc w:val="center"/>
        </w:trPr>
        <w:tc>
          <w:tcPr>
            <w:tcW w:w="1332" w:type="dxa"/>
            <w:tcBorders>
              <w:top w:val="nil"/>
              <w:left w:val="single" w:sz="4" w:space="0" w:color="auto"/>
              <w:bottom w:val="nil"/>
            </w:tcBorders>
            <w:shd w:val="clear" w:color="auto" w:fill="A6A6A6" w:themeFill="background1" w:themeFillShade="A6"/>
            <w:tcMar>
              <w:left w:w="28" w:type="dxa"/>
              <w:right w:w="28" w:type="dxa"/>
            </w:tcMar>
            <w:vAlign w:val="center"/>
          </w:tcPr>
          <w:p w:rsidR="007418E7" w:rsidRPr="00EC191C" w:rsidRDefault="007418E7" w:rsidP="00F54EA6">
            <w:pPr>
              <w:jc w:val="center"/>
              <w:rPr>
                <w:rFonts w:ascii="Arial Narrow" w:hAnsi="Arial Narrow"/>
                <w:sz w:val="16"/>
                <w:szCs w:val="16"/>
              </w:rPr>
            </w:pPr>
            <w:r w:rsidRPr="00EC191C">
              <w:rPr>
                <w:rFonts w:ascii="Arial Narrow" w:hAnsi="Arial Narrow"/>
                <w:sz w:val="16"/>
                <w:szCs w:val="16"/>
              </w:rPr>
              <w:t>2014</w:t>
            </w:r>
          </w:p>
        </w:tc>
        <w:tc>
          <w:tcPr>
            <w:tcW w:w="1417" w:type="dxa"/>
            <w:tcBorders>
              <w:top w:val="nil"/>
              <w:bottom w:val="nil"/>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710</w:t>
            </w:r>
          </w:p>
        </w:tc>
        <w:tc>
          <w:tcPr>
            <w:tcW w:w="1774" w:type="dxa"/>
            <w:tcBorders>
              <w:top w:val="nil"/>
              <w:bottom w:val="nil"/>
            </w:tcBorders>
            <w:shd w:val="clear" w:color="auto" w:fill="A6A6A6" w:themeFill="background1" w:themeFillShade="A6"/>
            <w:tcMar>
              <w:left w:w="28" w:type="dxa"/>
              <w:right w:w="28" w:type="dxa"/>
            </w:tcMar>
            <w:vAlign w:val="bottom"/>
          </w:tcPr>
          <w:p w:rsidR="007418E7" w:rsidRPr="00EC191C" w:rsidRDefault="007418E7" w:rsidP="00F54EA6">
            <w:pPr>
              <w:ind w:right="625"/>
              <w:jc w:val="right"/>
              <w:rPr>
                <w:rFonts w:ascii="Arial Narrow" w:hAnsi="Arial Narrow"/>
                <w:color w:val="000000"/>
                <w:sz w:val="16"/>
                <w:szCs w:val="16"/>
              </w:rPr>
            </w:pPr>
            <w:r w:rsidRPr="00EC191C">
              <w:rPr>
                <w:rFonts w:ascii="Arial Narrow" w:hAnsi="Arial Narrow"/>
                <w:color w:val="000000"/>
                <w:sz w:val="16"/>
                <w:szCs w:val="16"/>
              </w:rPr>
              <w:t>5.882</w:t>
            </w:r>
          </w:p>
        </w:tc>
        <w:tc>
          <w:tcPr>
            <w:tcW w:w="1488" w:type="dxa"/>
            <w:tcBorders>
              <w:top w:val="nil"/>
              <w:bottom w:val="nil"/>
              <w:right w:val="single" w:sz="4" w:space="0" w:color="auto"/>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6.592</w:t>
            </w:r>
          </w:p>
        </w:tc>
      </w:tr>
      <w:tr w:rsidR="007418E7" w:rsidRPr="00EC191C" w:rsidTr="009D635E">
        <w:tblPrEx>
          <w:tblLook w:val="01E0" w:firstRow="1" w:lastRow="1" w:firstColumn="1" w:lastColumn="1" w:noHBand="0" w:noVBand="0"/>
        </w:tblPrEx>
        <w:trPr>
          <w:jc w:val="center"/>
        </w:trPr>
        <w:tc>
          <w:tcPr>
            <w:tcW w:w="1332" w:type="dxa"/>
            <w:tcBorders>
              <w:top w:val="nil"/>
              <w:left w:val="single" w:sz="4" w:space="0" w:color="auto"/>
            </w:tcBorders>
            <w:shd w:val="clear" w:color="auto" w:fill="auto"/>
            <w:tcMar>
              <w:left w:w="28" w:type="dxa"/>
              <w:right w:w="28" w:type="dxa"/>
            </w:tcMar>
            <w:vAlign w:val="center"/>
          </w:tcPr>
          <w:p w:rsidR="007418E7" w:rsidRPr="00EC191C" w:rsidRDefault="007418E7" w:rsidP="00F54EA6">
            <w:pPr>
              <w:jc w:val="center"/>
              <w:rPr>
                <w:rFonts w:ascii="Arial Narrow" w:hAnsi="Arial Narrow"/>
                <w:sz w:val="16"/>
                <w:szCs w:val="16"/>
              </w:rPr>
            </w:pPr>
            <w:r w:rsidRPr="00EC191C">
              <w:rPr>
                <w:rFonts w:ascii="Arial Narrow" w:hAnsi="Arial Narrow"/>
                <w:sz w:val="16"/>
                <w:szCs w:val="16"/>
              </w:rPr>
              <w:t>2015</w:t>
            </w:r>
          </w:p>
        </w:tc>
        <w:tc>
          <w:tcPr>
            <w:tcW w:w="1417" w:type="dxa"/>
            <w:tcBorders>
              <w:top w:val="nil"/>
            </w:tcBorders>
            <w:shd w:val="clear" w:color="auto" w:fill="auto"/>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681</w:t>
            </w:r>
          </w:p>
        </w:tc>
        <w:tc>
          <w:tcPr>
            <w:tcW w:w="1774" w:type="dxa"/>
            <w:tcBorders>
              <w:top w:val="nil"/>
            </w:tcBorders>
            <w:shd w:val="clear" w:color="auto" w:fill="auto"/>
            <w:tcMar>
              <w:left w:w="28" w:type="dxa"/>
              <w:right w:w="28" w:type="dxa"/>
            </w:tcMar>
            <w:vAlign w:val="bottom"/>
          </w:tcPr>
          <w:p w:rsidR="007418E7" w:rsidRPr="00EC191C" w:rsidRDefault="007418E7" w:rsidP="00F54EA6">
            <w:pPr>
              <w:ind w:right="625"/>
              <w:jc w:val="right"/>
              <w:rPr>
                <w:rFonts w:ascii="Arial Narrow" w:hAnsi="Arial Narrow"/>
                <w:color w:val="000000"/>
                <w:sz w:val="16"/>
                <w:szCs w:val="16"/>
              </w:rPr>
            </w:pPr>
            <w:r w:rsidRPr="00EC191C">
              <w:rPr>
                <w:rFonts w:ascii="Arial Narrow" w:hAnsi="Arial Narrow"/>
                <w:color w:val="000000"/>
                <w:sz w:val="16"/>
                <w:szCs w:val="16"/>
              </w:rPr>
              <w:t>5.725</w:t>
            </w:r>
          </w:p>
        </w:tc>
        <w:tc>
          <w:tcPr>
            <w:tcW w:w="1488" w:type="dxa"/>
            <w:tcBorders>
              <w:top w:val="nil"/>
              <w:right w:val="single" w:sz="4" w:space="0" w:color="auto"/>
            </w:tcBorders>
            <w:shd w:val="clear" w:color="auto" w:fill="auto"/>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6.406</w:t>
            </w:r>
          </w:p>
        </w:tc>
      </w:tr>
      <w:tr w:rsidR="007418E7" w:rsidRPr="00EC191C" w:rsidTr="009D635E">
        <w:tblPrEx>
          <w:tblLook w:val="01E0" w:firstRow="1" w:lastRow="1" w:firstColumn="1" w:lastColumn="1" w:noHBand="0" w:noVBand="0"/>
        </w:tblPrEx>
        <w:trPr>
          <w:jc w:val="center"/>
        </w:trPr>
        <w:tc>
          <w:tcPr>
            <w:tcW w:w="1332" w:type="dxa"/>
            <w:tcBorders>
              <w:top w:val="nil"/>
              <w:left w:val="single" w:sz="4" w:space="0" w:color="auto"/>
            </w:tcBorders>
            <w:shd w:val="clear" w:color="auto" w:fill="A6A6A6" w:themeFill="background1" w:themeFillShade="A6"/>
            <w:tcMar>
              <w:left w:w="28" w:type="dxa"/>
              <w:right w:w="28" w:type="dxa"/>
            </w:tcMar>
            <w:vAlign w:val="center"/>
          </w:tcPr>
          <w:p w:rsidR="007418E7" w:rsidRPr="00EC191C" w:rsidRDefault="007418E7" w:rsidP="00F54EA6">
            <w:pPr>
              <w:jc w:val="center"/>
              <w:rPr>
                <w:rFonts w:ascii="Arial Narrow" w:hAnsi="Arial Narrow"/>
                <w:sz w:val="16"/>
                <w:szCs w:val="16"/>
              </w:rPr>
            </w:pPr>
            <w:r w:rsidRPr="00EC191C">
              <w:rPr>
                <w:rFonts w:ascii="Arial Narrow" w:hAnsi="Arial Narrow"/>
                <w:sz w:val="16"/>
                <w:szCs w:val="16"/>
              </w:rPr>
              <w:t>2016</w:t>
            </w:r>
          </w:p>
        </w:tc>
        <w:tc>
          <w:tcPr>
            <w:tcW w:w="1417" w:type="dxa"/>
            <w:tcBorders>
              <w:top w:val="nil"/>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833</w:t>
            </w:r>
          </w:p>
        </w:tc>
        <w:tc>
          <w:tcPr>
            <w:tcW w:w="1774" w:type="dxa"/>
            <w:tcBorders>
              <w:top w:val="nil"/>
            </w:tcBorders>
            <w:shd w:val="clear" w:color="auto" w:fill="A6A6A6" w:themeFill="background1" w:themeFillShade="A6"/>
            <w:tcMar>
              <w:left w:w="28" w:type="dxa"/>
              <w:right w:w="28" w:type="dxa"/>
            </w:tcMar>
            <w:vAlign w:val="bottom"/>
          </w:tcPr>
          <w:p w:rsidR="007418E7" w:rsidRPr="00EC191C" w:rsidRDefault="007418E7" w:rsidP="00F54EA6">
            <w:pPr>
              <w:ind w:right="625"/>
              <w:jc w:val="right"/>
              <w:rPr>
                <w:rFonts w:ascii="Arial Narrow" w:hAnsi="Arial Narrow"/>
                <w:color w:val="000000"/>
                <w:sz w:val="16"/>
                <w:szCs w:val="16"/>
              </w:rPr>
            </w:pPr>
            <w:r w:rsidRPr="00EC191C">
              <w:rPr>
                <w:rFonts w:ascii="Arial Narrow" w:hAnsi="Arial Narrow"/>
                <w:color w:val="000000"/>
                <w:sz w:val="16"/>
                <w:szCs w:val="16"/>
              </w:rPr>
              <w:t>5.454</w:t>
            </w:r>
          </w:p>
        </w:tc>
        <w:tc>
          <w:tcPr>
            <w:tcW w:w="1488" w:type="dxa"/>
            <w:tcBorders>
              <w:top w:val="nil"/>
              <w:right w:val="single" w:sz="4" w:space="0" w:color="auto"/>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6.288</w:t>
            </w:r>
          </w:p>
        </w:tc>
      </w:tr>
      <w:tr w:rsidR="007418E7" w:rsidRPr="00EC191C" w:rsidTr="007418E7">
        <w:tblPrEx>
          <w:tblLook w:val="01E0" w:firstRow="1" w:lastRow="1" w:firstColumn="1" w:lastColumn="1" w:noHBand="0" w:noVBand="0"/>
        </w:tblPrEx>
        <w:trPr>
          <w:jc w:val="center"/>
        </w:trPr>
        <w:tc>
          <w:tcPr>
            <w:tcW w:w="1332" w:type="dxa"/>
            <w:tcBorders>
              <w:top w:val="nil"/>
              <w:left w:val="single" w:sz="4" w:space="0" w:color="auto"/>
            </w:tcBorders>
            <w:shd w:val="clear" w:color="auto" w:fill="auto"/>
            <w:tcMar>
              <w:left w:w="28" w:type="dxa"/>
              <w:right w:w="28" w:type="dxa"/>
            </w:tcMar>
            <w:vAlign w:val="center"/>
          </w:tcPr>
          <w:p w:rsidR="007418E7" w:rsidRPr="00EC191C" w:rsidRDefault="007418E7" w:rsidP="00F54EA6">
            <w:pPr>
              <w:jc w:val="center"/>
              <w:rPr>
                <w:rFonts w:ascii="Arial Narrow" w:hAnsi="Arial Narrow"/>
                <w:sz w:val="16"/>
                <w:szCs w:val="16"/>
              </w:rPr>
            </w:pPr>
            <w:r w:rsidRPr="00EC191C">
              <w:rPr>
                <w:rFonts w:ascii="Arial Narrow" w:hAnsi="Arial Narrow"/>
                <w:sz w:val="16"/>
                <w:szCs w:val="16"/>
              </w:rPr>
              <w:t>2017</w:t>
            </w:r>
          </w:p>
        </w:tc>
        <w:tc>
          <w:tcPr>
            <w:tcW w:w="1417" w:type="dxa"/>
            <w:tcBorders>
              <w:top w:val="nil"/>
            </w:tcBorders>
            <w:shd w:val="clear" w:color="auto" w:fill="auto"/>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1.000</w:t>
            </w:r>
          </w:p>
        </w:tc>
        <w:tc>
          <w:tcPr>
            <w:tcW w:w="1774" w:type="dxa"/>
            <w:tcBorders>
              <w:top w:val="nil"/>
            </w:tcBorders>
            <w:shd w:val="clear" w:color="auto" w:fill="auto"/>
            <w:tcMar>
              <w:left w:w="28" w:type="dxa"/>
              <w:right w:w="28" w:type="dxa"/>
            </w:tcMar>
            <w:vAlign w:val="bottom"/>
          </w:tcPr>
          <w:p w:rsidR="007418E7" w:rsidRPr="00EC191C" w:rsidRDefault="007418E7" w:rsidP="00F54EA6">
            <w:pPr>
              <w:ind w:right="625"/>
              <w:jc w:val="right"/>
              <w:rPr>
                <w:rFonts w:ascii="Arial Narrow" w:hAnsi="Arial Narrow"/>
                <w:color w:val="000000"/>
                <w:sz w:val="16"/>
                <w:szCs w:val="16"/>
              </w:rPr>
            </w:pPr>
            <w:r w:rsidRPr="00EC191C">
              <w:rPr>
                <w:rFonts w:ascii="Arial Narrow" w:hAnsi="Arial Narrow"/>
                <w:color w:val="000000"/>
                <w:sz w:val="16"/>
                <w:szCs w:val="16"/>
              </w:rPr>
              <w:t>5.750</w:t>
            </w:r>
          </w:p>
        </w:tc>
        <w:tc>
          <w:tcPr>
            <w:tcW w:w="1488" w:type="dxa"/>
            <w:tcBorders>
              <w:top w:val="nil"/>
              <w:right w:val="single" w:sz="4" w:space="0" w:color="auto"/>
            </w:tcBorders>
            <w:shd w:val="clear" w:color="auto" w:fill="auto"/>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6.750</w:t>
            </w:r>
          </w:p>
        </w:tc>
      </w:tr>
      <w:tr w:rsidR="007418E7" w:rsidRPr="00EC191C" w:rsidTr="007418E7">
        <w:tblPrEx>
          <w:tblLook w:val="01E0" w:firstRow="1" w:lastRow="1" w:firstColumn="1" w:lastColumn="1" w:noHBand="0" w:noVBand="0"/>
        </w:tblPrEx>
        <w:trPr>
          <w:jc w:val="center"/>
        </w:trPr>
        <w:tc>
          <w:tcPr>
            <w:tcW w:w="1332" w:type="dxa"/>
            <w:tcBorders>
              <w:top w:val="nil"/>
              <w:left w:val="single" w:sz="4" w:space="0" w:color="auto"/>
              <w:bottom w:val="single" w:sz="4" w:space="0" w:color="auto"/>
            </w:tcBorders>
            <w:shd w:val="clear" w:color="auto" w:fill="A6A6A6" w:themeFill="background1" w:themeFillShade="A6"/>
            <w:tcMar>
              <w:left w:w="28" w:type="dxa"/>
              <w:right w:w="28" w:type="dxa"/>
            </w:tcMar>
            <w:vAlign w:val="center"/>
          </w:tcPr>
          <w:p w:rsidR="007418E7" w:rsidRPr="00EC191C" w:rsidRDefault="007418E7" w:rsidP="00F54EA6">
            <w:pPr>
              <w:jc w:val="center"/>
              <w:rPr>
                <w:rFonts w:ascii="Arial Narrow" w:hAnsi="Arial Narrow"/>
                <w:sz w:val="16"/>
                <w:szCs w:val="16"/>
              </w:rPr>
            </w:pPr>
            <w:r w:rsidRPr="00EC191C">
              <w:rPr>
                <w:rFonts w:ascii="Arial Narrow" w:hAnsi="Arial Narrow"/>
                <w:sz w:val="16"/>
                <w:szCs w:val="16"/>
              </w:rPr>
              <w:t>2018</w:t>
            </w:r>
          </w:p>
        </w:tc>
        <w:tc>
          <w:tcPr>
            <w:tcW w:w="1417" w:type="dxa"/>
            <w:tcBorders>
              <w:top w:val="nil"/>
              <w:bottom w:val="single" w:sz="4" w:space="0" w:color="auto"/>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1.000</w:t>
            </w:r>
          </w:p>
        </w:tc>
        <w:tc>
          <w:tcPr>
            <w:tcW w:w="1774" w:type="dxa"/>
            <w:tcBorders>
              <w:top w:val="nil"/>
              <w:bottom w:val="single" w:sz="4" w:space="0" w:color="auto"/>
            </w:tcBorders>
            <w:shd w:val="clear" w:color="auto" w:fill="A6A6A6" w:themeFill="background1" w:themeFillShade="A6"/>
            <w:tcMar>
              <w:left w:w="28" w:type="dxa"/>
              <w:right w:w="28" w:type="dxa"/>
            </w:tcMar>
            <w:vAlign w:val="bottom"/>
          </w:tcPr>
          <w:p w:rsidR="007418E7" w:rsidRPr="00EC191C" w:rsidRDefault="007418E7" w:rsidP="00F54EA6">
            <w:pPr>
              <w:ind w:right="625"/>
              <w:jc w:val="right"/>
              <w:rPr>
                <w:rFonts w:ascii="Arial Narrow" w:hAnsi="Arial Narrow"/>
                <w:color w:val="000000"/>
                <w:sz w:val="16"/>
                <w:szCs w:val="16"/>
              </w:rPr>
            </w:pPr>
            <w:r w:rsidRPr="00EC191C">
              <w:rPr>
                <w:rFonts w:ascii="Arial Narrow" w:hAnsi="Arial Narrow"/>
                <w:color w:val="000000"/>
                <w:sz w:val="16"/>
                <w:szCs w:val="16"/>
              </w:rPr>
              <w:t>5.750</w:t>
            </w:r>
          </w:p>
        </w:tc>
        <w:tc>
          <w:tcPr>
            <w:tcW w:w="1488" w:type="dxa"/>
            <w:tcBorders>
              <w:top w:val="nil"/>
              <w:bottom w:val="single" w:sz="4" w:space="0" w:color="auto"/>
              <w:right w:val="single" w:sz="4" w:space="0" w:color="auto"/>
            </w:tcBorders>
            <w:shd w:val="clear" w:color="auto" w:fill="A6A6A6" w:themeFill="background1" w:themeFillShade="A6"/>
            <w:tcMar>
              <w:left w:w="28" w:type="dxa"/>
              <w:right w:w="28" w:type="dxa"/>
            </w:tcMar>
            <w:vAlign w:val="bottom"/>
          </w:tcPr>
          <w:p w:rsidR="007418E7" w:rsidRPr="00EC191C" w:rsidRDefault="007418E7" w:rsidP="00F54EA6">
            <w:pPr>
              <w:ind w:right="541"/>
              <w:jc w:val="right"/>
              <w:rPr>
                <w:rFonts w:ascii="Arial Narrow" w:hAnsi="Arial Narrow"/>
                <w:color w:val="000000"/>
                <w:sz w:val="16"/>
                <w:szCs w:val="16"/>
              </w:rPr>
            </w:pPr>
            <w:r w:rsidRPr="00EC191C">
              <w:rPr>
                <w:rFonts w:ascii="Arial Narrow" w:hAnsi="Arial Narrow"/>
                <w:color w:val="000000"/>
                <w:sz w:val="16"/>
                <w:szCs w:val="16"/>
              </w:rPr>
              <w:t>6.750</w:t>
            </w:r>
          </w:p>
        </w:tc>
      </w:tr>
    </w:tbl>
    <w:p w:rsidR="00F80718" w:rsidRPr="00EC191C" w:rsidRDefault="005E50B2" w:rsidP="005E50B2">
      <w:pPr>
        <w:spacing w:before="100" w:beforeAutospacing="1" w:after="100" w:afterAutospacing="1"/>
        <w:ind w:firstLine="1560"/>
        <w:contextualSpacing/>
        <w:jc w:val="both"/>
        <w:rPr>
          <w:rFonts w:ascii="Arial Narrow" w:hAnsi="Arial Narrow"/>
          <w:sz w:val="16"/>
          <w:szCs w:val="16"/>
        </w:rPr>
      </w:pPr>
      <w:r>
        <w:rPr>
          <w:rFonts w:ascii="Arial Narrow" w:hAnsi="Arial Narrow"/>
          <w:sz w:val="16"/>
          <w:szCs w:val="16"/>
        </w:rPr>
        <w:t>Πηγή:</w:t>
      </w:r>
      <w:r w:rsidR="008967F1">
        <w:rPr>
          <w:rFonts w:ascii="Arial Narrow" w:hAnsi="Arial Narrow"/>
          <w:sz w:val="16"/>
          <w:szCs w:val="16"/>
        </w:rPr>
        <w:t xml:space="preserve"> </w:t>
      </w:r>
      <w:r>
        <w:rPr>
          <w:rFonts w:ascii="Arial Narrow" w:hAnsi="Arial Narrow"/>
          <w:sz w:val="16"/>
          <w:szCs w:val="16"/>
        </w:rPr>
        <w:t>Διεύθυνση Δημοσίων Επενδύσεων Υπουργείου Οικονομίας και Ανάπτυξης.</w:t>
      </w:r>
    </w:p>
    <w:p w:rsidR="00EC191C" w:rsidRDefault="00EC191C" w:rsidP="00F54EA6">
      <w:pPr>
        <w:jc w:val="both"/>
        <w:rPr>
          <w:rFonts w:ascii="Arial Narrow" w:hAnsi="Arial Narrow"/>
          <w:b/>
          <w:color w:val="000080"/>
          <w:sz w:val="22"/>
          <w:szCs w:val="22"/>
        </w:rPr>
      </w:pPr>
    </w:p>
    <w:p w:rsidR="00B35F1C" w:rsidRDefault="00B35F1C" w:rsidP="00F54EA6">
      <w:pPr>
        <w:jc w:val="both"/>
        <w:rPr>
          <w:rFonts w:ascii="Arial Narrow" w:hAnsi="Arial Narrow"/>
          <w:b/>
          <w:color w:val="000080"/>
          <w:sz w:val="22"/>
          <w:szCs w:val="22"/>
        </w:rPr>
      </w:pPr>
    </w:p>
    <w:p w:rsidR="00EC191C" w:rsidRDefault="00EC191C" w:rsidP="00F54EA6">
      <w:pPr>
        <w:jc w:val="both"/>
        <w:rPr>
          <w:rFonts w:ascii="Arial Narrow" w:hAnsi="Arial Narrow"/>
          <w:b/>
          <w:color w:val="000080"/>
          <w:sz w:val="22"/>
          <w:szCs w:val="22"/>
        </w:rPr>
      </w:pPr>
    </w:p>
    <w:p w:rsidR="00BA4CBC" w:rsidRPr="00F54EA6" w:rsidRDefault="00BA4CBC" w:rsidP="00F54EA6">
      <w:pPr>
        <w:jc w:val="both"/>
        <w:rPr>
          <w:rFonts w:ascii="Arial Narrow" w:hAnsi="Arial Narrow"/>
          <w:b/>
          <w:color w:val="000080"/>
          <w:sz w:val="22"/>
          <w:szCs w:val="22"/>
        </w:rPr>
      </w:pPr>
      <w:r w:rsidRPr="00F54EA6">
        <w:rPr>
          <w:rFonts w:ascii="Arial Narrow" w:hAnsi="Arial Narrow"/>
          <w:b/>
          <w:color w:val="000080"/>
          <w:sz w:val="22"/>
          <w:szCs w:val="22"/>
        </w:rPr>
        <w:t>Συγχρηματοδοτούμενα προγράμματα ΠΔΕ</w:t>
      </w:r>
    </w:p>
    <w:p w:rsidR="00BA4CBC" w:rsidRPr="00F54EA6" w:rsidRDefault="00BA4CBC" w:rsidP="00F54EA6">
      <w:pPr>
        <w:jc w:val="both"/>
        <w:rPr>
          <w:sz w:val="22"/>
          <w:szCs w:val="22"/>
        </w:rPr>
      </w:pPr>
    </w:p>
    <w:p w:rsidR="00DC5D66" w:rsidRPr="00DC5D66" w:rsidRDefault="00DC5D66" w:rsidP="00F54EA6">
      <w:pPr>
        <w:tabs>
          <w:tab w:val="left" w:pos="1276"/>
        </w:tabs>
        <w:jc w:val="both"/>
        <w:rPr>
          <w:sz w:val="22"/>
          <w:szCs w:val="22"/>
          <w:lang w:eastAsia="en-US"/>
        </w:rPr>
      </w:pPr>
      <w:r w:rsidRPr="00DC5D66">
        <w:rPr>
          <w:sz w:val="22"/>
          <w:szCs w:val="22"/>
          <w:lang w:eastAsia="en-US"/>
        </w:rPr>
        <w:t>Κύρια πηγή εσόδων για τη χρηματοδότηση των έργων του ΠΔΕ αποτελούν οι εισροές από την Ευρ</w:t>
      </w:r>
      <w:r w:rsidRPr="00DC5D66">
        <w:rPr>
          <w:sz w:val="22"/>
          <w:szCs w:val="22"/>
          <w:lang w:eastAsia="en-US"/>
        </w:rPr>
        <w:t>ω</w:t>
      </w:r>
      <w:r w:rsidRPr="00DC5D66">
        <w:rPr>
          <w:sz w:val="22"/>
          <w:szCs w:val="22"/>
          <w:lang w:eastAsia="en-US"/>
        </w:rPr>
        <w:t>παϊκή Ένωση μέσω των Ευρωπαϊκών Διαρθρωτικών και Επενδυτικών Ταμείων.</w:t>
      </w:r>
    </w:p>
    <w:p w:rsidR="00DC5D66" w:rsidRPr="00DC5D66" w:rsidRDefault="00DC5D66" w:rsidP="00F54EA6">
      <w:pPr>
        <w:tabs>
          <w:tab w:val="left" w:pos="1276"/>
        </w:tabs>
        <w:jc w:val="both"/>
        <w:rPr>
          <w:sz w:val="22"/>
          <w:szCs w:val="22"/>
          <w:lang w:eastAsia="en-US"/>
        </w:rPr>
      </w:pPr>
    </w:p>
    <w:p w:rsidR="00DC5D66" w:rsidRPr="00DC5D66" w:rsidRDefault="00DC5D66" w:rsidP="00F54EA6">
      <w:pPr>
        <w:tabs>
          <w:tab w:val="left" w:pos="1276"/>
        </w:tabs>
        <w:jc w:val="both"/>
        <w:rPr>
          <w:sz w:val="22"/>
          <w:szCs w:val="22"/>
          <w:lang w:eastAsia="en-US"/>
        </w:rPr>
      </w:pPr>
      <w:r w:rsidRPr="00DC5D66">
        <w:rPr>
          <w:sz w:val="22"/>
          <w:szCs w:val="22"/>
          <w:lang w:eastAsia="en-US"/>
        </w:rPr>
        <w:lastRenderedPageBreak/>
        <w:t>Βασικός στόχος και στο 2018 παραμένει η ταχεία και πλήρης ενεργ</w:t>
      </w:r>
      <w:r w:rsidR="00C136B2">
        <w:rPr>
          <w:sz w:val="22"/>
          <w:szCs w:val="22"/>
          <w:lang w:eastAsia="en-US"/>
        </w:rPr>
        <w:t>οποίηση των πόρων του ΕΣΠΑ 2014-</w:t>
      </w:r>
      <w:r w:rsidRPr="00DC5D66">
        <w:rPr>
          <w:sz w:val="22"/>
          <w:szCs w:val="22"/>
          <w:lang w:eastAsia="en-US"/>
        </w:rPr>
        <w:t>2020, αλλά και η ολοκλήρωση όλων των ημιτελών έργων της προηγούμεν</w:t>
      </w:r>
      <w:r w:rsidR="00C136B2">
        <w:rPr>
          <w:sz w:val="22"/>
          <w:szCs w:val="22"/>
          <w:lang w:eastAsia="en-US"/>
        </w:rPr>
        <w:t>ης προγραμματικής περιόδου 2007-</w:t>
      </w:r>
      <w:r w:rsidRPr="00DC5D66">
        <w:rPr>
          <w:sz w:val="22"/>
          <w:szCs w:val="22"/>
          <w:lang w:eastAsia="en-US"/>
        </w:rPr>
        <w:t>2013, προκειμένου να αποφευχθεί η απώλεια ή/και η επιστροφή πόρων.</w:t>
      </w:r>
    </w:p>
    <w:p w:rsidR="00DC5D66" w:rsidRPr="00F54EA6" w:rsidRDefault="00DC5D66" w:rsidP="00F54EA6">
      <w:pPr>
        <w:jc w:val="both"/>
        <w:rPr>
          <w:rFonts w:ascii="Arial Narrow" w:hAnsi="Arial Narrow"/>
          <w:b/>
          <w:color w:val="000080"/>
          <w:sz w:val="22"/>
          <w:szCs w:val="22"/>
        </w:rPr>
      </w:pPr>
    </w:p>
    <w:p w:rsidR="009441D7" w:rsidRPr="009441D7" w:rsidRDefault="009441D7" w:rsidP="00F54EA6">
      <w:pPr>
        <w:jc w:val="both"/>
        <w:rPr>
          <w:rFonts w:ascii="Arial Narrow" w:hAnsi="Arial Narrow"/>
          <w:b/>
          <w:sz w:val="22"/>
          <w:szCs w:val="22"/>
          <w:lang w:eastAsia="en-US"/>
        </w:rPr>
      </w:pPr>
      <w:r w:rsidRPr="009441D7">
        <w:rPr>
          <w:rFonts w:ascii="Arial Narrow" w:hAnsi="Arial Narrow"/>
          <w:b/>
          <w:sz w:val="22"/>
          <w:szCs w:val="22"/>
        </w:rPr>
        <w:t>Ολοκλήρωση έργων ΕΣΠΑ 2007</w:t>
      </w:r>
      <w:r w:rsidRPr="009441D7">
        <w:rPr>
          <w:rFonts w:ascii="Arial Narrow" w:hAnsi="Arial Narrow"/>
          <w:b/>
          <w:sz w:val="22"/>
          <w:szCs w:val="22"/>
          <w:lang w:eastAsia="en-US"/>
        </w:rPr>
        <w:t xml:space="preserve">-2013 </w:t>
      </w:r>
    </w:p>
    <w:p w:rsidR="009441D7" w:rsidRPr="009441D7" w:rsidRDefault="009441D7" w:rsidP="00F54EA6">
      <w:pPr>
        <w:jc w:val="both"/>
        <w:rPr>
          <w:rFonts w:ascii="Arial Narrow" w:hAnsi="Arial Narrow"/>
          <w:sz w:val="22"/>
          <w:szCs w:val="22"/>
          <w:lang w:eastAsia="en-US"/>
        </w:rPr>
      </w:pPr>
    </w:p>
    <w:p w:rsidR="009441D7" w:rsidRPr="009441D7" w:rsidRDefault="009441D7" w:rsidP="00F54EA6">
      <w:pPr>
        <w:contextualSpacing/>
        <w:jc w:val="both"/>
        <w:rPr>
          <w:sz w:val="22"/>
          <w:szCs w:val="22"/>
          <w:lang w:eastAsia="en-US"/>
        </w:rPr>
      </w:pPr>
      <w:r w:rsidRPr="009441D7">
        <w:rPr>
          <w:sz w:val="22"/>
          <w:szCs w:val="22"/>
          <w:lang w:eastAsia="en-US"/>
        </w:rPr>
        <w:t>Στις 31</w:t>
      </w:r>
      <w:r w:rsidR="00C136B2">
        <w:rPr>
          <w:sz w:val="22"/>
          <w:szCs w:val="22"/>
          <w:lang w:eastAsia="en-US"/>
        </w:rPr>
        <w:t>/3/2017 υποβλήθηκαν στην ΕΕ οι εκθέσεις κ</w:t>
      </w:r>
      <w:r w:rsidRPr="009441D7">
        <w:rPr>
          <w:sz w:val="22"/>
          <w:szCs w:val="22"/>
          <w:lang w:eastAsia="en-US"/>
        </w:rPr>
        <w:t>λεισίματος όλων των Επιχειρησιακών Προγρα</w:t>
      </w:r>
      <w:r w:rsidRPr="009441D7">
        <w:rPr>
          <w:sz w:val="22"/>
          <w:szCs w:val="22"/>
          <w:lang w:eastAsia="en-US"/>
        </w:rPr>
        <w:t>μ</w:t>
      </w:r>
      <w:r w:rsidR="00F54EA6" w:rsidRPr="00F54EA6">
        <w:rPr>
          <w:sz w:val="22"/>
          <w:szCs w:val="22"/>
          <w:lang w:eastAsia="en-US"/>
        </w:rPr>
        <w:t>μάτων (ΕΠ) του ΕΣΠΑ 2007-</w:t>
      </w:r>
      <w:r w:rsidRPr="009441D7">
        <w:rPr>
          <w:sz w:val="22"/>
          <w:szCs w:val="22"/>
          <w:lang w:eastAsia="en-US"/>
        </w:rPr>
        <w:t>2013 (Ταμεία ΕΤΠΑ, ΕΚΤ και Ταμείο Συνοχής), με βάση την κανον</w:t>
      </w:r>
      <w:r w:rsidRPr="009441D7">
        <w:rPr>
          <w:sz w:val="22"/>
          <w:szCs w:val="22"/>
          <w:lang w:eastAsia="en-US"/>
        </w:rPr>
        <w:t>ι</w:t>
      </w:r>
      <w:r w:rsidRPr="009441D7">
        <w:rPr>
          <w:sz w:val="22"/>
          <w:szCs w:val="22"/>
          <w:lang w:eastAsia="en-US"/>
        </w:rPr>
        <w:t>στική υποχρέωση. Οι δηλωθείσες κατά το κλείσιμο δαπάνες ανήλθαν</w:t>
      </w:r>
      <w:r w:rsidR="00C136B2">
        <w:rPr>
          <w:sz w:val="22"/>
          <w:szCs w:val="22"/>
          <w:lang w:eastAsia="en-US"/>
        </w:rPr>
        <w:t xml:space="preserve"> </w:t>
      </w:r>
      <w:r w:rsidRPr="009441D7">
        <w:rPr>
          <w:sz w:val="22"/>
          <w:szCs w:val="22"/>
          <w:lang w:eastAsia="en-US"/>
        </w:rPr>
        <w:t>σε 21.600 εκατ. ευρώ, ήτοι σε ποσοστό 105,4% έναντι της δέσμευσης κοινοτικής συμμετοχής. Το ποσοστό αυτό αφήνει ένα ικαν</w:t>
      </w:r>
      <w:r w:rsidRPr="009441D7">
        <w:rPr>
          <w:sz w:val="22"/>
          <w:szCs w:val="22"/>
          <w:lang w:eastAsia="en-US"/>
        </w:rPr>
        <w:t>ο</w:t>
      </w:r>
      <w:r w:rsidRPr="009441D7">
        <w:rPr>
          <w:sz w:val="22"/>
          <w:szCs w:val="22"/>
          <w:lang w:eastAsia="en-US"/>
        </w:rPr>
        <w:t>ποιητικό περιθώριο ασφαλείας για τη μη απώλεια πόρων κοινοτικής συμμετοχής, σε περίπτωση που κάποιες από τις δηλωθείσες δαπάνες εξαιρεθούν.</w:t>
      </w:r>
    </w:p>
    <w:p w:rsidR="009441D7" w:rsidRPr="009441D7" w:rsidRDefault="009441D7" w:rsidP="00F54EA6">
      <w:pPr>
        <w:contextualSpacing/>
        <w:jc w:val="both"/>
        <w:rPr>
          <w:sz w:val="22"/>
          <w:szCs w:val="22"/>
          <w:lang w:eastAsia="en-US"/>
        </w:rPr>
      </w:pPr>
    </w:p>
    <w:p w:rsidR="009441D7" w:rsidRPr="009441D7" w:rsidRDefault="009441D7" w:rsidP="00F54EA6">
      <w:pPr>
        <w:contextualSpacing/>
        <w:jc w:val="both"/>
        <w:rPr>
          <w:sz w:val="22"/>
          <w:szCs w:val="22"/>
          <w:lang w:eastAsia="en-US"/>
        </w:rPr>
      </w:pPr>
      <w:r w:rsidRPr="009441D7">
        <w:rPr>
          <w:sz w:val="22"/>
          <w:szCs w:val="22"/>
          <w:lang w:eastAsia="en-US"/>
        </w:rPr>
        <w:t>Πέραν αυτών, για τις</w:t>
      </w:r>
      <w:r w:rsidR="00F54EA6" w:rsidRPr="00F54EA6">
        <w:rPr>
          <w:sz w:val="22"/>
          <w:szCs w:val="22"/>
          <w:lang w:eastAsia="en-US"/>
        </w:rPr>
        <w:t xml:space="preserve"> κατηγορίες έργων του ΕΣΠΑ 2007-</w:t>
      </w:r>
      <w:r w:rsidR="002D0121">
        <w:rPr>
          <w:sz w:val="22"/>
          <w:szCs w:val="22"/>
          <w:lang w:eastAsia="en-US"/>
        </w:rPr>
        <w:t>2013</w:t>
      </w:r>
      <w:r w:rsidRPr="009441D7">
        <w:rPr>
          <w:sz w:val="22"/>
          <w:szCs w:val="22"/>
          <w:lang w:eastAsia="en-US"/>
        </w:rPr>
        <w:t xml:space="preserve"> με ειδική αντιμετώπιση σε ό,τι αφορά την ολοκλήρωσή τους, η εξέλιξή τους έχει ως εξής:</w:t>
      </w:r>
    </w:p>
    <w:p w:rsidR="009441D7" w:rsidRPr="009441D7" w:rsidRDefault="009441D7" w:rsidP="00F54EA6">
      <w:pPr>
        <w:contextualSpacing/>
        <w:jc w:val="both"/>
        <w:rPr>
          <w:sz w:val="22"/>
          <w:szCs w:val="22"/>
          <w:lang w:eastAsia="en-US"/>
        </w:rPr>
      </w:pPr>
    </w:p>
    <w:p w:rsidR="009441D7" w:rsidRPr="009441D7" w:rsidRDefault="009441D7" w:rsidP="00F54EA6">
      <w:pPr>
        <w:numPr>
          <w:ilvl w:val="0"/>
          <w:numId w:val="27"/>
        </w:numPr>
        <w:contextualSpacing/>
        <w:jc w:val="both"/>
        <w:rPr>
          <w:b/>
          <w:sz w:val="22"/>
          <w:szCs w:val="22"/>
          <w:lang w:eastAsia="en-US"/>
        </w:rPr>
      </w:pPr>
      <w:r w:rsidRPr="009441D7">
        <w:rPr>
          <w:b/>
          <w:sz w:val="22"/>
          <w:szCs w:val="22"/>
          <w:lang w:eastAsia="en-US"/>
        </w:rPr>
        <w:t>Ημιτελή έργα</w:t>
      </w:r>
    </w:p>
    <w:p w:rsidR="009441D7" w:rsidRPr="009441D7" w:rsidRDefault="009441D7" w:rsidP="00C136B2">
      <w:pPr>
        <w:ind w:left="357"/>
        <w:contextualSpacing/>
        <w:jc w:val="both"/>
        <w:rPr>
          <w:sz w:val="22"/>
          <w:szCs w:val="22"/>
          <w:lang w:eastAsia="en-US"/>
        </w:rPr>
      </w:pPr>
      <w:r w:rsidRPr="009441D7">
        <w:rPr>
          <w:sz w:val="22"/>
          <w:szCs w:val="22"/>
          <w:lang w:eastAsia="en-US"/>
        </w:rPr>
        <w:t>Με την αριθ. C(2015) 2771 Απόφαση της Ε. Επιτροπής, δόθηκε η δυνα</w:t>
      </w:r>
      <w:r w:rsidR="00C136B2">
        <w:rPr>
          <w:sz w:val="22"/>
          <w:szCs w:val="22"/>
          <w:lang w:eastAsia="en-US"/>
        </w:rPr>
        <w:t>τότητα σε πράξεις του ΕΣΠΑ 2007-</w:t>
      </w:r>
      <w:r w:rsidRPr="009441D7">
        <w:rPr>
          <w:sz w:val="22"/>
          <w:szCs w:val="22"/>
          <w:lang w:eastAsia="en-US"/>
        </w:rPr>
        <w:t>2013</w:t>
      </w:r>
      <w:r w:rsidR="00F54EA6" w:rsidRPr="00F54EA6">
        <w:rPr>
          <w:sz w:val="22"/>
          <w:szCs w:val="22"/>
          <w:lang w:eastAsia="en-US"/>
        </w:rPr>
        <w:t xml:space="preserve"> που δεν ολοκληρώθηκαν μέχρι 31/</w:t>
      </w:r>
      <w:r w:rsidRPr="009441D7">
        <w:rPr>
          <w:sz w:val="22"/>
          <w:szCs w:val="22"/>
          <w:lang w:eastAsia="en-US"/>
        </w:rPr>
        <w:t>03</w:t>
      </w:r>
      <w:r w:rsidR="00F54EA6" w:rsidRPr="00F54EA6">
        <w:rPr>
          <w:sz w:val="22"/>
          <w:szCs w:val="22"/>
          <w:lang w:eastAsia="en-US"/>
        </w:rPr>
        <w:t>/</w:t>
      </w:r>
      <w:r w:rsidRPr="009441D7">
        <w:rPr>
          <w:sz w:val="22"/>
          <w:szCs w:val="22"/>
          <w:lang w:eastAsia="en-US"/>
        </w:rPr>
        <w:t>2017 να δηλωθούν ως μη λειτουργούσες πράξεις ή ημιτελή έργα. Οι δικαιούχοι έχουν την υποχρέωση να ολοκληρώσουν τα δηλωθέντα ως ημιτελή έ</w:t>
      </w:r>
      <w:r w:rsidR="00C136B2">
        <w:rPr>
          <w:sz w:val="22"/>
          <w:szCs w:val="22"/>
          <w:lang w:eastAsia="en-US"/>
        </w:rPr>
        <w:t>ργα του ΕΣΠΑ 2007-2013, μέχρι 31/03/</w:t>
      </w:r>
      <w:r w:rsidRPr="009441D7">
        <w:rPr>
          <w:sz w:val="22"/>
          <w:szCs w:val="22"/>
          <w:lang w:eastAsia="en-US"/>
        </w:rPr>
        <w:t>2019. Για τα έργα αυτά έχουν ήδη πραγματοπο</w:t>
      </w:r>
      <w:r w:rsidRPr="009441D7">
        <w:rPr>
          <w:sz w:val="22"/>
          <w:szCs w:val="22"/>
          <w:lang w:eastAsia="en-US"/>
        </w:rPr>
        <w:t>ι</w:t>
      </w:r>
      <w:r w:rsidRPr="009441D7">
        <w:rPr>
          <w:sz w:val="22"/>
          <w:szCs w:val="22"/>
          <w:lang w:eastAsia="en-US"/>
        </w:rPr>
        <w:t>ηθεί δαπάνες ύψους 1.180 εκατ. ευρώ, έναντι συνολικού προϋπολογισμού 1.700 εκατ. ευρώ.</w:t>
      </w:r>
    </w:p>
    <w:p w:rsidR="00E91D90" w:rsidRPr="009441D7" w:rsidRDefault="00E91D90" w:rsidP="00F54EA6">
      <w:pPr>
        <w:contextualSpacing/>
        <w:jc w:val="both"/>
        <w:rPr>
          <w:sz w:val="22"/>
          <w:szCs w:val="22"/>
          <w:lang w:eastAsia="en-US"/>
        </w:rPr>
      </w:pPr>
    </w:p>
    <w:p w:rsidR="009441D7" w:rsidRPr="009441D7" w:rsidRDefault="00C136B2" w:rsidP="00F54EA6">
      <w:pPr>
        <w:numPr>
          <w:ilvl w:val="0"/>
          <w:numId w:val="27"/>
        </w:numPr>
        <w:contextualSpacing/>
        <w:jc w:val="both"/>
        <w:rPr>
          <w:b/>
          <w:sz w:val="22"/>
          <w:szCs w:val="22"/>
          <w:lang w:eastAsia="en-US"/>
        </w:rPr>
      </w:pPr>
      <w:r>
        <w:rPr>
          <w:b/>
          <w:sz w:val="22"/>
          <w:szCs w:val="22"/>
          <w:lang w:eastAsia="en-US"/>
        </w:rPr>
        <w:t>Τμηματοποιημένα έργα</w:t>
      </w:r>
    </w:p>
    <w:p w:rsidR="009441D7" w:rsidRPr="009441D7" w:rsidRDefault="00C136B2" w:rsidP="00F54EA6">
      <w:pPr>
        <w:ind w:left="357"/>
        <w:contextualSpacing/>
        <w:jc w:val="both"/>
        <w:rPr>
          <w:sz w:val="22"/>
          <w:szCs w:val="22"/>
          <w:lang w:eastAsia="en-US"/>
        </w:rPr>
      </w:pPr>
      <w:r>
        <w:rPr>
          <w:sz w:val="22"/>
          <w:szCs w:val="22"/>
          <w:lang w:eastAsia="en-US"/>
        </w:rPr>
        <w:t>Με την προαναφερόμενη α</w:t>
      </w:r>
      <w:r w:rsidR="009441D7" w:rsidRPr="009441D7">
        <w:rPr>
          <w:sz w:val="22"/>
          <w:szCs w:val="22"/>
          <w:lang w:eastAsia="en-US"/>
        </w:rPr>
        <w:t>πόφαση της Ε. Επιτροπής, δόθηκε επίσης η δυνατότητα εκτέλεσης κ</w:t>
      </w:r>
      <w:r w:rsidR="009441D7" w:rsidRPr="009441D7">
        <w:rPr>
          <w:sz w:val="22"/>
          <w:szCs w:val="22"/>
          <w:lang w:eastAsia="en-US"/>
        </w:rPr>
        <w:t>α</w:t>
      </w:r>
      <w:r w:rsidR="009441D7" w:rsidRPr="009441D7">
        <w:rPr>
          <w:sz w:val="22"/>
          <w:szCs w:val="22"/>
          <w:lang w:eastAsia="en-US"/>
        </w:rPr>
        <w:t xml:space="preserve">τά φάσεις έργων, ενταγμένων σε ΕΠ του ΕΣΠΑ 2007-2013, με συνολικό κόστος άνω των 5 εκατ. ευρώ και υπό τις λοιπές προϋποθέσεις που ορίζονται στην </w:t>
      </w:r>
      <w:r>
        <w:rPr>
          <w:sz w:val="22"/>
          <w:szCs w:val="22"/>
          <w:lang w:eastAsia="en-US"/>
        </w:rPr>
        <w:t>α</w:t>
      </w:r>
      <w:r w:rsidR="009441D7" w:rsidRPr="009441D7">
        <w:rPr>
          <w:sz w:val="22"/>
          <w:szCs w:val="22"/>
          <w:lang w:eastAsia="en-US"/>
        </w:rPr>
        <w:t>πόφαση.</w:t>
      </w:r>
    </w:p>
    <w:p w:rsidR="009441D7" w:rsidRPr="009441D7" w:rsidRDefault="009441D7" w:rsidP="00F54EA6">
      <w:pPr>
        <w:contextualSpacing/>
        <w:jc w:val="both"/>
        <w:rPr>
          <w:sz w:val="22"/>
          <w:szCs w:val="22"/>
          <w:lang w:eastAsia="en-US"/>
        </w:rPr>
      </w:pPr>
    </w:p>
    <w:p w:rsidR="009441D7" w:rsidRPr="009441D7" w:rsidRDefault="009441D7" w:rsidP="00F54EA6">
      <w:pPr>
        <w:numPr>
          <w:ilvl w:val="0"/>
          <w:numId w:val="27"/>
        </w:numPr>
        <w:contextualSpacing/>
        <w:jc w:val="both"/>
        <w:rPr>
          <w:b/>
          <w:sz w:val="22"/>
          <w:szCs w:val="22"/>
          <w:lang w:eastAsia="en-US"/>
        </w:rPr>
      </w:pPr>
      <w:r w:rsidRPr="009441D7">
        <w:rPr>
          <w:b/>
          <w:sz w:val="22"/>
          <w:szCs w:val="22"/>
          <w:lang w:eastAsia="en-US"/>
        </w:rPr>
        <w:t>Μεγάλα Έργα ΕΣΠΑ 2007- 2013</w:t>
      </w:r>
    </w:p>
    <w:p w:rsidR="009441D7" w:rsidRPr="009441D7" w:rsidRDefault="00C136B2" w:rsidP="00F54EA6">
      <w:pPr>
        <w:ind w:left="357"/>
        <w:contextualSpacing/>
        <w:jc w:val="both"/>
        <w:rPr>
          <w:sz w:val="22"/>
          <w:szCs w:val="22"/>
          <w:lang w:eastAsia="en-US"/>
        </w:rPr>
      </w:pPr>
      <w:r>
        <w:rPr>
          <w:sz w:val="22"/>
          <w:szCs w:val="22"/>
          <w:lang w:eastAsia="en-US"/>
        </w:rPr>
        <w:t>Γ</w:t>
      </w:r>
      <w:r w:rsidRPr="009441D7">
        <w:rPr>
          <w:sz w:val="22"/>
          <w:szCs w:val="22"/>
          <w:lang w:eastAsia="en-US"/>
        </w:rPr>
        <w:t>ια τα μεγάλα έργα της ΠΠ 2007-2013</w:t>
      </w:r>
      <w:r>
        <w:rPr>
          <w:sz w:val="22"/>
          <w:szCs w:val="22"/>
          <w:lang w:eastAsia="en-US"/>
        </w:rPr>
        <w:t xml:space="preserve"> δ</w:t>
      </w:r>
      <w:r w:rsidR="009441D7" w:rsidRPr="009441D7">
        <w:rPr>
          <w:sz w:val="22"/>
          <w:szCs w:val="22"/>
          <w:lang w:eastAsia="en-US"/>
        </w:rPr>
        <w:t xml:space="preserve">εν υπάρχει καμιά </w:t>
      </w:r>
      <w:r>
        <w:rPr>
          <w:sz w:val="22"/>
          <w:szCs w:val="22"/>
          <w:lang w:eastAsia="en-US"/>
        </w:rPr>
        <w:t>εκκρεμότητα</w:t>
      </w:r>
      <w:r w:rsidR="009441D7" w:rsidRPr="009441D7">
        <w:rPr>
          <w:sz w:val="22"/>
          <w:szCs w:val="22"/>
          <w:lang w:eastAsia="en-US"/>
        </w:rPr>
        <w:t>.</w:t>
      </w:r>
    </w:p>
    <w:p w:rsidR="009441D7" w:rsidRPr="009441D7" w:rsidRDefault="009441D7" w:rsidP="00F54EA6">
      <w:pPr>
        <w:contextualSpacing/>
        <w:jc w:val="both"/>
        <w:rPr>
          <w:sz w:val="22"/>
          <w:szCs w:val="22"/>
          <w:lang w:eastAsia="en-US"/>
        </w:rPr>
      </w:pPr>
    </w:p>
    <w:p w:rsidR="009441D7" w:rsidRPr="009441D7" w:rsidRDefault="009441D7" w:rsidP="00F54EA6">
      <w:pPr>
        <w:contextualSpacing/>
        <w:jc w:val="both"/>
        <w:rPr>
          <w:rFonts w:ascii="Arial Narrow" w:hAnsi="Arial Narrow"/>
          <w:b/>
          <w:sz w:val="22"/>
          <w:szCs w:val="22"/>
          <w:lang w:eastAsia="en-US"/>
        </w:rPr>
      </w:pPr>
      <w:r w:rsidRPr="009441D7">
        <w:rPr>
          <w:rFonts w:ascii="Arial Narrow" w:hAnsi="Arial Narrow"/>
          <w:b/>
          <w:sz w:val="22"/>
          <w:szCs w:val="22"/>
        </w:rPr>
        <w:t>Επιτάχυνση έργων ΕΣΠΑ 2014</w:t>
      </w:r>
      <w:r w:rsidRPr="009441D7">
        <w:rPr>
          <w:rFonts w:ascii="Arial Narrow" w:hAnsi="Arial Narrow"/>
          <w:b/>
          <w:sz w:val="22"/>
          <w:szCs w:val="22"/>
          <w:lang w:eastAsia="en-US"/>
        </w:rPr>
        <w:t>-2020</w:t>
      </w:r>
    </w:p>
    <w:p w:rsidR="009441D7" w:rsidRPr="009441D7" w:rsidRDefault="009441D7" w:rsidP="00F54EA6">
      <w:pPr>
        <w:contextualSpacing/>
        <w:jc w:val="both"/>
        <w:rPr>
          <w:rFonts w:ascii="Arial Narrow" w:hAnsi="Arial Narrow"/>
          <w:b/>
          <w:sz w:val="22"/>
          <w:szCs w:val="22"/>
          <w:lang w:eastAsia="en-US"/>
        </w:rPr>
      </w:pPr>
    </w:p>
    <w:p w:rsidR="009441D7" w:rsidRPr="009441D7" w:rsidRDefault="009441D7" w:rsidP="00F54EA6">
      <w:pPr>
        <w:contextualSpacing/>
        <w:jc w:val="both"/>
        <w:rPr>
          <w:rFonts w:ascii="Arial Narrow" w:hAnsi="Arial Narrow"/>
          <w:b/>
          <w:i/>
          <w:sz w:val="22"/>
          <w:szCs w:val="22"/>
          <w:lang w:eastAsia="en-US"/>
        </w:rPr>
      </w:pPr>
      <w:r w:rsidRPr="009441D7">
        <w:rPr>
          <w:rFonts w:ascii="Arial Narrow" w:hAnsi="Arial Narrow"/>
          <w:b/>
          <w:i/>
          <w:sz w:val="22"/>
          <w:szCs w:val="22"/>
          <w:lang w:eastAsia="en-US"/>
        </w:rPr>
        <w:t>Η αναπτυξιακή στρατηγική και η ενεργοποίηση των Προγραμμάτων</w:t>
      </w:r>
    </w:p>
    <w:p w:rsidR="009441D7" w:rsidRPr="009441D7" w:rsidRDefault="009441D7" w:rsidP="00F54EA6">
      <w:pPr>
        <w:contextualSpacing/>
        <w:jc w:val="both"/>
        <w:rPr>
          <w:rFonts w:ascii="Arial Narrow" w:hAnsi="Arial Narrow"/>
          <w:b/>
          <w:sz w:val="22"/>
          <w:szCs w:val="22"/>
          <w:lang w:eastAsia="en-US"/>
        </w:rPr>
      </w:pPr>
    </w:p>
    <w:p w:rsidR="009441D7" w:rsidRPr="009441D7" w:rsidRDefault="009441D7" w:rsidP="00F54EA6">
      <w:pPr>
        <w:contextualSpacing/>
        <w:jc w:val="both"/>
        <w:rPr>
          <w:sz w:val="22"/>
          <w:szCs w:val="22"/>
          <w:lang w:eastAsia="en-US"/>
        </w:rPr>
      </w:pPr>
      <w:r w:rsidRPr="009441D7">
        <w:rPr>
          <w:sz w:val="22"/>
          <w:szCs w:val="22"/>
          <w:lang w:eastAsia="en-US"/>
        </w:rPr>
        <w:t xml:space="preserve">Το Εταιρικό Σύμφωνο για το Πλαίσιο Ανάπτυξης (ΕΣΠΑ) 2014-2020 που εγκρίθηκε το 2014, έχει </w:t>
      </w:r>
      <w:r w:rsidR="008E5E3F">
        <w:rPr>
          <w:sz w:val="22"/>
          <w:szCs w:val="22"/>
          <w:lang w:eastAsia="en-US"/>
        </w:rPr>
        <w:t>συνολικό προϋπολογισμό ύψους 19.</w:t>
      </w:r>
      <w:r w:rsidRPr="009441D7">
        <w:rPr>
          <w:sz w:val="22"/>
          <w:szCs w:val="22"/>
          <w:lang w:eastAsia="en-US"/>
        </w:rPr>
        <w:t xml:space="preserve">903 </w:t>
      </w:r>
      <w:r w:rsidR="008E5E3F">
        <w:rPr>
          <w:sz w:val="22"/>
          <w:szCs w:val="22"/>
          <w:lang w:eastAsia="en-US"/>
        </w:rPr>
        <w:t>εκατ</w:t>
      </w:r>
      <w:r w:rsidRPr="009441D7">
        <w:rPr>
          <w:sz w:val="22"/>
          <w:szCs w:val="22"/>
          <w:lang w:eastAsia="en-US"/>
        </w:rPr>
        <w:t>. ευρώ περίπου (σε όρους ενωσιακής συνδρομής και τρ</w:t>
      </w:r>
      <w:r w:rsidRPr="009441D7">
        <w:rPr>
          <w:sz w:val="22"/>
          <w:szCs w:val="22"/>
          <w:lang w:eastAsia="en-US"/>
        </w:rPr>
        <w:t>έ</w:t>
      </w:r>
      <w:r w:rsidRPr="009441D7">
        <w:rPr>
          <w:sz w:val="22"/>
          <w:szCs w:val="22"/>
          <w:lang w:eastAsia="en-US"/>
        </w:rPr>
        <w:t>χουσες τιμές). Επιπλέον, από την ενδιάμεση Αναθεώρηση του Πολυετούς Δημοσιονομικού Πλαισίου 2014-2020, η χώρα προβλέπεται να επωφεληθεί με επιπλέον πόρους ύψους 1</w:t>
      </w:r>
      <w:r w:rsidR="008E5E3F">
        <w:rPr>
          <w:sz w:val="22"/>
          <w:szCs w:val="22"/>
          <w:lang w:eastAsia="en-US"/>
        </w:rPr>
        <w:t>.000</w:t>
      </w:r>
      <w:r w:rsidRPr="009441D7">
        <w:rPr>
          <w:sz w:val="22"/>
          <w:szCs w:val="22"/>
          <w:lang w:eastAsia="en-US"/>
        </w:rPr>
        <w:t xml:space="preserve"> </w:t>
      </w:r>
      <w:r w:rsidR="008E5E3F">
        <w:rPr>
          <w:sz w:val="22"/>
          <w:szCs w:val="22"/>
          <w:lang w:eastAsia="en-US"/>
        </w:rPr>
        <w:t>εκατ</w:t>
      </w:r>
      <w:r w:rsidRPr="009441D7">
        <w:rPr>
          <w:sz w:val="22"/>
          <w:szCs w:val="22"/>
          <w:lang w:eastAsia="en-US"/>
        </w:rPr>
        <w:t>. ευρώ. Η απ</w:t>
      </w:r>
      <w:r w:rsidRPr="009441D7">
        <w:rPr>
          <w:sz w:val="22"/>
          <w:szCs w:val="22"/>
          <w:lang w:eastAsia="en-US"/>
        </w:rPr>
        <w:t>ό</w:t>
      </w:r>
      <w:r w:rsidRPr="009441D7">
        <w:rPr>
          <w:sz w:val="22"/>
          <w:szCs w:val="22"/>
          <w:lang w:eastAsia="en-US"/>
        </w:rPr>
        <w:t>φαση αυτή θα οδηγήσει στη 2η αναθεώρηση του ΕΣΠΑ 2014</w:t>
      </w:r>
      <w:r w:rsidR="00F54EA6" w:rsidRPr="00F54EA6">
        <w:rPr>
          <w:sz w:val="22"/>
          <w:szCs w:val="22"/>
          <w:lang w:eastAsia="en-US"/>
        </w:rPr>
        <w:t>-</w:t>
      </w:r>
      <w:r w:rsidR="008E5E3F">
        <w:rPr>
          <w:sz w:val="22"/>
          <w:szCs w:val="22"/>
          <w:lang w:eastAsia="en-US"/>
        </w:rPr>
        <w:t>2020 και των π</w:t>
      </w:r>
      <w:r w:rsidRPr="009441D7">
        <w:rPr>
          <w:sz w:val="22"/>
          <w:szCs w:val="22"/>
          <w:lang w:eastAsia="en-US"/>
        </w:rPr>
        <w:t>ρογραμμάτων του.</w:t>
      </w:r>
    </w:p>
    <w:p w:rsidR="009441D7" w:rsidRPr="009441D7" w:rsidRDefault="009441D7" w:rsidP="00F54EA6">
      <w:pPr>
        <w:contextualSpacing/>
        <w:jc w:val="both"/>
        <w:rPr>
          <w:sz w:val="22"/>
          <w:szCs w:val="22"/>
          <w:lang w:eastAsia="en-US"/>
        </w:rPr>
      </w:pPr>
    </w:p>
    <w:p w:rsidR="009441D7" w:rsidRPr="009441D7" w:rsidRDefault="009441D7" w:rsidP="00F54EA6">
      <w:pPr>
        <w:contextualSpacing/>
        <w:jc w:val="both"/>
        <w:rPr>
          <w:sz w:val="22"/>
          <w:szCs w:val="22"/>
          <w:lang w:eastAsia="en-US"/>
        </w:rPr>
      </w:pPr>
      <w:r w:rsidRPr="009441D7">
        <w:rPr>
          <w:sz w:val="22"/>
          <w:szCs w:val="22"/>
          <w:lang w:eastAsia="en-US"/>
        </w:rPr>
        <w:t>Κρίσιμο</w:t>
      </w:r>
      <w:r w:rsidR="008E5E3F">
        <w:rPr>
          <w:sz w:val="22"/>
          <w:szCs w:val="22"/>
          <w:lang w:eastAsia="en-US"/>
        </w:rPr>
        <w:t xml:space="preserve"> θέμα για την ενεργοποίηση των π</w:t>
      </w:r>
      <w:r w:rsidRPr="009441D7">
        <w:rPr>
          <w:sz w:val="22"/>
          <w:szCs w:val="22"/>
          <w:lang w:eastAsia="en-US"/>
        </w:rPr>
        <w:t>ρογραμμάτων, αποτελεί η ενσωμάτωση των εκ των προτ</w:t>
      </w:r>
      <w:r w:rsidRPr="009441D7">
        <w:rPr>
          <w:sz w:val="22"/>
          <w:szCs w:val="22"/>
          <w:lang w:eastAsia="en-US"/>
        </w:rPr>
        <w:t>έ</w:t>
      </w:r>
      <w:r w:rsidRPr="009441D7">
        <w:rPr>
          <w:sz w:val="22"/>
          <w:szCs w:val="22"/>
          <w:lang w:eastAsia="en-US"/>
        </w:rPr>
        <w:t>ρων αιρεσιμοτήτων σε αυτά. Ο όρος αναφέρεται σε προϋποθέσεις για χρηματοδότηση από τα Ευρ</w:t>
      </w:r>
      <w:r w:rsidRPr="009441D7">
        <w:rPr>
          <w:sz w:val="22"/>
          <w:szCs w:val="22"/>
          <w:lang w:eastAsia="en-US"/>
        </w:rPr>
        <w:t>ω</w:t>
      </w:r>
      <w:r w:rsidRPr="009441D7">
        <w:rPr>
          <w:sz w:val="22"/>
          <w:szCs w:val="22"/>
          <w:lang w:eastAsia="en-US"/>
        </w:rPr>
        <w:t>παϊκά Διαρθρωτικά και Επενδυτικά Ταμεία στο πλαίσιο του ΕΣΠΑ. Ενδεικτικό στοιχείο για την πρ</w:t>
      </w:r>
      <w:r w:rsidRPr="009441D7">
        <w:rPr>
          <w:sz w:val="22"/>
          <w:szCs w:val="22"/>
          <w:lang w:eastAsia="en-US"/>
        </w:rPr>
        <w:t>ό</w:t>
      </w:r>
      <w:r w:rsidRPr="009441D7">
        <w:rPr>
          <w:sz w:val="22"/>
          <w:szCs w:val="22"/>
          <w:lang w:eastAsia="en-US"/>
        </w:rPr>
        <w:t>οδο της εκπλήρωσης του συνόλου των εκ των προτέρων αιρεσιμοτήτων είναι το γεγονός ότι, κατά την έγκριση των ΕΠ εκκρεμούσαν συνολικά 22 σχετικές περιπτώσεις, ενώ σύμφωνα με την 1η Έκθεση προόδου του ΕΣΠΑ (στοιχεία 3/8/2017), εκκρεμεί μερικώς μόνο μία</w:t>
      </w:r>
      <w:r w:rsidR="00893CCF">
        <w:rPr>
          <w:sz w:val="22"/>
          <w:szCs w:val="22"/>
          <w:lang w:eastAsia="en-US"/>
        </w:rPr>
        <w:t xml:space="preserve"> περίπτωση</w:t>
      </w:r>
      <w:r w:rsidRPr="009441D7">
        <w:rPr>
          <w:sz w:val="22"/>
          <w:szCs w:val="22"/>
          <w:lang w:eastAsia="en-US"/>
        </w:rPr>
        <w:t>.</w:t>
      </w:r>
    </w:p>
    <w:p w:rsidR="00F902EB" w:rsidRPr="009441D7" w:rsidRDefault="00F902EB" w:rsidP="00F54EA6">
      <w:pPr>
        <w:contextualSpacing/>
        <w:jc w:val="both"/>
        <w:rPr>
          <w:sz w:val="22"/>
          <w:szCs w:val="22"/>
          <w:lang w:eastAsia="en-US"/>
        </w:rPr>
      </w:pPr>
    </w:p>
    <w:p w:rsidR="009441D7" w:rsidRPr="009441D7" w:rsidRDefault="009441D7" w:rsidP="00F54EA6">
      <w:pPr>
        <w:contextualSpacing/>
        <w:jc w:val="both"/>
        <w:rPr>
          <w:rFonts w:ascii="Arial Narrow" w:hAnsi="Arial Narrow"/>
          <w:b/>
          <w:i/>
          <w:sz w:val="22"/>
          <w:szCs w:val="22"/>
          <w:lang w:eastAsia="en-US"/>
        </w:rPr>
      </w:pPr>
      <w:r w:rsidRPr="009441D7">
        <w:rPr>
          <w:rFonts w:ascii="Arial Narrow" w:hAnsi="Arial Narrow"/>
          <w:b/>
          <w:i/>
          <w:sz w:val="22"/>
          <w:szCs w:val="22"/>
          <w:lang w:eastAsia="en-US"/>
        </w:rPr>
        <w:t>Πρόοδος υλοποίησης</w:t>
      </w:r>
    </w:p>
    <w:p w:rsidR="009441D7" w:rsidRPr="009441D7" w:rsidRDefault="009441D7" w:rsidP="00F54EA6">
      <w:pPr>
        <w:contextualSpacing/>
        <w:jc w:val="both"/>
        <w:rPr>
          <w:sz w:val="22"/>
          <w:szCs w:val="22"/>
          <w:lang w:eastAsia="en-US"/>
        </w:rPr>
      </w:pPr>
    </w:p>
    <w:p w:rsidR="009441D7" w:rsidRPr="009441D7" w:rsidRDefault="009441D7" w:rsidP="00F54EA6">
      <w:pPr>
        <w:contextualSpacing/>
        <w:jc w:val="both"/>
        <w:rPr>
          <w:sz w:val="22"/>
          <w:szCs w:val="22"/>
          <w:lang w:eastAsia="en-US"/>
        </w:rPr>
      </w:pPr>
      <w:r w:rsidRPr="009441D7">
        <w:rPr>
          <w:sz w:val="22"/>
          <w:szCs w:val="22"/>
          <w:lang w:eastAsia="en-US"/>
        </w:rPr>
        <w:t>Το 2017, η ενεργοποίηση των Επιχειρησιακών Προγραμμάτων ανέρχεται πλέον στο 85,5% των δι</w:t>
      </w:r>
      <w:r w:rsidRPr="009441D7">
        <w:rPr>
          <w:sz w:val="22"/>
          <w:szCs w:val="22"/>
          <w:lang w:eastAsia="en-US"/>
        </w:rPr>
        <w:t>α</w:t>
      </w:r>
      <w:r w:rsidR="00F54EA6" w:rsidRPr="00F54EA6">
        <w:rPr>
          <w:sz w:val="22"/>
          <w:szCs w:val="22"/>
          <w:lang w:eastAsia="en-US"/>
        </w:rPr>
        <w:t>θέσιμων πόρων σε όρους δημόσιας δ</w:t>
      </w:r>
      <w:r w:rsidRPr="009441D7">
        <w:rPr>
          <w:sz w:val="22"/>
          <w:szCs w:val="22"/>
          <w:lang w:eastAsia="en-US"/>
        </w:rPr>
        <w:t>απάνης.</w:t>
      </w:r>
    </w:p>
    <w:p w:rsidR="009441D7" w:rsidRPr="009441D7" w:rsidRDefault="009441D7" w:rsidP="00F54EA6">
      <w:pPr>
        <w:contextualSpacing/>
        <w:jc w:val="both"/>
        <w:rPr>
          <w:sz w:val="22"/>
          <w:szCs w:val="22"/>
          <w:lang w:eastAsia="en-US"/>
        </w:rPr>
      </w:pPr>
    </w:p>
    <w:p w:rsidR="009441D7" w:rsidRPr="009441D7" w:rsidRDefault="009441D7" w:rsidP="00F54EA6">
      <w:pPr>
        <w:contextualSpacing/>
        <w:jc w:val="both"/>
        <w:rPr>
          <w:sz w:val="22"/>
          <w:szCs w:val="22"/>
          <w:lang w:eastAsia="en-US"/>
        </w:rPr>
      </w:pPr>
      <w:r w:rsidRPr="009441D7">
        <w:rPr>
          <w:sz w:val="22"/>
          <w:szCs w:val="22"/>
          <w:lang w:eastAsia="en-US"/>
        </w:rPr>
        <w:t xml:space="preserve">Ειδικότερα, με βάση </w:t>
      </w:r>
      <w:r w:rsidR="00893CCF">
        <w:rPr>
          <w:sz w:val="22"/>
          <w:szCs w:val="22"/>
          <w:lang w:eastAsia="en-US"/>
        </w:rPr>
        <w:t>τα</w:t>
      </w:r>
      <w:r w:rsidRPr="009441D7">
        <w:rPr>
          <w:sz w:val="22"/>
          <w:szCs w:val="22"/>
          <w:lang w:eastAsia="en-US"/>
        </w:rPr>
        <w:t xml:space="preserve"> στοιχεία υλοποίησης:</w:t>
      </w:r>
    </w:p>
    <w:p w:rsidR="009441D7" w:rsidRPr="009441D7" w:rsidRDefault="009441D7" w:rsidP="00F54EA6">
      <w:pPr>
        <w:contextualSpacing/>
        <w:jc w:val="both"/>
        <w:rPr>
          <w:sz w:val="22"/>
          <w:szCs w:val="22"/>
          <w:lang w:eastAsia="en-US"/>
        </w:rPr>
      </w:pPr>
    </w:p>
    <w:p w:rsidR="009441D7" w:rsidRPr="009441D7" w:rsidRDefault="009441D7" w:rsidP="00F54EA6">
      <w:pPr>
        <w:numPr>
          <w:ilvl w:val="0"/>
          <w:numId w:val="26"/>
        </w:numPr>
        <w:contextualSpacing/>
        <w:jc w:val="both"/>
        <w:rPr>
          <w:sz w:val="22"/>
          <w:szCs w:val="22"/>
          <w:lang w:eastAsia="en-US"/>
        </w:rPr>
      </w:pPr>
      <w:r w:rsidRPr="009441D7">
        <w:rPr>
          <w:sz w:val="22"/>
          <w:szCs w:val="22"/>
          <w:lang w:eastAsia="en-US"/>
        </w:rPr>
        <w:lastRenderedPageBreak/>
        <w:t>Για το σύνολο των ΕΠ έχουν δημοσιευθεί προσκλήσεις ύψους 12.800 εκατ. ευρώ περίπου, εκ των οποίων 8.600 εκατ. ευρώ περίπου αφορούν σε τομεακά ΕΠ, 3.900 εκατ. ευρώ στα περιφερειακά ΕΠ και 294 εκατ. ευρώ στα προγράμματα Ευρωπαϊκής Εδαφικής Συνεργασίας.</w:t>
      </w:r>
    </w:p>
    <w:p w:rsidR="009441D7" w:rsidRPr="009441D7" w:rsidRDefault="009441D7" w:rsidP="00F54EA6">
      <w:pPr>
        <w:ind w:left="360"/>
        <w:contextualSpacing/>
        <w:jc w:val="both"/>
        <w:rPr>
          <w:sz w:val="22"/>
          <w:szCs w:val="22"/>
          <w:lang w:eastAsia="en-US"/>
        </w:rPr>
      </w:pPr>
    </w:p>
    <w:p w:rsidR="009441D7" w:rsidRPr="009441D7" w:rsidRDefault="009441D7" w:rsidP="00F54EA6">
      <w:pPr>
        <w:numPr>
          <w:ilvl w:val="0"/>
          <w:numId w:val="26"/>
        </w:numPr>
        <w:contextualSpacing/>
        <w:jc w:val="both"/>
        <w:rPr>
          <w:sz w:val="22"/>
          <w:szCs w:val="22"/>
          <w:lang w:eastAsia="en-US"/>
        </w:rPr>
      </w:pPr>
      <w:r w:rsidRPr="009441D7">
        <w:rPr>
          <w:sz w:val="22"/>
          <w:szCs w:val="22"/>
          <w:lang w:eastAsia="en-US"/>
        </w:rPr>
        <w:t>Η συγχρηματοδοτούμενη δαπάνη των ενταγμένων έργων για το σύνολο του ΕΣΠΑ ανέρχεται στα 8.900 εκατ. ευρώ περίπου, εκ των οποίων 6.200 εκατ. ευρώ περίπ</w:t>
      </w:r>
      <w:r w:rsidR="006676BE">
        <w:rPr>
          <w:sz w:val="22"/>
          <w:szCs w:val="22"/>
          <w:lang w:eastAsia="en-US"/>
        </w:rPr>
        <w:t>ου αφορούν τα τομεακά ΕΠ και 2.7</w:t>
      </w:r>
      <w:r w:rsidRPr="009441D7">
        <w:rPr>
          <w:sz w:val="22"/>
          <w:szCs w:val="22"/>
          <w:lang w:eastAsia="en-US"/>
        </w:rPr>
        <w:t>00 εκατ. ευρώ περίπου τα περιφερειακά ΕΠ.</w:t>
      </w:r>
    </w:p>
    <w:p w:rsidR="009441D7" w:rsidRPr="009441D7" w:rsidRDefault="009441D7" w:rsidP="00F54EA6">
      <w:pPr>
        <w:ind w:left="360"/>
        <w:contextualSpacing/>
        <w:jc w:val="both"/>
        <w:rPr>
          <w:sz w:val="22"/>
          <w:szCs w:val="22"/>
          <w:lang w:eastAsia="en-US"/>
        </w:rPr>
      </w:pPr>
    </w:p>
    <w:p w:rsidR="009441D7" w:rsidRPr="009441D7" w:rsidRDefault="009441D7" w:rsidP="00F54EA6">
      <w:pPr>
        <w:numPr>
          <w:ilvl w:val="0"/>
          <w:numId w:val="26"/>
        </w:numPr>
        <w:ind w:left="357" w:hanging="357"/>
        <w:contextualSpacing/>
        <w:jc w:val="both"/>
        <w:rPr>
          <w:sz w:val="22"/>
          <w:szCs w:val="22"/>
          <w:lang w:eastAsia="en-US"/>
        </w:rPr>
      </w:pPr>
      <w:r w:rsidRPr="009441D7">
        <w:rPr>
          <w:sz w:val="22"/>
          <w:szCs w:val="22"/>
          <w:lang w:eastAsia="en-US"/>
        </w:rPr>
        <w:t>Η συγχρηματοδοτούμενη δαπάνη των νομικών δεσμεύσεων για το σύνολο του ΕΣΠΑ ανέρχεται στα 5.600 εκατ. ευρώ, εκ των οποίων 4.300 εκατ. ευρώ αφορούν τα τομεακά ΕΠ και 1.300 εκατ. ευρώ τα περιφερειακά ΕΠ.</w:t>
      </w:r>
    </w:p>
    <w:p w:rsidR="009441D7" w:rsidRPr="009441D7" w:rsidRDefault="009441D7" w:rsidP="00F54EA6">
      <w:pPr>
        <w:contextualSpacing/>
        <w:jc w:val="both"/>
        <w:rPr>
          <w:sz w:val="22"/>
          <w:szCs w:val="22"/>
          <w:lang w:eastAsia="en-US"/>
        </w:rPr>
      </w:pPr>
    </w:p>
    <w:p w:rsidR="009441D7" w:rsidRPr="009441D7" w:rsidRDefault="009441D7" w:rsidP="00F54EA6">
      <w:pPr>
        <w:contextualSpacing/>
        <w:jc w:val="both"/>
        <w:rPr>
          <w:sz w:val="22"/>
          <w:szCs w:val="22"/>
          <w:lang w:eastAsia="en-US"/>
        </w:rPr>
      </w:pPr>
      <w:r w:rsidRPr="009441D7">
        <w:rPr>
          <w:sz w:val="22"/>
          <w:szCs w:val="22"/>
          <w:lang w:eastAsia="en-US"/>
        </w:rPr>
        <w:t>Αξίζει να αναφερθεί ότι, με βάση τα επίσημα στοιχεία της Ευρωπαϊκής Επιτροπής, η Ελλάδα κατ</w:t>
      </w:r>
      <w:r w:rsidRPr="009441D7">
        <w:rPr>
          <w:sz w:val="22"/>
          <w:szCs w:val="22"/>
          <w:lang w:eastAsia="en-US"/>
        </w:rPr>
        <w:t>α</w:t>
      </w:r>
      <w:r w:rsidRPr="009441D7">
        <w:rPr>
          <w:sz w:val="22"/>
          <w:szCs w:val="22"/>
          <w:lang w:eastAsia="en-US"/>
        </w:rPr>
        <w:t>τάσσεται στην πρώτη τριάδα Κρατών Μελών σε όλη την Ευρώπη στην απορρόφηση των πόρων του ΕΣΠΑ 2014-2020 (συνολικές εισροές από ΕΕ).</w:t>
      </w:r>
    </w:p>
    <w:p w:rsidR="00F54EA6" w:rsidRDefault="00F54EA6" w:rsidP="00F54EA6">
      <w:pPr>
        <w:contextualSpacing/>
        <w:jc w:val="both"/>
        <w:rPr>
          <w:sz w:val="22"/>
          <w:szCs w:val="22"/>
          <w:lang w:eastAsia="en-US"/>
        </w:rPr>
      </w:pPr>
    </w:p>
    <w:p w:rsidR="009441D7" w:rsidRPr="009441D7" w:rsidRDefault="009441D7" w:rsidP="00F54EA6">
      <w:pPr>
        <w:contextualSpacing/>
        <w:jc w:val="both"/>
        <w:rPr>
          <w:rFonts w:ascii="Arial Narrow" w:hAnsi="Arial Narrow"/>
          <w:b/>
          <w:i/>
          <w:sz w:val="22"/>
          <w:szCs w:val="22"/>
          <w:lang w:eastAsia="en-US"/>
        </w:rPr>
      </w:pPr>
      <w:r w:rsidRPr="009441D7">
        <w:rPr>
          <w:rFonts w:ascii="Arial Narrow" w:hAnsi="Arial Narrow"/>
          <w:b/>
          <w:i/>
          <w:sz w:val="22"/>
          <w:szCs w:val="22"/>
          <w:lang w:eastAsia="en-US"/>
        </w:rPr>
        <w:t>Υλοποιούμενες δράσεις ΕΣΠΑ 2014-2020</w:t>
      </w:r>
    </w:p>
    <w:p w:rsidR="009441D7" w:rsidRPr="009441D7" w:rsidRDefault="009441D7" w:rsidP="00F54EA6">
      <w:pPr>
        <w:contextualSpacing/>
        <w:jc w:val="both"/>
        <w:rPr>
          <w:rFonts w:ascii="Arial Narrow" w:hAnsi="Arial Narrow"/>
          <w:b/>
          <w:i/>
          <w:sz w:val="22"/>
          <w:szCs w:val="22"/>
          <w:lang w:eastAsia="en-US"/>
        </w:rPr>
      </w:pPr>
    </w:p>
    <w:p w:rsidR="009441D7" w:rsidRPr="009441D7" w:rsidRDefault="009441D7" w:rsidP="00F54EA6">
      <w:pPr>
        <w:numPr>
          <w:ilvl w:val="0"/>
          <w:numId w:val="28"/>
        </w:numPr>
        <w:ind w:left="426" w:hanging="426"/>
        <w:contextualSpacing/>
        <w:jc w:val="both"/>
        <w:rPr>
          <w:sz w:val="22"/>
          <w:szCs w:val="22"/>
          <w:lang w:eastAsia="en-US"/>
        </w:rPr>
      </w:pPr>
      <w:r w:rsidRPr="009441D7">
        <w:rPr>
          <w:sz w:val="22"/>
          <w:szCs w:val="22"/>
          <w:lang w:eastAsia="en-US"/>
        </w:rPr>
        <w:t>Τα Περιφερειακά Επιχειρησιακά Προγράμματα έχουν ενεργοποιήσει δράσεις συνολικού προ</w:t>
      </w:r>
      <w:r w:rsidRPr="009441D7">
        <w:rPr>
          <w:sz w:val="22"/>
          <w:szCs w:val="22"/>
          <w:lang w:eastAsia="en-US"/>
        </w:rPr>
        <w:t>ϋ</w:t>
      </w:r>
      <w:r w:rsidRPr="009441D7">
        <w:rPr>
          <w:sz w:val="22"/>
          <w:szCs w:val="22"/>
          <w:lang w:eastAsia="en-US"/>
        </w:rPr>
        <w:t xml:space="preserve">πολογισμού 3.940 εκατ. ευρώ, </w:t>
      </w:r>
      <w:r w:rsidR="00A931F0">
        <w:rPr>
          <w:sz w:val="22"/>
          <w:szCs w:val="22"/>
          <w:lang w:eastAsia="en-US"/>
        </w:rPr>
        <w:t>εκ των οποίων</w:t>
      </w:r>
      <w:r w:rsidRPr="009441D7">
        <w:rPr>
          <w:sz w:val="22"/>
          <w:szCs w:val="22"/>
          <w:lang w:eastAsia="en-US"/>
        </w:rPr>
        <w:t xml:space="preserve"> 3.500 εκατ. ευρώ αφορούν συγχρηματοδοτούμενες δράσεις του ΕΤΠΑ και 440 εκατ. ευρώ αφορούν δράσεις του ΕΚΤ.</w:t>
      </w:r>
    </w:p>
    <w:p w:rsidR="009441D7" w:rsidRPr="009441D7" w:rsidRDefault="009441D7" w:rsidP="00F54EA6">
      <w:pPr>
        <w:ind w:left="426"/>
        <w:contextualSpacing/>
        <w:jc w:val="both"/>
        <w:rPr>
          <w:sz w:val="22"/>
          <w:szCs w:val="22"/>
          <w:lang w:eastAsia="en-US"/>
        </w:rPr>
      </w:pPr>
    </w:p>
    <w:p w:rsidR="009441D7" w:rsidRPr="009441D7" w:rsidRDefault="009441D7" w:rsidP="00FC2CD9">
      <w:pPr>
        <w:ind w:firstLine="426"/>
        <w:contextualSpacing/>
        <w:jc w:val="both"/>
        <w:rPr>
          <w:sz w:val="22"/>
          <w:szCs w:val="22"/>
          <w:lang w:eastAsia="en-US"/>
        </w:rPr>
      </w:pPr>
      <w:r w:rsidRPr="009441D7">
        <w:rPr>
          <w:sz w:val="22"/>
          <w:szCs w:val="22"/>
          <w:lang w:eastAsia="en-US"/>
        </w:rPr>
        <w:t xml:space="preserve">Όσον αφορά το ΕΤΠΑ, μεταξύ </w:t>
      </w:r>
      <w:r w:rsidR="00893CCF">
        <w:rPr>
          <w:sz w:val="22"/>
          <w:szCs w:val="22"/>
          <w:lang w:eastAsia="en-US"/>
        </w:rPr>
        <w:t xml:space="preserve">άλλων </w:t>
      </w:r>
      <w:r w:rsidRPr="009441D7">
        <w:rPr>
          <w:sz w:val="22"/>
          <w:szCs w:val="22"/>
          <w:lang w:eastAsia="en-US"/>
        </w:rPr>
        <w:t xml:space="preserve">έχουν ενεργοποιηθεί </w:t>
      </w:r>
      <w:r w:rsidR="00893CCF">
        <w:rPr>
          <w:sz w:val="22"/>
          <w:szCs w:val="22"/>
          <w:lang w:eastAsia="en-US"/>
        </w:rPr>
        <w:t>δράσεις για</w:t>
      </w:r>
      <w:r w:rsidRPr="009441D7">
        <w:rPr>
          <w:sz w:val="22"/>
          <w:szCs w:val="22"/>
          <w:lang w:eastAsia="en-US"/>
        </w:rPr>
        <w:t>:</w:t>
      </w:r>
    </w:p>
    <w:p w:rsidR="009441D7" w:rsidRPr="009441D7" w:rsidRDefault="009441D7" w:rsidP="00F54EA6">
      <w:pPr>
        <w:contextualSpacing/>
        <w:jc w:val="both"/>
        <w:rPr>
          <w:sz w:val="22"/>
          <w:szCs w:val="22"/>
          <w:lang w:eastAsia="en-US"/>
        </w:rPr>
      </w:pPr>
    </w:p>
    <w:p w:rsidR="00F54EA6" w:rsidRPr="00F54EA6" w:rsidRDefault="00F54EA6" w:rsidP="00FC2CD9">
      <w:pPr>
        <w:tabs>
          <w:tab w:val="left" w:pos="709"/>
        </w:tabs>
        <w:ind w:left="709" w:hanging="283"/>
        <w:contextualSpacing/>
        <w:jc w:val="both"/>
        <w:rPr>
          <w:sz w:val="22"/>
          <w:szCs w:val="22"/>
          <w:lang w:eastAsia="en-US"/>
        </w:rPr>
      </w:pPr>
      <w:r w:rsidRPr="00F54EA6">
        <w:rPr>
          <w:sz w:val="22"/>
          <w:szCs w:val="22"/>
          <w:lang w:eastAsia="en-US"/>
        </w:rPr>
        <w:t>-</w:t>
      </w:r>
      <w:r w:rsidRPr="00F54EA6">
        <w:rPr>
          <w:sz w:val="22"/>
          <w:szCs w:val="22"/>
          <w:lang w:eastAsia="en-US"/>
        </w:rPr>
        <w:tab/>
      </w:r>
      <w:r w:rsidR="00893CCF">
        <w:rPr>
          <w:sz w:val="22"/>
          <w:szCs w:val="22"/>
          <w:lang w:eastAsia="en-US"/>
        </w:rPr>
        <w:t xml:space="preserve">την </w:t>
      </w:r>
      <w:r w:rsidR="009441D7" w:rsidRPr="009441D7">
        <w:rPr>
          <w:sz w:val="22"/>
          <w:szCs w:val="22"/>
          <w:lang w:eastAsia="en-US"/>
        </w:rPr>
        <w:t xml:space="preserve">ενίσχυση της έρευνας και </w:t>
      </w:r>
      <w:r w:rsidR="00893CCF">
        <w:rPr>
          <w:sz w:val="22"/>
          <w:szCs w:val="22"/>
          <w:lang w:eastAsia="en-US"/>
        </w:rPr>
        <w:t xml:space="preserve">της </w:t>
      </w:r>
      <w:r w:rsidR="009441D7" w:rsidRPr="009441D7">
        <w:rPr>
          <w:sz w:val="22"/>
          <w:szCs w:val="22"/>
          <w:lang w:eastAsia="en-US"/>
        </w:rPr>
        <w:t xml:space="preserve">καινοτομίας καθώς και των εφαρμογών </w:t>
      </w:r>
      <w:r w:rsidR="00081C2B">
        <w:rPr>
          <w:sz w:val="22"/>
          <w:szCs w:val="22"/>
          <w:lang w:eastAsia="en-US"/>
        </w:rPr>
        <w:t>του τομέα Τεχνολ</w:t>
      </w:r>
      <w:r w:rsidR="00081C2B">
        <w:rPr>
          <w:sz w:val="22"/>
          <w:szCs w:val="22"/>
          <w:lang w:eastAsia="en-US"/>
        </w:rPr>
        <w:t>ο</w:t>
      </w:r>
      <w:r w:rsidR="00081C2B">
        <w:rPr>
          <w:sz w:val="22"/>
          <w:szCs w:val="22"/>
          <w:lang w:eastAsia="en-US"/>
        </w:rPr>
        <w:t xml:space="preserve">γίας, Πληροφορικής και Επικοινωνιών </w:t>
      </w:r>
      <w:r w:rsidR="00081C2B" w:rsidRPr="00081C2B">
        <w:rPr>
          <w:sz w:val="22"/>
          <w:szCs w:val="22"/>
          <w:lang w:eastAsia="en-US"/>
        </w:rPr>
        <w:t>(</w:t>
      </w:r>
      <w:r w:rsidR="009441D7" w:rsidRPr="00081C2B">
        <w:rPr>
          <w:sz w:val="22"/>
          <w:szCs w:val="22"/>
          <w:lang w:eastAsia="en-US"/>
        </w:rPr>
        <w:t>ΤΠΕ</w:t>
      </w:r>
      <w:r w:rsidR="00081C2B" w:rsidRPr="00081C2B">
        <w:rPr>
          <w:sz w:val="22"/>
          <w:szCs w:val="22"/>
          <w:lang w:eastAsia="en-US"/>
        </w:rPr>
        <w:t>)</w:t>
      </w:r>
      <w:r w:rsidR="009441D7" w:rsidRPr="009441D7">
        <w:rPr>
          <w:sz w:val="22"/>
          <w:szCs w:val="22"/>
          <w:lang w:eastAsia="en-US"/>
        </w:rPr>
        <w:t xml:space="preserve"> (65 εκατ. ευρώ</w:t>
      </w:r>
      <w:r w:rsidR="00081C2B">
        <w:rPr>
          <w:sz w:val="22"/>
          <w:szCs w:val="22"/>
          <w:lang w:eastAsia="en-US"/>
        </w:rPr>
        <w:t>)</w:t>
      </w:r>
      <w:r w:rsidR="009441D7" w:rsidRPr="009441D7">
        <w:rPr>
          <w:sz w:val="22"/>
          <w:szCs w:val="22"/>
          <w:lang w:eastAsia="en-US"/>
        </w:rPr>
        <w:t>,</w:t>
      </w:r>
    </w:p>
    <w:p w:rsidR="00F54EA6" w:rsidRPr="00F54EA6" w:rsidRDefault="00F54EA6" w:rsidP="00FC2CD9">
      <w:pPr>
        <w:tabs>
          <w:tab w:val="left" w:pos="709"/>
        </w:tabs>
        <w:ind w:left="709" w:hanging="283"/>
        <w:contextualSpacing/>
        <w:jc w:val="both"/>
        <w:rPr>
          <w:sz w:val="22"/>
          <w:szCs w:val="22"/>
          <w:lang w:eastAsia="en-US"/>
        </w:rPr>
      </w:pPr>
      <w:r w:rsidRPr="00F54EA6">
        <w:rPr>
          <w:sz w:val="22"/>
          <w:szCs w:val="22"/>
          <w:lang w:eastAsia="en-US"/>
        </w:rPr>
        <w:t>-</w:t>
      </w:r>
      <w:r w:rsidRPr="00F54EA6">
        <w:rPr>
          <w:sz w:val="22"/>
          <w:szCs w:val="22"/>
          <w:lang w:eastAsia="en-US"/>
        </w:rPr>
        <w:tab/>
      </w:r>
      <w:r w:rsidR="00081C2B">
        <w:rPr>
          <w:sz w:val="22"/>
          <w:szCs w:val="22"/>
          <w:lang w:eastAsia="en-US"/>
        </w:rPr>
        <w:t xml:space="preserve">την </w:t>
      </w:r>
      <w:r w:rsidR="009441D7" w:rsidRPr="009441D7">
        <w:rPr>
          <w:sz w:val="22"/>
          <w:szCs w:val="22"/>
          <w:lang w:eastAsia="en-US"/>
        </w:rPr>
        <w:t>προσαρμογή στην κλιματική αλλαγή και πρόληψη κινδύνων (24</w:t>
      </w:r>
      <w:r w:rsidR="00081C2B">
        <w:rPr>
          <w:sz w:val="22"/>
          <w:szCs w:val="22"/>
          <w:lang w:eastAsia="en-US"/>
        </w:rPr>
        <w:t>8</w:t>
      </w:r>
      <w:r w:rsidR="009441D7" w:rsidRPr="009441D7">
        <w:rPr>
          <w:sz w:val="22"/>
          <w:szCs w:val="22"/>
          <w:lang w:eastAsia="en-US"/>
        </w:rPr>
        <w:t xml:space="preserve"> εκατ. ευρώ),</w:t>
      </w:r>
    </w:p>
    <w:p w:rsidR="00F54EA6" w:rsidRPr="00F54EA6" w:rsidRDefault="00F54EA6" w:rsidP="00FC2CD9">
      <w:pPr>
        <w:tabs>
          <w:tab w:val="left" w:pos="709"/>
        </w:tabs>
        <w:ind w:left="709" w:hanging="283"/>
        <w:contextualSpacing/>
        <w:jc w:val="both"/>
        <w:rPr>
          <w:sz w:val="22"/>
          <w:szCs w:val="22"/>
          <w:lang w:eastAsia="en-US"/>
        </w:rPr>
      </w:pPr>
      <w:r w:rsidRPr="00F54EA6">
        <w:rPr>
          <w:sz w:val="22"/>
          <w:szCs w:val="22"/>
          <w:lang w:eastAsia="en-US"/>
        </w:rPr>
        <w:t>-</w:t>
      </w:r>
      <w:r w:rsidRPr="00F54EA6">
        <w:rPr>
          <w:sz w:val="22"/>
          <w:szCs w:val="22"/>
          <w:lang w:eastAsia="en-US"/>
        </w:rPr>
        <w:tab/>
      </w:r>
      <w:r w:rsidR="00081C2B">
        <w:rPr>
          <w:sz w:val="22"/>
          <w:szCs w:val="22"/>
          <w:lang w:eastAsia="en-US"/>
        </w:rPr>
        <w:t xml:space="preserve">τον </w:t>
      </w:r>
      <w:r w:rsidR="009441D7" w:rsidRPr="009441D7">
        <w:rPr>
          <w:sz w:val="22"/>
          <w:szCs w:val="22"/>
          <w:lang w:eastAsia="en-US"/>
        </w:rPr>
        <w:t>τομέα</w:t>
      </w:r>
      <w:r w:rsidR="00081C2B">
        <w:rPr>
          <w:sz w:val="22"/>
          <w:szCs w:val="22"/>
          <w:lang w:eastAsia="en-US"/>
        </w:rPr>
        <w:t xml:space="preserve"> του</w:t>
      </w:r>
      <w:r w:rsidR="009441D7" w:rsidRPr="009441D7">
        <w:rPr>
          <w:sz w:val="22"/>
          <w:szCs w:val="22"/>
          <w:lang w:eastAsia="en-US"/>
        </w:rPr>
        <w:t xml:space="preserve"> περιβάλλοντος (834 εκατ. ευρώ),</w:t>
      </w:r>
    </w:p>
    <w:p w:rsidR="00F54EA6" w:rsidRPr="00F54EA6" w:rsidRDefault="00F54EA6" w:rsidP="00FC2CD9">
      <w:pPr>
        <w:tabs>
          <w:tab w:val="left" w:pos="709"/>
        </w:tabs>
        <w:ind w:left="709" w:hanging="283"/>
        <w:contextualSpacing/>
        <w:jc w:val="both"/>
        <w:rPr>
          <w:sz w:val="22"/>
          <w:szCs w:val="22"/>
          <w:lang w:eastAsia="en-US"/>
        </w:rPr>
      </w:pPr>
      <w:r w:rsidRPr="00F54EA6">
        <w:rPr>
          <w:sz w:val="22"/>
          <w:szCs w:val="22"/>
          <w:lang w:eastAsia="en-US"/>
        </w:rPr>
        <w:t>-</w:t>
      </w:r>
      <w:r w:rsidRPr="00F54EA6">
        <w:rPr>
          <w:sz w:val="22"/>
          <w:szCs w:val="22"/>
          <w:lang w:eastAsia="en-US"/>
        </w:rPr>
        <w:tab/>
      </w:r>
      <w:r w:rsidR="00081C2B">
        <w:rPr>
          <w:sz w:val="22"/>
          <w:szCs w:val="22"/>
          <w:lang w:eastAsia="en-US"/>
        </w:rPr>
        <w:t>τον πολιτισμό</w:t>
      </w:r>
      <w:r w:rsidR="009441D7" w:rsidRPr="009441D7">
        <w:rPr>
          <w:sz w:val="22"/>
          <w:szCs w:val="22"/>
          <w:lang w:eastAsia="en-US"/>
        </w:rPr>
        <w:t xml:space="preserve"> (336 εκατ. ευρώ),</w:t>
      </w:r>
    </w:p>
    <w:p w:rsidR="00F54EA6" w:rsidRPr="00F54EA6" w:rsidRDefault="00F54EA6" w:rsidP="00FC2CD9">
      <w:pPr>
        <w:tabs>
          <w:tab w:val="left" w:pos="709"/>
        </w:tabs>
        <w:ind w:left="709" w:hanging="283"/>
        <w:contextualSpacing/>
        <w:jc w:val="both"/>
        <w:rPr>
          <w:sz w:val="22"/>
          <w:szCs w:val="22"/>
          <w:lang w:eastAsia="en-US"/>
        </w:rPr>
      </w:pPr>
      <w:r w:rsidRPr="00F54EA6">
        <w:rPr>
          <w:sz w:val="22"/>
          <w:szCs w:val="22"/>
          <w:lang w:eastAsia="en-US"/>
        </w:rPr>
        <w:t>-</w:t>
      </w:r>
      <w:r w:rsidRPr="00F54EA6">
        <w:rPr>
          <w:sz w:val="22"/>
          <w:szCs w:val="22"/>
          <w:lang w:eastAsia="en-US"/>
        </w:rPr>
        <w:tab/>
      </w:r>
      <w:r w:rsidR="00081C2B">
        <w:rPr>
          <w:sz w:val="22"/>
          <w:szCs w:val="22"/>
          <w:lang w:eastAsia="en-US"/>
        </w:rPr>
        <w:t xml:space="preserve">τις </w:t>
      </w:r>
      <w:r w:rsidR="009441D7" w:rsidRPr="009441D7">
        <w:rPr>
          <w:sz w:val="22"/>
          <w:szCs w:val="22"/>
          <w:lang w:eastAsia="en-US"/>
        </w:rPr>
        <w:t>μεταφορ</w:t>
      </w:r>
      <w:r w:rsidR="00081C2B">
        <w:rPr>
          <w:sz w:val="22"/>
          <w:szCs w:val="22"/>
          <w:lang w:eastAsia="en-US"/>
        </w:rPr>
        <w:t>ές</w:t>
      </w:r>
      <w:r w:rsidR="009441D7" w:rsidRPr="009441D7">
        <w:rPr>
          <w:sz w:val="22"/>
          <w:szCs w:val="22"/>
          <w:lang w:eastAsia="en-US"/>
        </w:rPr>
        <w:t xml:space="preserve"> (1.500 εκατ. ευρώ),</w:t>
      </w:r>
    </w:p>
    <w:p w:rsidR="006676BE" w:rsidRDefault="00F54EA6" w:rsidP="00FC2CD9">
      <w:pPr>
        <w:tabs>
          <w:tab w:val="left" w:pos="709"/>
        </w:tabs>
        <w:ind w:left="709" w:hanging="283"/>
        <w:contextualSpacing/>
        <w:jc w:val="both"/>
        <w:rPr>
          <w:sz w:val="22"/>
          <w:szCs w:val="22"/>
          <w:lang w:eastAsia="en-US"/>
        </w:rPr>
      </w:pPr>
      <w:r w:rsidRPr="00F54EA6">
        <w:rPr>
          <w:sz w:val="22"/>
          <w:szCs w:val="22"/>
          <w:lang w:eastAsia="en-US"/>
        </w:rPr>
        <w:t>-</w:t>
      </w:r>
      <w:r w:rsidRPr="00F54EA6">
        <w:rPr>
          <w:sz w:val="22"/>
          <w:szCs w:val="22"/>
          <w:lang w:eastAsia="en-US"/>
        </w:rPr>
        <w:tab/>
      </w:r>
      <w:r w:rsidR="00081C2B">
        <w:rPr>
          <w:sz w:val="22"/>
          <w:szCs w:val="22"/>
          <w:lang w:eastAsia="en-US"/>
        </w:rPr>
        <w:t xml:space="preserve">τις </w:t>
      </w:r>
      <w:r w:rsidR="009441D7" w:rsidRPr="009441D7">
        <w:rPr>
          <w:sz w:val="22"/>
          <w:szCs w:val="22"/>
          <w:lang w:eastAsia="en-US"/>
        </w:rPr>
        <w:t xml:space="preserve">κοινωνικές υποδομές και </w:t>
      </w:r>
      <w:r w:rsidR="00081C2B">
        <w:rPr>
          <w:sz w:val="22"/>
          <w:szCs w:val="22"/>
          <w:lang w:eastAsia="en-US"/>
        </w:rPr>
        <w:t xml:space="preserve">τις </w:t>
      </w:r>
      <w:r w:rsidR="009441D7" w:rsidRPr="009441D7">
        <w:rPr>
          <w:sz w:val="22"/>
          <w:szCs w:val="22"/>
          <w:lang w:eastAsia="en-US"/>
        </w:rPr>
        <w:t xml:space="preserve">υποδομές υγείας (297 </w:t>
      </w:r>
      <w:r w:rsidR="00081C2B">
        <w:rPr>
          <w:sz w:val="22"/>
          <w:szCs w:val="22"/>
          <w:lang w:eastAsia="en-US"/>
        </w:rPr>
        <w:t>εκατ. ευρώ )</w:t>
      </w:r>
      <w:r w:rsidR="006676BE">
        <w:rPr>
          <w:sz w:val="22"/>
          <w:szCs w:val="22"/>
          <w:lang w:eastAsia="en-US"/>
        </w:rPr>
        <w:t>,</w:t>
      </w:r>
    </w:p>
    <w:p w:rsidR="009441D7" w:rsidRPr="009441D7" w:rsidRDefault="006676BE" w:rsidP="00FC2CD9">
      <w:pPr>
        <w:tabs>
          <w:tab w:val="left" w:pos="709"/>
        </w:tabs>
        <w:ind w:left="709" w:hanging="283"/>
        <w:contextualSpacing/>
        <w:jc w:val="both"/>
        <w:rPr>
          <w:rFonts w:cs="Arial"/>
          <w:sz w:val="22"/>
          <w:szCs w:val="22"/>
          <w:lang w:eastAsia="en-US"/>
        </w:rPr>
      </w:pPr>
      <w:r>
        <w:rPr>
          <w:sz w:val="22"/>
          <w:szCs w:val="22"/>
          <w:lang w:eastAsia="en-US"/>
        </w:rPr>
        <w:t>-</w:t>
      </w:r>
      <w:r>
        <w:rPr>
          <w:sz w:val="22"/>
          <w:szCs w:val="22"/>
          <w:lang w:eastAsia="en-US"/>
        </w:rPr>
        <w:tab/>
        <w:t>διάφορους άλλους τομείς (220 εκατ. ευρώ)</w:t>
      </w:r>
      <w:r w:rsidR="00081C2B">
        <w:rPr>
          <w:sz w:val="22"/>
          <w:szCs w:val="22"/>
          <w:lang w:eastAsia="en-US"/>
        </w:rPr>
        <w:t>.</w:t>
      </w:r>
    </w:p>
    <w:p w:rsidR="009441D7" w:rsidRPr="009441D7" w:rsidRDefault="009441D7" w:rsidP="00F54EA6">
      <w:pPr>
        <w:ind w:left="720"/>
        <w:contextualSpacing/>
        <w:jc w:val="both"/>
        <w:rPr>
          <w:rFonts w:cs="Arial"/>
          <w:sz w:val="22"/>
          <w:szCs w:val="22"/>
          <w:lang w:eastAsia="en-US"/>
        </w:rPr>
      </w:pPr>
    </w:p>
    <w:p w:rsidR="009441D7" w:rsidRPr="009441D7" w:rsidRDefault="009441D7" w:rsidP="00FC2CD9">
      <w:pPr>
        <w:ind w:firstLine="426"/>
        <w:contextualSpacing/>
        <w:jc w:val="both"/>
        <w:rPr>
          <w:sz w:val="22"/>
          <w:szCs w:val="22"/>
          <w:lang w:eastAsia="en-US"/>
        </w:rPr>
      </w:pPr>
      <w:r w:rsidRPr="009441D7">
        <w:rPr>
          <w:sz w:val="22"/>
          <w:szCs w:val="22"/>
          <w:lang w:eastAsia="en-US"/>
        </w:rPr>
        <w:t>Όσον αφορά το ΕΚΤ, έχουν ενεργοποιηθεί δράσεις οι οποίες αφορούν:</w:t>
      </w:r>
    </w:p>
    <w:p w:rsidR="009441D7" w:rsidRPr="009441D7" w:rsidRDefault="009441D7" w:rsidP="00F54EA6">
      <w:pPr>
        <w:ind w:firstLine="360"/>
        <w:contextualSpacing/>
        <w:jc w:val="both"/>
        <w:rPr>
          <w:sz w:val="22"/>
          <w:szCs w:val="22"/>
          <w:lang w:eastAsia="en-US"/>
        </w:rPr>
      </w:pPr>
    </w:p>
    <w:p w:rsidR="00F54EA6" w:rsidRPr="00F54EA6" w:rsidRDefault="00F54EA6" w:rsidP="00FC2CD9">
      <w:pPr>
        <w:tabs>
          <w:tab w:val="left" w:pos="709"/>
        </w:tabs>
        <w:ind w:left="709" w:hanging="283"/>
        <w:contextualSpacing/>
        <w:jc w:val="both"/>
        <w:rPr>
          <w:sz w:val="22"/>
          <w:szCs w:val="22"/>
          <w:lang w:eastAsia="en-US"/>
        </w:rPr>
      </w:pPr>
      <w:r w:rsidRPr="00F54EA6">
        <w:rPr>
          <w:sz w:val="22"/>
          <w:szCs w:val="22"/>
          <w:lang w:eastAsia="en-US"/>
        </w:rPr>
        <w:t>-</w:t>
      </w:r>
      <w:r w:rsidRPr="00F54EA6">
        <w:rPr>
          <w:sz w:val="22"/>
          <w:szCs w:val="22"/>
          <w:lang w:eastAsia="en-US"/>
        </w:rPr>
        <w:tab/>
      </w:r>
      <w:r w:rsidR="009441D7" w:rsidRPr="009441D7">
        <w:rPr>
          <w:sz w:val="22"/>
          <w:szCs w:val="22"/>
          <w:lang w:eastAsia="en-US"/>
        </w:rPr>
        <w:t xml:space="preserve">την ενεργητική ένταξη και βελτίωση των δυνατοτήτων απασχόλησης (197 εκατ. </w:t>
      </w:r>
      <w:r w:rsidRPr="00F54EA6">
        <w:rPr>
          <w:sz w:val="22"/>
          <w:szCs w:val="22"/>
          <w:lang w:eastAsia="en-US"/>
        </w:rPr>
        <w:t>ευρώ</w:t>
      </w:r>
      <w:r w:rsidR="009441D7" w:rsidRPr="009441D7">
        <w:rPr>
          <w:sz w:val="22"/>
          <w:szCs w:val="22"/>
          <w:lang w:eastAsia="en-US"/>
        </w:rPr>
        <w:t>),</w:t>
      </w:r>
    </w:p>
    <w:p w:rsidR="00F54EA6" w:rsidRPr="00F54EA6" w:rsidRDefault="00F54EA6" w:rsidP="00FC2CD9">
      <w:pPr>
        <w:tabs>
          <w:tab w:val="left" w:pos="709"/>
        </w:tabs>
        <w:ind w:left="709" w:hanging="283"/>
        <w:contextualSpacing/>
        <w:jc w:val="both"/>
        <w:rPr>
          <w:sz w:val="22"/>
          <w:szCs w:val="22"/>
          <w:lang w:eastAsia="en-US"/>
        </w:rPr>
      </w:pPr>
      <w:r w:rsidRPr="00F54EA6">
        <w:rPr>
          <w:sz w:val="22"/>
          <w:szCs w:val="22"/>
          <w:lang w:eastAsia="en-US"/>
        </w:rPr>
        <w:t>-</w:t>
      </w:r>
      <w:r w:rsidRPr="00F54EA6">
        <w:rPr>
          <w:sz w:val="22"/>
          <w:szCs w:val="22"/>
          <w:lang w:eastAsia="en-US"/>
        </w:rPr>
        <w:tab/>
      </w:r>
      <w:r w:rsidR="009441D7" w:rsidRPr="009441D7">
        <w:rPr>
          <w:sz w:val="22"/>
          <w:szCs w:val="22"/>
          <w:lang w:eastAsia="en-US"/>
        </w:rPr>
        <w:t>την ένταξη περιθωριοποιημένων κοινοτήτων (55 εκατ. ευρώ),</w:t>
      </w:r>
    </w:p>
    <w:p w:rsidR="00F54EA6" w:rsidRPr="00F54EA6" w:rsidRDefault="00F54EA6" w:rsidP="00FC2CD9">
      <w:pPr>
        <w:tabs>
          <w:tab w:val="left" w:pos="709"/>
        </w:tabs>
        <w:ind w:left="709" w:hanging="283"/>
        <w:contextualSpacing/>
        <w:jc w:val="both"/>
        <w:rPr>
          <w:sz w:val="22"/>
          <w:szCs w:val="22"/>
          <w:lang w:eastAsia="en-US"/>
        </w:rPr>
      </w:pPr>
      <w:r w:rsidRPr="00F54EA6">
        <w:rPr>
          <w:sz w:val="22"/>
          <w:szCs w:val="22"/>
          <w:lang w:eastAsia="en-US"/>
        </w:rPr>
        <w:t>-</w:t>
      </w:r>
      <w:r w:rsidRPr="00F54EA6">
        <w:rPr>
          <w:sz w:val="22"/>
          <w:szCs w:val="22"/>
          <w:lang w:eastAsia="en-US"/>
        </w:rPr>
        <w:tab/>
      </w:r>
      <w:r w:rsidR="009441D7" w:rsidRPr="009441D7">
        <w:rPr>
          <w:sz w:val="22"/>
          <w:szCs w:val="22"/>
          <w:lang w:eastAsia="en-US"/>
        </w:rPr>
        <w:t>την καταπολέμηση κάθε μορφής διακρίσεων και προώθησης των ίσων ευκαιριών (105 εκατ. ευρώ),</w:t>
      </w:r>
    </w:p>
    <w:p w:rsidR="009441D7" w:rsidRPr="009441D7" w:rsidRDefault="00F54EA6" w:rsidP="00FC2CD9">
      <w:pPr>
        <w:tabs>
          <w:tab w:val="left" w:pos="709"/>
        </w:tabs>
        <w:ind w:left="709" w:hanging="283"/>
        <w:contextualSpacing/>
        <w:jc w:val="both"/>
        <w:rPr>
          <w:sz w:val="22"/>
          <w:szCs w:val="22"/>
          <w:lang w:eastAsia="en-US"/>
        </w:rPr>
      </w:pPr>
      <w:r w:rsidRPr="00F54EA6">
        <w:rPr>
          <w:sz w:val="22"/>
          <w:szCs w:val="22"/>
          <w:lang w:eastAsia="en-US"/>
        </w:rPr>
        <w:t>-</w:t>
      </w:r>
      <w:r w:rsidRPr="00F54EA6">
        <w:rPr>
          <w:sz w:val="22"/>
          <w:szCs w:val="22"/>
          <w:lang w:eastAsia="en-US"/>
        </w:rPr>
        <w:tab/>
      </w:r>
      <w:r w:rsidR="009441D7" w:rsidRPr="009441D7">
        <w:rPr>
          <w:sz w:val="22"/>
          <w:szCs w:val="22"/>
          <w:lang w:eastAsia="en-US"/>
        </w:rPr>
        <w:t>τη βελτίωση</w:t>
      </w:r>
      <w:r w:rsidR="00081C2B">
        <w:rPr>
          <w:sz w:val="22"/>
          <w:szCs w:val="22"/>
          <w:lang w:eastAsia="en-US"/>
        </w:rPr>
        <w:t xml:space="preserve"> </w:t>
      </w:r>
      <w:r w:rsidR="009441D7" w:rsidRPr="009441D7">
        <w:rPr>
          <w:sz w:val="22"/>
          <w:szCs w:val="22"/>
          <w:lang w:eastAsia="en-US"/>
        </w:rPr>
        <w:t>της πρόσβασης σε υπηρεσίες υγειονομικής περίθαλψης και κοινωνικές υπηρεσίες κοινής ωφέλειας (83 εκατ. ευρώ).</w:t>
      </w:r>
    </w:p>
    <w:p w:rsidR="009441D7" w:rsidRPr="009441D7" w:rsidRDefault="009441D7" w:rsidP="00F54EA6">
      <w:pPr>
        <w:ind w:left="720"/>
        <w:contextualSpacing/>
        <w:jc w:val="both"/>
        <w:rPr>
          <w:sz w:val="22"/>
          <w:szCs w:val="22"/>
          <w:lang w:eastAsia="en-US"/>
        </w:rPr>
      </w:pPr>
    </w:p>
    <w:p w:rsidR="009441D7" w:rsidRPr="00081C2B" w:rsidRDefault="009441D7" w:rsidP="00F54EA6">
      <w:pPr>
        <w:numPr>
          <w:ilvl w:val="0"/>
          <w:numId w:val="28"/>
        </w:numPr>
        <w:ind w:left="426" w:hanging="425"/>
        <w:contextualSpacing/>
        <w:jc w:val="both"/>
        <w:rPr>
          <w:sz w:val="22"/>
          <w:szCs w:val="22"/>
          <w:lang w:eastAsia="en-US"/>
        </w:rPr>
      </w:pPr>
      <w:r w:rsidRPr="00081C2B">
        <w:rPr>
          <w:sz w:val="22"/>
          <w:szCs w:val="22"/>
          <w:lang w:eastAsia="en-US"/>
        </w:rPr>
        <w:t>Το ΕΠ «Ανταγωνιστικότητα, Επιχειρηματικότητα, Καινοτομία» (ΕΠΑΝΕΚ) κατέχει κεντρική θέση στην προσπάθεια της χώρας για την στήριξη και ενίσχυση της ανταγωνιστικότητας της ε</w:t>
      </w:r>
      <w:r w:rsidRPr="00081C2B">
        <w:rPr>
          <w:sz w:val="22"/>
          <w:szCs w:val="22"/>
          <w:lang w:eastAsia="en-US"/>
        </w:rPr>
        <w:t>λ</w:t>
      </w:r>
      <w:r w:rsidRPr="00081C2B">
        <w:rPr>
          <w:sz w:val="22"/>
          <w:szCs w:val="22"/>
          <w:lang w:eastAsia="en-US"/>
        </w:rPr>
        <w:t>ληνικής οικονομίας και τη δημιουργία βιώσιμων θέσεων απασχόλησης, συμβάλλοντας με πόρους συνολικού ύψους 4.600 εκατ. ευρώ.</w:t>
      </w:r>
      <w:r w:rsidR="00081C2B" w:rsidRPr="00081C2B">
        <w:rPr>
          <w:sz w:val="22"/>
          <w:szCs w:val="22"/>
          <w:lang w:eastAsia="en-US"/>
        </w:rPr>
        <w:t xml:space="preserve"> </w:t>
      </w:r>
      <w:r w:rsidRPr="00081C2B">
        <w:rPr>
          <w:sz w:val="22"/>
          <w:szCs w:val="22"/>
          <w:lang w:eastAsia="en-US"/>
        </w:rPr>
        <w:t>Έχουν ήδη δημοσιευτεί προσκλήσεις συνολικού ύψους 2.400 εκατ. ευρώ, ενισχύοντας σημαντικούς αναπτυξιακούς τομείς της ελληνικής οικονομίας (</w:t>
      </w:r>
      <w:r w:rsidRPr="00081C2B">
        <w:rPr>
          <w:sz w:val="22"/>
          <w:szCs w:val="22"/>
          <w:lang w:eastAsia="en-US"/>
        </w:rPr>
        <w:t>ε</w:t>
      </w:r>
      <w:r w:rsidRPr="00081C2B">
        <w:rPr>
          <w:sz w:val="22"/>
          <w:szCs w:val="22"/>
          <w:lang w:eastAsia="en-US"/>
        </w:rPr>
        <w:t>πιχειρηματικότητα, ενέργεια, τουρισμός, πολιτισμός, κατάρτιση, ΤΠΕ κλπ) και έχουν ενταχθεί πράξεις προϋπολογισμού ύψους 1.300 εκατ. ευρώ.</w:t>
      </w:r>
    </w:p>
    <w:p w:rsidR="009441D7" w:rsidRPr="009441D7" w:rsidRDefault="009441D7" w:rsidP="00F54EA6">
      <w:pPr>
        <w:ind w:left="426"/>
        <w:contextualSpacing/>
        <w:jc w:val="both"/>
        <w:rPr>
          <w:sz w:val="22"/>
          <w:szCs w:val="22"/>
          <w:lang w:eastAsia="en-US"/>
        </w:rPr>
      </w:pPr>
      <w:r w:rsidRPr="009441D7">
        <w:rPr>
          <w:sz w:val="22"/>
          <w:szCs w:val="22"/>
          <w:lang w:eastAsia="en-US"/>
        </w:rPr>
        <w:t>Αναλυτικότερα, το ΕΠΑΝΕΚ έχει προκηρύξει 4 στοχευμένες δράσεις παροχής κινήτρων για α</w:t>
      </w:r>
      <w:r w:rsidRPr="009441D7">
        <w:rPr>
          <w:sz w:val="22"/>
          <w:szCs w:val="22"/>
          <w:lang w:eastAsia="en-US"/>
        </w:rPr>
        <w:t>υ</w:t>
      </w:r>
      <w:r w:rsidRPr="009441D7">
        <w:rPr>
          <w:sz w:val="22"/>
          <w:szCs w:val="22"/>
          <w:lang w:eastAsia="en-US"/>
        </w:rPr>
        <w:t>τοαπασχολούμενους επαγγελματίες, καθώς και για πολύ μικρές και μικρομεσαίες επιχειρήσεις, με συνολικό προϋπολογισμό 347 εκατ. ευρώ.</w:t>
      </w:r>
    </w:p>
    <w:p w:rsidR="009441D7" w:rsidRPr="009441D7" w:rsidRDefault="009441D7" w:rsidP="00F54EA6">
      <w:pPr>
        <w:ind w:left="426"/>
        <w:contextualSpacing/>
        <w:jc w:val="both"/>
        <w:rPr>
          <w:sz w:val="22"/>
          <w:szCs w:val="22"/>
          <w:lang w:eastAsia="en-US"/>
        </w:rPr>
      </w:pPr>
    </w:p>
    <w:p w:rsidR="009441D7" w:rsidRPr="009441D7" w:rsidRDefault="009441D7" w:rsidP="00F54EA6">
      <w:pPr>
        <w:ind w:left="426"/>
        <w:contextualSpacing/>
        <w:jc w:val="both"/>
        <w:rPr>
          <w:sz w:val="22"/>
          <w:szCs w:val="22"/>
          <w:lang w:eastAsia="en-US"/>
        </w:rPr>
      </w:pPr>
      <w:r w:rsidRPr="009441D7">
        <w:rPr>
          <w:sz w:val="22"/>
          <w:szCs w:val="22"/>
          <w:lang w:eastAsia="en-US"/>
        </w:rPr>
        <w:t xml:space="preserve">Επιπλέον, για τη διευκόλυνση της πρόσβασης </w:t>
      </w:r>
      <w:r w:rsidR="00081C2B">
        <w:rPr>
          <w:sz w:val="22"/>
          <w:szCs w:val="22"/>
          <w:lang w:eastAsia="en-US"/>
        </w:rPr>
        <w:t xml:space="preserve">της χρηματοδότησης </w:t>
      </w:r>
      <w:r w:rsidRPr="009441D7">
        <w:rPr>
          <w:sz w:val="22"/>
          <w:szCs w:val="22"/>
          <w:lang w:eastAsia="en-US"/>
        </w:rPr>
        <w:t>των μικρομεσαίων επιχειρ</w:t>
      </w:r>
      <w:r w:rsidRPr="009441D7">
        <w:rPr>
          <w:sz w:val="22"/>
          <w:szCs w:val="22"/>
          <w:lang w:eastAsia="en-US"/>
        </w:rPr>
        <w:t>ή</w:t>
      </w:r>
      <w:r w:rsidRPr="009441D7">
        <w:rPr>
          <w:sz w:val="22"/>
          <w:szCs w:val="22"/>
          <w:lang w:eastAsia="en-US"/>
        </w:rPr>
        <w:t xml:space="preserve">σεων έχουν ήδη ενταχθεί στο πλαίσιο του ΕΠΑΝΕΚ δύο νέα χρηματοδοτικά εργαλεία για τις </w:t>
      </w:r>
      <w:r w:rsidRPr="009441D7">
        <w:rPr>
          <w:sz w:val="22"/>
          <w:szCs w:val="22"/>
          <w:lang w:eastAsia="en-US"/>
        </w:rPr>
        <w:t>ε</w:t>
      </w:r>
      <w:r w:rsidRPr="009441D7">
        <w:rPr>
          <w:sz w:val="22"/>
          <w:szCs w:val="22"/>
          <w:lang w:eastAsia="en-US"/>
        </w:rPr>
        <w:lastRenderedPageBreak/>
        <w:t>πιχειρήσεις: (α) το Ταμείο Επιχειρηματικότητας ΙΙ (ΤΕΠΙΧ ΙΙ) και (β) το Ταμείο Επιχειρηματ</w:t>
      </w:r>
      <w:r w:rsidRPr="009441D7">
        <w:rPr>
          <w:sz w:val="22"/>
          <w:szCs w:val="22"/>
          <w:lang w:eastAsia="en-US"/>
        </w:rPr>
        <w:t>ι</w:t>
      </w:r>
      <w:r w:rsidRPr="009441D7">
        <w:rPr>
          <w:sz w:val="22"/>
          <w:szCs w:val="22"/>
          <w:lang w:eastAsia="en-US"/>
        </w:rPr>
        <w:t>κών Συμμετοχών (EQUIFUND). Η συνολική ενίσχυση προς τις μικρομεσαίες επιχειρήσεις μέσω του ΤΕΠΙΧ ΙΙ θα ανέλθει σε 1.000 εκατ. ευρώ με τη συμμετοχή των τραπεζών. Το EQUIFUND θα χρηματοδοτηθεί με 200 εκατ. ευρώ από το ΕΠΑΝΕΚ και επιπλέον κεφάλαια από το Ευρωπ</w:t>
      </w:r>
      <w:r w:rsidRPr="009441D7">
        <w:rPr>
          <w:sz w:val="22"/>
          <w:szCs w:val="22"/>
          <w:lang w:eastAsia="en-US"/>
        </w:rPr>
        <w:t>α</w:t>
      </w:r>
      <w:r w:rsidRPr="009441D7">
        <w:rPr>
          <w:sz w:val="22"/>
          <w:szCs w:val="22"/>
          <w:lang w:eastAsia="en-US"/>
        </w:rPr>
        <w:t>ϊκό Επενδυτικό Ταμείο (EIF) και διεθνή πιστωτικά ιδρύματα και ιδιώτες επενδυτές.</w:t>
      </w:r>
    </w:p>
    <w:p w:rsidR="009441D7" w:rsidRPr="009441D7" w:rsidRDefault="009441D7" w:rsidP="00F54EA6">
      <w:pPr>
        <w:ind w:left="426"/>
        <w:contextualSpacing/>
        <w:jc w:val="both"/>
        <w:rPr>
          <w:sz w:val="22"/>
          <w:szCs w:val="22"/>
          <w:lang w:eastAsia="en-US"/>
        </w:rPr>
      </w:pPr>
    </w:p>
    <w:p w:rsidR="009441D7" w:rsidRPr="009441D7" w:rsidRDefault="009441D7" w:rsidP="00FC2CD9">
      <w:pPr>
        <w:numPr>
          <w:ilvl w:val="0"/>
          <w:numId w:val="30"/>
        </w:numPr>
        <w:ind w:left="425" w:hanging="425"/>
        <w:contextualSpacing/>
        <w:jc w:val="both"/>
        <w:rPr>
          <w:sz w:val="22"/>
          <w:szCs w:val="22"/>
          <w:lang w:eastAsia="en-US"/>
        </w:rPr>
      </w:pPr>
      <w:r w:rsidRPr="009441D7">
        <w:rPr>
          <w:sz w:val="22"/>
          <w:szCs w:val="22"/>
          <w:lang w:eastAsia="en-US"/>
        </w:rPr>
        <w:t>Το ΕΠ «Υποδομές Μεταφορών, Περιβάλλον και Αειφόρος Ανάπτυξη» έχει εξειδικεύσει το 85,32% του προϋπολογισμού του, ήτοι ποσό ύψους 4.430 εκατ. ευρώ και έχει ενεργοποιήσει δράσεις συνολικού προϋπολογισμού 3.750 εκατ. ευρώ.</w:t>
      </w:r>
    </w:p>
    <w:p w:rsidR="009441D7" w:rsidRPr="009441D7" w:rsidRDefault="009441D7" w:rsidP="00F54EA6">
      <w:pPr>
        <w:ind w:left="360"/>
        <w:contextualSpacing/>
        <w:jc w:val="both"/>
        <w:rPr>
          <w:sz w:val="22"/>
          <w:szCs w:val="22"/>
          <w:lang w:eastAsia="en-US"/>
        </w:rPr>
      </w:pPr>
    </w:p>
    <w:p w:rsidR="009441D7" w:rsidRPr="009441D7" w:rsidRDefault="009441D7" w:rsidP="00FC2CD9">
      <w:pPr>
        <w:ind w:left="426"/>
        <w:contextualSpacing/>
        <w:jc w:val="both"/>
        <w:rPr>
          <w:sz w:val="22"/>
          <w:szCs w:val="22"/>
          <w:lang w:eastAsia="en-US"/>
        </w:rPr>
      </w:pPr>
      <w:r w:rsidRPr="009441D7">
        <w:rPr>
          <w:sz w:val="22"/>
          <w:szCs w:val="22"/>
          <w:lang w:eastAsia="en-US"/>
        </w:rPr>
        <w:t>Μεταξύ των δράσεων που έχουν ενεργοποιηθεί είναι: δράσεις προώθησης των καθαρών αστικών και προαστιακών μεταφορών</w:t>
      </w:r>
      <w:r w:rsidR="00081C2B">
        <w:rPr>
          <w:sz w:val="22"/>
          <w:szCs w:val="22"/>
          <w:lang w:eastAsia="en-US"/>
        </w:rPr>
        <w:t>,</w:t>
      </w:r>
      <w:r w:rsidRPr="009441D7">
        <w:rPr>
          <w:sz w:val="22"/>
          <w:szCs w:val="22"/>
          <w:lang w:eastAsia="en-US"/>
        </w:rPr>
        <w:t xml:space="preserve"> προϋπολογισμού ύψους 1.170 εκατ. ευρώ, δράσεις διαχείρισης </w:t>
      </w:r>
      <w:r w:rsidRPr="009441D7">
        <w:rPr>
          <w:sz w:val="22"/>
          <w:szCs w:val="22"/>
          <w:lang w:eastAsia="en-US"/>
        </w:rPr>
        <w:t>α</w:t>
      </w:r>
      <w:r w:rsidRPr="009441D7">
        <w:rPr>
          <w:sz w:val="22"/>
          <w:szCs w:val="22"/>
          <w:lang w:eastAsia="en-US"/>
        </w:rPr>
        <w:t>πορριμμάτων</w:t>
      </w:r>
      <w:r w:rsidR="00081C2B">
        <w:rPr>
          <w:sz w:val="22"/>
          <w:szCs w:val="22"/>
          <w:lang w:eastAsia="en-US"/>
        </w:rPr>
        <w:t>,</w:t>
      </w:r>
      <w:r w:rsidRPr="009441D7">
        <w:rPr>
          <w:sz w:val="22"/>
          <w:szCs w:val="22"/>
          <w:lang w:eastAsia="en-US"/>
        </w:rPr>
        <w:t xml:space="preserve"> προϋπολογισμού ύψους 540 εκατ. ευρώ, δράσεις ολοκλήρωσης των υποδομών συλλογής και επεξεργασίας αστικών λυμάτων</w:t>
      </w:r>
      <w:r w:rsidR="00081C2B">
        <w:rPr>
          <w:sz w:val="22"/>
          <w:szCs w:val="22"/>
          <w:lang w:eastAsia="en-US"/>
        </w:rPr>
        <w:t>,</w:t>
      </w:r>
      <w:r w:rsidRPr="009441D7">
        <w:rPr>
          <w:sz w:val="22"/>
          <w:szCs w:val="22"/>
          <w:lang w:eastAsia="en-US"/>
        </w:rPr>
        <w:t xml:space="preserve"> προϋπολογισμού ύψους 583 εκατ. ευρώ, έργα δι</w:t>
      </w:r>
      <w:r w:rsidRPr="009441D7">
        <w:rPr>
          <w:sz w:val="22"/>
          <w:szCs w:val="22"/>
          <w:lang w:eastAsia="en-US"/>
        </w:rPr>
        <w:t>α</w:t>
      </w:r>
      <w:r w:rsidRPr="009441D7">
        <w:rPr>
          <w:sz w:val="22"/>
          <w:szCs w:val="22"/>
          <w:lang w:eastAsia="en-US"/>
        </w:rPr>
        <w:t>χείρισης υδ</w:t>
      </w:r>
      <w:r w:rsidR="00081C2B">
        <w:rPr>
          <w:sz w:val="22"/>
          <w:szCs w:val="22"/>
          <w:lang w:eastAsia="en-US"/>
        </w:rPr>
        <w:t>άτινων</w:t>
      </w:r>
      <w:r w:rsidRPr="009441D7">
        <w:rPr>
          <w:sz w:val="22"/>
          <w:szCs w:val="22"/>
          <w:lang w:eastAsia="en-US"/>
        </w:rPr>
        <w:t xml:space="preserve"> πόρων προϋπολογισμού ύψους 130 εκατ. ευρώ, περιβαλλοντικές δράσεις που αφορούν έργα τουριστικού/πολιτιστικού ενδιαφέροντος</w:t>
      </w:r>
      <w:r w:rsidR="00081C2B">
        <w:rPr>
          <w:sz w:val="22"/>
          <w:szCs w:val="22"/>
          <w:lang w:eastAsia="en-US"/>
        </w:rPr>
        <w:t>,</w:t>
      </w:r>
      <w:r w:rsidRPr="009441D7">
        <w:rPr>
          <w:sz w:val="22"/>
          <w:szCs w:val="22"/>
          <w:lang w:eastAsia="en-US"/>
        </w:rPr>
        <w:t xml:space="preserve"> προϋπολογισμού ύψους 28 εκατ. ευρώ, κατασκευή/αναβάθμιση αυτοκινητόδρομων στο Διευρωπαϊκό Οδικό Δίκτυο</w:t>
      </w:r>
      <w:r w:rsidR="00081C2B">
        <w:rPr>
          <w:sz w:val="22"/>
          <w:szCs w:val="22"/>
          <w:lang w:eastAsia="en-US"/>
        </w:rPr>
        <w:t>,</w:t>
      </w:r>
      <w:r w:rsidRPr="009441D7">
        <w:rPr>
          <w:sz w:val="22"/>
          <w:szCs w:val="22"/>
          <w:lang w:eastAsia="en-US"/>
        </w:rPr>
        <w:t xml:space="preserve"> προϋπολογισμού ύψους 572 εκατ. ευρώ, σιδηρόδρομοι</w:t>
      </w:r>
      <w:r w:rsidR="00081C2B">
        <w:rPr>
          <w:sz w:val="22"/>
          <w:szCs w:val="22"/>
          <w:lang w:eastAsia="en-US"/>
        </w:rPr>
        <w:t>,</w:t>
      </w:r>
      <w:r w:rsidRPr="009441D7">
        <w:rPr>
          <w:sz w:val="22"/>
          <w:szCs w:val="22"/>
          <w:lang w:eastAsia="en-US"/>
        </w:rPr>
        <w:t xml:space="preserve"> προϋπολογισμού ύψους 355 εκατ. ευρώ, κ.ά. </w:t>
      </w:r>
    </w:p>
    <w:p w:rsidR="009441D7" w:rsidRPr="009441D7" w:rsidRDefault="009441D7" w:rsidP="00F54EA6">
      <w:pPr>
        <w:ind w:left="360"/>
        <w:contextualSpacing/>
        <w:jc w:val="both"/>
        <w:rPr>
          <w:sz w:val="22"/>
          <w:szCs w:val="22"/>
          <w:lang w:eastAsia="en-US"/>
        </w:rPr>
      </w:pPr>
    </w:p>
    <w:p w:rsidR="009441D7" w:rsidRPr="009441D7" w:rsidRDefault="009441D7" w:rsidP="00FC2CD9">
      <w:pPr>
        <w:ind w:left="426"/>
        <w:contextualSpacing/>
        <w:jc w:val="both"/>
        <w:rPr>
          <w:sz w:val="22"/>
          <w:szCs w:val="22"/>
          <w:lang w:eastAsia="en-US"/>
        </w:rPr>
      </w:pPr>
      <w:r w:rsidRPr="009441D7">
        <w:rPr>
          <w:sz w:val="22"/>
          <w:szCs w:val="22"/>
          <w:lang w:eastAsia="en-US"/>
        </w:rPr>
        <w:t>Μέχρι το τέλος του έτους η ενεργοποίηση αναμένεται να ανέλθει στο ποσό των 3.900 εκατ. ε</w:t>
      </w:r>
      <w:r w:rsidRPr="009441D7">
        <w:rPr>
          <w:sz w:val="22"/>
          <w:szCs w:val="22"/>
          <w:lang w:eastAsia="en-US"/>
        </w:rPr>
        <w:t>υ</w:t>
      </w:r>
      <w:r w:rsidRPr="009441D7">
        <w:rPr>
          <w:sz w:val="22"/>
          <w:szCs w:val="22"/>
          <w:lang w:eastAsia="en-US"/>
        </w:rPr>
        <w:t>ρώ.</w:t>
      </w:r>
    </w:p>
    <w:p w:rsidR="009441D7" w:rsidRPr="009441D7" w:rsidRDefault="009441D7" w:rsidP="00F54EA6">
      <w:pPr>
        <w:ind w:left="360"/>
        <w:contextualSpacing/>
        <w:jc w:val="both"/>
        <w:rPr>
          <w:sz w:val="22"/>
          <w:szCs w:val="22"/>
          <w:lang w:eastAsia="en-US"/>
        </w:rPr>
      </w:pPr>
    </w:p>
    <w:p w:rsidR="009441D7" w:rsidRPr="009441D7" w:rsidRDefault="009441D7" w:rsidP="00FC2CD9">
      <w:pPr>
        <w:numPr>
          <w:ilvl w:val="0"/>
          <w:numId w:val="31"/>
        </w:numPr>
        <w:ind w:left="425" w:hanging="425"/>
        <w:contextualSpacing/>
        <w:jc w:val="both"/>
        <w:rPr>
          <w:sz w:val="22"/>
          <w:szCs w:val="22"/>
          <w:lang w:eastAsia="en-US"/>
        </w:rPr>
      </w:pPr>
      <w:r w:rsidRPr="009441D7">
        <w:rPr>
          <w:sz w:val="22"/>
          <w:szCs w:val="22"/>
          <w:lang w:eastAsia="en-US"/>
        </w:rPr>
        <w:t>Το ΕΠ «Ανάπτυξη Ανθρώπινου Δυναμικού, Εκπαίδευση και Δια Βίου Μάθηση», με συγχρημ</w:t>
      </w:r>
      <w:r w:rsidRPr="009441D7">
        <w:rPr>
          <w:sz w:val="22"/>
          <w:szCs w:val="22"/>
          <w:lang w:eastAsia="en-US"/>
        </w:rPr>
        <w:t>α</w:t>
      </w:r>
      <w:r w:rsidRPr="009441D7">
        <w:rPr>
          <w:sz w:val="22"/>
          <w:szCs w:val="22"/>
          <w:lang w:eastAsia="en-US"/>
        </w:rPr>
        <w:t>τοδότηση του ΕΚΤ και της Πρωτοβουλίας για την Απασχόληση των Νέων, περιλαμβάνει παρε</w:t>
      </w:r>
      <w:r w:rsidRPr="009441D7">
        <w:rPr>
          <w:sz w:val="22"/>
          <w:szCs w:val="22"/>
          <w:lang w:eastAsia="en-US"/>
        </w:rPr>
        <w:t>μ</w:t>
      </w:r>
      <w:r w:rsidRPr="009441D7">
        <w:rPr>
          <w:sz w:val="22"/>
          <w:szCs w:val="22"/>
          <w:lang w:eastAsia="en-US"/>
        </w:rPr>
        <w:t>βάσεις που αφορούν στην ανάπτυξη και την αξιοποίηση ικανοτήτων του ανθρώπινου δυναμικού και στην ενεργό κοινωνική ενσωμάτωση.</w:t>
      </w:r>
    </w:p>
    <w:p w:rsidR="009441D7" w:rsidRPr="009441D7" w:rsidRDefault="009441D7" w:rsidP="00FC2CD9">
      <w:pPr>
        <w:ind w:left="426"/>
        <w:contextualSpacing/>
        <w:jc w:val="both"/>
        <w:rPr>
          <w:sz w:val="22"/>
          <w:szCs w:val="22"/>
          <w:lang w:eastAsia="en-US"/>
        </w:rPr>
      </w:pPr>
      <w:r w:rsidRPr="009441D7">
        <w:rPr>
          <w:sz w:val="22"/>
          <w:szCs w:val="22"/>
          <w:lang w:eastAsia="en-US"/>
        </w:rPr>
        <w:t>Το ΕΠ έχει εξειδικεύσει το 85% του προϋπολογισμού του που αντιστοιχεί σε 2.280 εκατ. ευρώ και αφορά σε δράσεις καταπολέμησης της ανεργίας, στήριξης της κοινωνικής οικονομίας, ενα</w:t>
      </w:r>
      <w:r w:rsidRPr="009441D7">
        <w:rPr>
          <w:sz w:val="22"/>
          <w:szCs w:val="22"/>
          <w:lang w:eastAsia="en-US"/>
        </w:rPr>
        <w:t>ρ</w:t>
      </w:r>
      <w:r w:rsidRPr="009441D7">
        <w:rPr>
          <w:sz w:val="22"/>
          <w:szCs w:val="22"/>
          <w:lang w:eastAsia="en-US"/>
        </w:rPr>
        <w:t>μόνισης οικογενειακής και επαγγελματικής ζωής, στήριξης των νέων επιστημόνων, απόκτησης ακαδημαϊκής διδακτικής εμπειρίας, πρακτικής άσκησης φοιτητών, μαθητείας για αποφοίτους ΕΠΑΛ, πρακτικής άσκησης των ΕΠΑΣ μαθητείας του ΟΑΕΔ, στήριξη του σχολείου για την κ</w:t>
      </w:r>
      <w:r w:rsidRPr="009441D7">
        <w:rPr>
          <w:sz w:val="22"/>
          <w:szCs w:val="22"/>
          <w:lang w:eastAsia="en-US"/>
        </w:rPr>
        <w:t>α</w:t>
      </w:r>
      <w:r w:rsidRPr="009441D7">
        <w:rPr>
          <w:sz w:val="22"/>
          <w:szCs w:val="22"/>
          <w:lang w:eastAsia="en-US"/>
        </w:rPr>
        <w:t>ταπολέμηση της σχολικής διαρροής, δια βίου μάθησης και επαγγελματικής εκπαίδευσης.</w:t>
      </w:r>
    </w:p>
    <w:p w:rsidR="009441D7" w:rsidRPr="009441D7" w:rsidRDefault="009441D7" w:rsidP="00FC2CD9">
      <w:pPr>
        <w:ind w:left="426"/>
        <w:contextualSpacing/>
        <w:jc w:val="both"/>
        <w:rPr>
          <w:sz w:val="22"/>
          <w:szCs w:val="22"/>
          <w:lang w:eastAsia="en-US"/>
        </w:rPr>
      </w:pPr>
      <w:r w:rsidRPr="009441D7">
        <w:rPr>
          <w:sz w:val="22"/>
          <w:szCs w:val="22"/>
          <w:lang w:eastAsia="en-US"/>
        </w:rPr>
        <w:t xml:space="preserve">Έχουν δημοσιευτεί προσκλήσεις συνολικού ύψους 1.770 εκατ. ευρώ, έχουν ενταχθεί πράξεις 1.510 εκατ. ευρώ και έχουν αναληφθεί νομικές δεσμεύσεις ύψους 1.100 εκατ. ευρώ. </w:t>
      </w:r>
    </w:p>
    <w:p w:rsidR="009441D7" w:rsidRPr="009441D7" w:rsidRDefault="009441D7" w:rsidP="00F54EA6">
      <w:pPr>
        <w:ind w:left="360"/>
        <w:contextualSpacing/>
        <w:jc w:val="both"/>
        <w:rPr>
          <w:sz w:val="22"/>
          <w:szCs w:val="22"/>
          <w:lang w:eastAsia="en-US"/>
        </w:rPr>
      </w:pPr>
    </w:p>
    <w:p w:rsidR="009441D7" w:rsidRPr="009441D7" w:rsidRDefault="009441D7" w:rsidP="00FC2CD9">
      <w:pPr>
        <w:numPr>
          <w:ilvl w:val="0"/>
          <w:numId w:val="31"/>
        </w:numPr>
        <w:ind w:left="425" w:hanging="425"/>
        <w:contextualSpacing/>
        <w:jc w:val="both"/>
        <w:rPr>
          <w:sz w:val="22"/>
          <w:szCs w:val="22"/>
          <w:lang w:eastAsia="en-US"/>
        </w:rPr>
      </w:pPr>
      <w:r w:rsidRPr="009441D7">
        <w:rPr>
          <w:sz w:val="22"/>
          <w:szCs w:val="22"/>
          <w:lang w:eastAsia="en-US"/>
        </w:rPr>
        <w:t>Το ΕΠ «Μεταρρύθμιση Δημόσιου Τομέα», έχει σαν στόχο να ενισχύσει την οργανωτική, θεσμ</w:t>
      </w:r>
      <w:r w:rsidRPr="009441D7">
        <w:rPr>
          <w:sz w:val="22"/>
          <w:szCs w:val="22"/>
          <w:lang w:eastAsia="en-US"/>
        </w:rPr>
        <w:t>ι</w:t>
      </w:r>
      <w:r w:rsidRPr="009441D7">
        <w:rPr>
          <w:sz w:val="22"/>
          <w:szCs w:val="22"/>
          <w:lang w:eastAsia="en-US"/>
        </w:rPr>
        <w:t>κή και επιχειρησιακή ικανότητα της δημόσιας διοίκησης και της τοπικής αυτοδιοίκησης, να πρ</w:t>
      </w:r>
      <w:r w:rsidRPr="009441D7">
        <w:rPr>
          <w:sz w:val="22"/>
          <w:szCs w:val="22"/>
          <w:lang w:eastAsia="en-US"/>
        </w:rPr>
        <w:t>ο</w:t>
      </w:r>
      <w:r w:rsidRPr="009441D7">
        <w:rPr>
          <w:sz w:val="22"/>
          <w:szCs w:val="22"/>
          <w:lang w:eastAsia="en-US"/>
        </w:rPr>
        <w:t xml:space="preserve">ωθήσει την ηλεκτρονική διακυβέρνηση στον Δημόσιο Τομέα και να </w:t>
      </w:r>
      <w:r w:rsidR="00A931F0">
        <w:rPr>
          <w:sz w:val="22"/>
          <w:szCs w:val="22"/>
          <w:lang w:eastAsia="en-US"/>
        </w:rPr>
        <w:t>υποστηρίξει την ανάπτυξη</w:t>
      </w:r>
      <w:r w:rsidRPr="009441D7">
        <w:rPr>
          <w:sz w:val="22"/>
          <w:szCs w:val="22"/>
          <w:lang w:eastAsia="en-US"/>
        </w:rPr>
        <w:t xml:space="preserve"> το</w:t>
      </w:r>
      <w:r w:rsidR="00A931F0">
        <w:rPr>
          <w:sz w:val="22"/>
          <w:szCs w:val="22"/>
          <w:lang w:eastAsia="en-US"/>
        </w:rPr>
        <w:t>υ</w:t>
      </w:r>
      <w:r w:rsidRPr="009441D7">
        <w:rPr>
          <w:sz w:val="22"/>
          <w:szCs w:val="22"/>
          <w:lang w:eastAsia="en-US"/>
        </w:rPr>
        <w:t xml:space="preserve"> ανθρώπινο</w:t>
      </w:r>
      <w:r w:rsidR="00A931F0">
        <w:rPr>
          <w:sz w:val="22"/>
          <w:szCs w:val="22"/>
          <w:lang w:eastAsia="en-US"/>
        </w:rPr>
        <w:t>υ</w:t>
      </w:r>
      <w:r w:rsidRPr="009441D7">
        <w:rPr>
          <w:sz w:val="22"/>
          <w:szCs w:val="22"/>
          <w:lang w:eastAsia="en-US"/>
        </w:rPr>
        <w:t xml:space="preserve"> δυναμικ</w:t>
      </w:r>
      <w:r w:rsidR="00A931F0">
        <w:rPr>
          <w:sz w:val="22"/>
          <w:szCs w:val="22"/>
          <w:lang w:eastAsia="en-US"/>
        </w:rPr>
        <w:t>ού</w:t>
      </w:r>
      <w:r w:rsidRPr="009441D7">
        <w:rPr>
          <w:sz w:val="22"/>
          <w:szCs w:val="22"/>
          <w:lang w:eastAsia="en-US"/>
        </w:rPr>
        <w:t xml:space="preserve"> του.</w:t>
      </w:r>
    </w:p>
    <w:p w:rsidR="009441D7" w:rsidRPr="009441D7" w:rsidRDefault="009441D7" w:rsidP="00FC2CD9">
      <w:pPr>
        <w:ind w:left="426"/>
        <w:contextualSpacing/>
        <w:jc w:val="both"/>
        <w:rPr>
          <w:sz w:val="22"/>
          <w:szCs w:val="22"/>
          <w:lang w:eastAsia="en-US"/>
        </w:rPr>
      </w:pPr>
      <w:r w:rsidRPr="009441D7">
        <w:rPr>
          <w:sz w:val="22"/>
          <w:szCs w:val="22"/>
          <w:lang w:eastAsia="en-US"/>
        </w:rPr>
        <w:t>Έχουν ενεργοποιηθεί δράσεις συνολικού προϋπολογισμού 284 εκατ. ευρώ, οι οποίες αφορούν σε δράσεις για τη στήριξη της μεταρρύθμισης του ασφαλιστικού συστήματος, τη στήριξη της πολ</w:t>
      </w:r>
      <w:r w:rsidRPr="009441D7">
        <w:rPr>
          <w:sz w:val="22"/>
          <w:szCs w:val="22"/>
          <w:lang w:eastAsia="en-US"/>
        </w:rPr>
        <w:t>ι</w:t>
      </w:r>
      <w:r w:rsidRPr="009441D7">
        <w:rPr>
          <w:sz w:val="22"/>
          <w:szCs w:val="22"/>
          <w:lang w:eastAsia="en-US"/>
        </w:rPr>
        <w:t>τικής για την αντιμετώπιση του προβλήματος των κόκκινων δανείων, τη στήριξη της μεταρρύ</w:t>
      </w:r>
      <w:r w:rsidRPr="009441D7">
        <w:rPr>
          <w:sz w:val="22"/>
          <w:szCs w:val="22"/>
          <w:lang w:eastAsia="en-US"/>
        </w:rPr>
        <w:t>θ</w:t>
      </w:r>
      <w:r w:rsidRPr="009441D7">
        <w:rPr>
          <w:sz w:val="22"/>
          <w:szCs w:val="22"/>
          <w:lang w:eastAsia="en-US"/>
        </w:rPr>
        <w:t>μισης στο χώρο της Υγείας με έμφαση στην Πρωτοβάθμια Υγεία, τη στήριξη των επιτελικών λε</w:t>
      </w:r>
      <w:r w:rsidRPr="009441D7">
        <w:rPr>
          <w:sz w:val="22"/>
          <w:szCs w:val="22"/>
          <w:lang w:eastAsia="en-US"/>
        </w:rPr>
        <w:t>ι</w:t>
      </w:r>
      <w:r w:rsidRPr="009441D7">
        <w:rPr>
          <w:sz w:val="22"/>
          <w:szCs w:val="22"/>
          <w:lang w:eastAsia="en-US"/>
        </w:rPr>
        <w:t>τουργιών της Δημόσιας Διοίκησης και τη στήριξη της μεταρρύθμισης στην Τοπική Αυτοδιοίκ</w:t>
      </w:r>
      <w:r w:rsidRPr="009441D7">
        <w:rPr>
          <w:sz w:val="22"/>
          <w:szCs w:val="22"/>
          <w:lang w:eastAsia="en-US"/>
        </w:rPr>
        <w:t>η</w:t>
      </w:r>
      <w:r w:rsidRPr="009441D7">
        <w:rPr>
          <w:sz w:val="22"/>
          <w:szCs w:val="22"/>
          <w:lang w:eastAsia="en-US"/>
        </w:rPr>
        <w:t>ση.</w:t>
      </w:r>
    </w:p>
    <w:p w:rsidR="009441D7" w:rsidRPr="009441D7" w:rsidRDefault="009441D7" w:rsidP="00FC2CD9">
      <w:pPr>
        <w:ind w:left="426"/>
        <w:contextualSpacing/>
        <w:jc w:val="both"/>
        <w:rPr>
          <w:sz w:val="22"/>
          <w:szCs w:val="22"/>
          <w:lang w:eastAsia="en-US"/>
        </w:rPr>
      </w:pPr>
      <w:r w:rsidRPr="009441D7">
        <w:rPr>
          <w:sz w:val="22"/>
          <w:szCs w:val="22"/>
          <w:lang w:eastAsia="en-US"/>
        </w:rPr>
        <w:t>Μέχρι σήμερα έχουν ενταχθεί πράξεις προϋπολογισμού ύψους 199 εκατ. ευρώ και έχουν αν</w:t>
      </w:r>
      <w:r w:rsidRPr="009441D7">
        <w:rPr>
          <w:sz w:val="22"/>
          <w:szCs w:val="22"/>
          <w:lang w:eastAsia="en-US"/>
        </w:rPr>
        <w:t>α</w:t>
      </w:r>
      <w:r w:rsidRPr="009441D7">
        <w:rPr>
          <w:sz w:val="22"/>
          <w:szCs w:val="22"/>
          <w:lang w:eastAsia="en-US"/>
        </w:rPr>
        <w:t>ληφθεί νομικές δεσμεύσεις προϋπολογισμού ύψους 136 εκατ. ευρώ.</w:t>
      </w:r>
    </w:p>
    <w:p w:rsidR="009441D7" w:rsidRPr="009441D7" w:rsidRDefault="009441D7" w:rsidP="009441D7">
      <w:pPr>
        <w:ind w:left="360"/>
        <w:contextualSpacing/>
        <w:mirrorIndents/>
        <w:jc w:val="both"/>
        <w:rPr>
          <w:sz w:val="22"/>
          <w:szCs w:val="22"/>
          <w:lang w:eastAsia="en-US"/>
        </w:rPr>
      </w:pPr>
    </w:p>
    <w:p w:rsidR="009441D7" w:rsidRPr="009441D7" w:rsidRDefault="009441D7" w:rsidP="00FC2CD9">
      <w:pPr>
        <w:numPr>
          <w:ilvl w:val="0"/>
          <w:numId w:val="31"/>
        </w:numPr>
        <w:ind w:left="425" w:hanging="425"/>
        <w:contextualSpacing/>
        <w:jc w:val="both"/>
        <w:rPr>
          <w:sz w:val="22"/>
          <w:szCs w:val="22"/>
          <w:lang w:eastAsia="en-US"/>
        </w:rPr>
      </w:pPr>
      <w:r w:rsidRPr="009441D7">
        <w:rPr>
          <w:sz w:val="22"/>
          <w:szCs w:val="22"/>
          <w:lang w:eastAsia="en-US"/>
        </w:rPr>
        <w:t>ΕΠ Αγροτικής Ανάπτυξης</w:t>
      </w:r>
      <w:r w:rsidR="008E571C">
        <w:rPr>
          <w:sz w:val="22"/>
          <w:szCs w:val="22"/>
          <w:lang w:eastAsia="en-US"/>
        </w:rPr>
        <w:t>-</w:t>
      </w:r>
      <w:r w:rsidRPr="009441D7">
        <w:rPr>
          <w:sz w:val="22"/>
          <w:szCs w:val="22"/>
          <w:lang w:eastAsia="en-US"/>
        </w:rPr>
        <w:t xml:space="preserve">ΕΠ Αλιείας και Θάλασσας: Τα προγράμματα </w:t>
      </w:r>
      <w:r w:rsidR="008E571C">
        <w:rPr>
          <w:sz w:val="22"/>
          <w:szCs w:val="22"/>
          <w:lang w:eastAsia="en-US"/>
        </w:rPr>
        <w:t xml:space="preserve">αυτά </w:t>
      </w:r>
      <w:r w:rsidRPr="009441D7">
        <w:rPr>
          <w:sz w:val="22"/>
          <w:szCs w:val="22"/>
          <w:lang w:eastAsia="en-US"/>
        </w:rPr>
        <w:t>στοχεύουν στη μ</w:t>
      </w:r>
      <w:r w:rsidRPr="009441D7">
        <w:rPr>
          <w:sz w:val="22"/>
          <w:szCs w:val="22"/>
          <w:lang w:eastAsia="en-US"/>
        </w:rPr>
        <w:t>ε</w:t>
      </w:r>
      <w:r w:rsidRPr="009441D7">
        <w:rPr>
          <w:sz w:val="22"/>
          <w:szCs w:val="22"/>
          <w:lang w:eastAsia="en-US"/>
        </w:rPr>
        <w:t>τάβαση σε ένα ισχυρό αγροδιατροφικό σύστημα, στην αύξηση της προστιθέμενης αξίας στην π</w:t>
      </w:r>
      <w:r w:rsidRPr="009441D7">
        <w:rPr>
          <w:sz w:val="22"/>
          <w:szCs w:val="22"/>
          <w:lang w:eastAsia="en-US"/>
        </w:rPr>
        <w:t>α</w:t>
      </w:r>
      <w:r w:rsidRPr="009441D7">
        <w:rPr>
          <w:sz w:val="22"/>
          <w:szCs w:val="22"/>
          <w:lang w:eastAsia="en-US"/>
        </w:rPr>
        <w:t xml:space="preserve">ραγωγή και τη μεταποίηση για τη δημιουργία ποιοτικών προϊόντων και στην ολοκληρωμένη </w:t>
      </w:r>
      <w:r w:rsidRPr="009441D7">
        <w:rPr>
          <w:sz w:val="22"/>
          <w:szCs w:val="22"/>
          <w:lang w:eastAsia="en-US"/>
        </w:rPr>
        <w:t>α</w:t>
      </w:r>
      <w:r w:rsidRPr="009441D7">
        <w:rPr>
          <w:sz w:val="22"/>
          <w:szCs w:val="22"/>
          <w:lang w:eastAsia="en-US"/>
        </w:rPr>
        <w:t xml:space="preserve">νάπτυξη του αγροτικού χώρου. </w:t>
      </w:r>
      <w:r w:rsidR="008E571C">
        <w:rPr>
          <w:sz w:val="22"/>
          <w:szCs w:val="22"/>
          <w:lang w:eastAsia="en-US"/>
        </w:rPr>
        <w:t>Ο προϋπολογισμός για τ</w:t>
      </w:r>
      <w:r w:rsidRPr="009441D7">
        <w:rPr>
          <w:sz w:val="22"/>
          <w:szCs w:val="22"/>
          <w:lang w:eastAsia="en-US"/>
        </w:rPr>
        <w:t xml:space="preserve">ο πρόγραμμα της Αγροτικής Ανάπτυξης (ΠΑΑ) </w:t>
      </w:r>
      <w:r w:rsidR="008E571C">
        <w:rPr>
          <w:sz w:val="22"/>
          <w:szCs w:val="22"/>
          <w:lang w:eastAsia="en-US"/>
        </w:rPr>
        <w:t>προβλέπει πόρους ύψους</w:t>
      </w:r>
      <w:r w:rsidRPr="009441D7">
        <w:rPr>
          <w:sz w:val="22"/>
          <w:szCs w:val="22"/>
          <w:lang w:eastAsia="en-US"/>
        </w:rPr>
        <w:t xml:space="preserve"> 5.600 εκατ. ευρώ και </w:t>
      </w:r>
      <w:r w:rsidR="008E571C">
        <w:rPr>
          <w:sz w:val="22"/>
          <w:szCs w:val="22"/>
          <w:lang w:eastAsia="en-US"/>
        </w:rPr>
        <w:t xml:space="preserve">για </w:t>
      </w:r>
      <w:r w:rsidRPr="009441D7">
        <w:rPr>
          <w:sz w:val="22"/>
          <w:szCs w:val="22"/>
          <w:lang w:eastAsia="en-US"/>
        </w:rPr>
        <w:t xml:space="preserve">το πρόγραμμα </w:t>
      </w:r>
      <w:r w:rsidR="008E571C" w:rsidRPr="009441D7">
        <w:rPr>
          <w:sz w:val="22"/>
          <w:szCs w:val="22"/>
          <w:lang w:eastAsia="en-US"/>
        </w:rPr>
        <w:t xml:space="preserve">Αλιεία </w:t>
      </w:r>
      <w:r w:rsidR="008E571C">
        <w:rPr>
          <w:sz w:val="22"/>
          <w:szCs w:val="22"/>
          <w:lang w:eastAsia="en-US"/>
        </w:rPr>
        <w:t xml:space="preserve">και </w:t>
      </w:r>
      <w:r w:rsidRPr="009441D7">
        <w:rPr>
          <w:sz w:val="22"/>
          <w:szCs w:val="22"/>
          <w:lang w:eastAsia="en-US"/>
        </w:rPr>
        <w:t>Θάλασσα (ΕΠΑΛΘ) 523 εκατ. ευρώ.</w:t>
      </w:r>
    </w:p>
    <w:p w:rsidR="009441D7" w:rsidRPr="009441D7" w:rsidRDefault="009441D7" w:rsidP="009441D7">
      <w:pPr>
        <w:ind w:left="360"/>
        <w:contextualSpacing/>
        <w:mirrorIndents/>
        <w:jc w:val="both"/>
        <w:rPr>
          <w:sz w:val="22"/>
          <w:szCs w:val="22"/>
          <w:lang w:eastAsia="en-US"/>
        </w:rPr>
      </w:pPr>
    </w:p>
    <w:p w:rsidR="009441D7" w:rsidRDefault="009441D7" w:rsidP="00FC2CD9">
      <w:pPr>
        <w:ind w:left="426"/>
        <w:contextualSpacing/>
        <w:jc w:val="both"/>
        <w:rPr>
          <w:sz w:val="22"/>
          <w:szCs w:val="22"/>
          <w:lang w:eastAsia="en-US"/>
        </w:rPr>
      </w:pPr>
      <w:r w:rsidRPr="009441D7">
        <w:rPr>
          <w:sz w:val="22"/>
          <w:szCs w:val="22"/>
          <w:lang w:eastAsia="en-US"/>
        </w:rPr>
        <w:lastRenderedPageBreak/>
        <w:t>Συνολικά για το ΠΑΑ, έχουν εκδοθεί προσκλήσεις για τις παρακάτω δράσεις/μέτρα:</w:t>
      </w:r>
    </w:p>
    <w:p w:rsidR="00FC2CD9" w:rsidRPr="009441D7" w:rsidRDefault="00FC2CD9" w:rsidP="00FC2CD9">
      <w:pPr>
        <w:ind w:left="426"/>
        <w:contextualSpacing/>
        <w:jc w:val="both"/>
        <w:rPr>
          <w:sz w:val="22"/>
          <w:szCs w:val="22"/>
          <w:lang w:eastAsia="en-US"/>
        </w:rPr>
      </w:pPr>
    </w:p>
    <w:p w:rsidR="009441D7" w:rsidRPr="009441D7" w:rsidRDefault="008E571C" w:rsidP="00FC2CD9">
      <w:pPr>
        <w:ind w:left="426"/>
        <w:contextualSpacing/>
        <w:jc w:val="both"/>
        <w:rPr>
          <w:sz w:val="22"/>
          <w:szCs w:val="22"/>
          <w:lang w:eastAsia="en-US"/>
        </w:rPr>
      </w:pPr>
      <w:r>
        <w:rPr>
          <w:sz w:val="22"/>
          <w:szCs w:val="22"/>
          <w:lang w:eastAsia="en-US"/>
        </w:rPr>
        <w:t>Κατάρτιση και ανάπτυξη δεξιοτήτων για νέους γεωργούς και μικρές γεωργικές ε</w:t>
      </w:r>
      <w:r w:rsidR="006676BE">
        <w:rPr>
          <w:sz w:val="22"/>
          <w:szCs w:val="22"/>
          <w:lang w:eastAsia="en-US"/>
        </w:rPr>
        <w:t>κμεταλλεύσεις (10</w:t>
      </w:r>
      <w:r w:rsidR="009441D7" w:rsidRPr="009441D7">
        <w:rPr>
          <w:sz w:val="22"/>
          <w:szCs w:val="22"/>
          <w:lang w:eastAsia="en-US"/>
        </w:rPr>
        <w:t xml:space="preserve"> εκατ. ευρώ), γενετικοί πόροι στην κτηνοτροφία (17 εκατ. ευρώ), βιολογικές καλλιέργειες (443 εκατ. ευρώ), </w:t>
      </w:r>
      <w:r>
        <w:rPr>
          <w:sz w:val="22"/>
          <w:szCs w:val="22"/>
          <w:lang w:eastAsia="en-US"/>
        </w:rPr>
        <w:t>νέοι</w:t>
      </w:r>
      <w:r w:rsidR="009441D7" w:rsidRPr="009441D7">
        <w:rPr>
          <w:sz w:val="22"/>
          <w:szCs w:val="22"/>
          <w:lang w:eastAsia="en-US"/>
        </w:rPr>
        <w:t xml:space="preserve"> γεωργ</w:t>
      </w:r>
      <w:r>
        <w:rPr>
          <w:sz w:val="22"/>
          <w:szCs w:val="22"/>
          <w:lang w:eastAsia="en-US"/>
        </w:rPr>
        <w:t>οί</w:t>
      </w:r>
      <w:r w:rsidR="009441D7" w:rsidRPr="009441D7">
        <w:rPr>
          <w:sz w:val="22"/>
          <w:szCs w:val="22"/>
          <w:lang w:eastAsia="en-US"/>
        </w:rPr>
        <w:t xml:space="preserve"> (241 εκατ. ευρώ), προετοιμασία στρατηγικής της τοπικής αν</w:t>
      </w:r>
      <w:r w:rsidR="009441D7" w:rsidRPr="009441D7">
        <w:rPr>
          <w:sz w:val="22"/>
          <w:szCs w:val="22"/>
          <w:lang w:eastAsia="en-US"/>
        </w:rPr>
        <w:t>ά</w:t>
      </w:r>
      <w:r w:rsidR="009441D7" w:rsidRPr="009441D7">
        <w:rPr>
          <w:sz w:val="22"/>
          <w:szCs w:val="22"/>
          <w:lang w:eastAsia="en-US"/>
        </w:rPr>
        <w:t>πτυξης Leader (326 εκατ. ευρώ), για το οποίο έχει ολοκληρωθεί η αξιολόγηση των τοπικών πρ</w:t>
      </w:r>
      <w:r w:rsidR="009441D7" w:rsidRPr="009441D7">
        <w:rPr>
          <w:sz w:val="22"/>
          <w:szCs w:val="22"/>
          <w:lang w:eastAsia="en-US"/>
        </w:rPr>
        <w:t>ο</w:t>
      </w:r>
      <w:r w:rsidR="009441D7" w:rsidRPr="009441D7">
        <w:rPr>
          <w:sz w:val="22"/>
          <w:szCs w:val="22"/>
          <w:lang w:eastAsia="en-US"/>
        </w:rPr>
        <w:t>γραμμ</w:t>
      </w:r>
      <w:r>
        <w:rPr>
          <w:sz w:val="22"/>
          <w:szCs w:val="22"/>
          <w:lang w:eastAsia="en-US"/>
        </w:rPr>
        <w:t>άτων και η κατανομή πόρων στις ομάδες τοπικής δ</w:t>
      </w:r>
      <w:r w:rsidR="009441D7" w:rsidRPr="009441D7">
        <w:rPr>
          <w:sz w:val="22"/>
          <w:szCs w:val="22"/>
          <w:lang w:eastAsia="en-US"/>
        </w:rPr>
        <w:t xml:space="preserve">ράσης, εξισωτική αποζημίωση (486 </w:t>
      </w:r>
      <w:r w:rsidR="009441D7" w:rsidRPr="009441D7">
        <w:rPr>
          <w:sz w:val="22"/>
          <w:szCs w:val="22"/>
          <w:lang w:eastAsia="en-US"/>
        </w:rPr>
        <w:t>ε</w:t>
      </w:r>
      <w:r w:rsidR="009441D7" w:rsidRPr="009441D7">
        <w:rPr>
          <w:sz w:val="22"/>
          <w:szCs w:val="22"/>
          <w:lang w:eastAsia="en-US"/>
        </w:rPr>
        <w:t>κατ. ευρώ για τα έτη 2016 και 2017), μεταποίηση, εμπορία ή/και ανάπτυξη των γεωργικών πρ</w:t>
      </w:r>
      <w:r w:rsidR="009441D7" w:rsidRPr="009441D7">
        <w:rPr>
          <w:sz w:val="22"/>
          <w:szCs w:val="22"/>
          <w:lang w:eastAsia="en-US"/>
        </w:rPr>
        <w:t>ο</w:t>
      </w:r>
      <w:r w:rsidR="009441D7" w:rsidRPr="009441D7">
        <w:rPr>
          <w:sz w:val="22"/>
          <w:szCs w:val="22"/>
          <w:lang w:eastAsia="en-US"/>
        </w:rPr>
        <w:t>ϊόντων (150 εκατ. ευρώ), βελτίωση πρόσβασης σε γεωργική γη και κτηνοτροφικές εκμετ</w:t>
      </w:r>
      <w:r>
        <w:rPr>
          <w:sz w:val="22"/>
          <w:szCs w:val="22"/>
          <w:lang w:eastAsia="en-US"/>
        </w:rPr>
        <w:t>αλλε</w:t>
      </w:r>
      <w:r>
        <w:rPr>
          <w:sz w:val="22"/>
          <w:szCs w:val="22"/>
          <w:lang w:eastAsia="en-US"/>
        </w:rPr>
        <w:t>ύ</w:t>
      </w:r>
      <w:r>
        <w:rPr>
          <w:sz w:val="22"/>
          <w:szCs w:val="22"/>
          <w:lang w:eastAsia="en-US"/>
        </w:rPr>
        <w:t>σεις από τις Περιφέρειες της χ</w:t>
      </w:r>
      <w:r w:rsidR="006676BE">
        <w:rPr>
          <w:sz w:val="22"/>
          <w:szCs w:val="22"/>
          <w:lang w:eastAsia="en-US"/>
        </w:rPr>
        <w:t>ώρας (39</w:t>
      </w:r>
      <w:r w:rsidR="009441D7" w:rsidRPr="009441D7">
        <w:rPr>
          <w:sz w:val="22"/>
          <w:szCs w:val="22"/>
          <w:lang w:eastAsia="en-US"/>
        </w:rPr>
        <w:t xml:space="preserve"> εκατ. ευρώ) κ.α.</w:t>
      </w:r>
    </w:p>
    <w:p w:rsidR="009441D7" w:rsidRPr="009441D7" w:rsidRDefault="009441D7" w:rsidP="009441D7">
      <w:pPr>
        <w:ind w:left="360"/>
        <w:contextualSpacing/>
        <w:mirrorIndents/>
        <w:jc w:val="both"/>
        <w:rPr>
          <w:sz w:val="22"/>
          <w:szCs w:val="22"/>
          <w:lang w:eastAsia="en-US"/>
        </w:rPr>
      </w:pPr>
    </w:p>
    <w:p w:rsidR="009441D7" w:rsidRPr="009441D7" w:rsidRDefault="009441D7" w:rsidP="009441D7">
      <w:pPr>
        <w:ind w:left="426"/>
        <w:contextualSpacing/>
        <w:jc w:val="both"/>
        <w:rPr>
          <w:sz w:val="22"/>
          <w:szCs w:val="22"/>
          <w:lang w:eastAsia="en-US"/>
        </w:rPr>
      </w:pPr>
      <w:r w:rsidRPr="009441D7">
        <w:rPr>
          <w:sz w:val="22"/>
          <w:szCs w:val="22"/>
          <w:lang w:eastAsia="en-US"/>
        </w:rPr>
        <w:t>Το επόμενο διάστημα, βασικό στόχο για το ΠΑΑ αποτελεί η ενεργοποίηση των παρακάτω δρ</w:t>
      </w:r>
      <w:r w:rsidRPr="009441D7">
        <w:rPr>
          <w:sz w:val="22"/>
          <w:szCs w:val="22"/>
          <w:lang w:eastAsia="en-US"/>
        </w:rPr>
        <w:t>ά</w:t>
      </w:r>
      <w:r w:rsidRPr="009441D7">
        <w:rPr>
          <w:sz w:val="22"/>
          <w:szCs w:val="22"/>
          <w:lang w:eastAsia="en-US"/>
        </w:rPr>
        <w:t>σεων/μέτρων:</w:t>
      </w:r>
    </w:p>
    <w:p w:rsidR="009441D7" w:rsidRPr="009441D7" w:rsidRDefault="009441D7" w:rsidP="009441D7">
      <w:pPr>
        <w:ind w:left="426"/>
        <w:contextualSpacing/>
        <w:mirrorIndents/>
        <w:jc w:val="both"/>
        <w:rPr>
          <w:sz w:val="22"/>
          <w:szCs w:val="22"/>
          <w:lang w:eastAsia="en-US"/>
        </w:rPr>
      </w:pPr>
    </w:p>
    <w:p w:rsidR="009441D7" w:rsidRPr="009441D7" w:rsidRDefault="00FC2CD9" w:rsidP="00FC2CD9">
      <w:pPr>
        <w:ind w:left="720" w:hanging="294"/>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ομάδες παραγωγών, για την κάλυψη λειτουργικών δαπανών συλλογικών σχημάτων που σ</w:t>
      </w:r>
      <w:r w:rsidR="009441D7" w:rsidRPr="009441D7">
        <w:rPr>
          <w:sz w:val="22"/>
          <w:szCs w:val="22"/>
          <w:lang w:eastAsia="en-US"/>
        </w:rPr>
        <w:t>υ</w:t>
      </w:r>
      <w:r w:rsidR="002664F3">
        <w:rPr>
          <w:sz w:val="22"/>
          <w:szCs w:val="22"/>
          <w:lang w:eastAsia="en-US"/>
        </w:rPr>
        <w:t>στήνονται για τη</w:t>
      </w:r>
      <w:r w:rsidR="009441D7" w:rsidRPr="009441D7">
        <w:rPr>
          <w:sz w:val="22"/>
          <w:szCs w:val="22"/>
          <w:lang w:eastAsia="en-US"/>
        </w:rPr>
        <w:t xml:space="preserve"> βελτίωση της ανταγωνιστικότητας του πρωτογενή τομέα,</w:t>
      </w:r>
    </w:p>
    <w:p w:rsidR="009441D7" w:rsidRPr="009441D7" w:rsidRDefault="00FC2CD9" w:rsidP="00FC2CD9">
      <w:pPr>
        <w:ind w:left="720" w:hanging="294"/>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επενδύσεις σε προληπτικές δράσεις, που αποσκοπούν στη μείωση των επιπτώσεων της κλιμ</w:t>
      </w:r>
      <w:r w:rsidR="009441D7" w:rsidRPr="009441D7">
        <w:rPr>
          <w:sz w:val="22"/>
          <w:szCs w:val="22"/>
          <w:lang w:eastAsia="en-US"/>
        </w:rPr>
        <w:t>α</w:t>
      </w:r>
      <w:r w:rsidR="009441D7" w:rsidRPr="009441D7">
        <w:rPr>
          <w:sz w:val="22"/>
          <w:szCs w:val="22"/>
          <w:lang w:eastAsia="en-US"/>
        </w:rPr>
        <w:t>τικής αλλαγής,</w:t>
      </w:r>
    </w:p>
    <w:p w:rsidR="009441D7" w:rsidRPr="009441D7" w:rsidRDefault="00FC2CD9" w:rsidP="00FC2CD9">
      <w:pPr>
        <w:ind w:left="720" w:hanging="294"/>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δημόσιες και ιδιωτικές επενδύσεις από τα προγράμματα CLLD/LEADER,</w:t>
      </w:r>
    </w:p>
    <w:p w:rsidR="009441D7" w:rsidRPr="009441D7" w:rsidRDefault="00FC2CD9" w:rsidP="00FC2CD9">
      <w:pPr>
        <w:ind w:left="426"/>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μείωση της νιτρορύπανσης, βιολογικές καλλιέργειες (2η Πρόσκληση),</w:t>
      </w:r>
    </w:p>
    <w:p w:rsidR="009441D7" w:rsidRPr="009441D7" w:rsidRDefault="00FC2CD9" w:rsidP="00FC2CD9">
      <w:pPr>
        <w:ind w:left="426"/>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σχέδια βελτίωσης (εκσυγχρονισμός γεωργικών εκμεταλλεύσεων).</w:t>
      </w:r>
    </w:p>
    <w:p w:rsidR="009441D7" w:rsidRPr="009441D7" w:rsidRDefault="009441D7" w:rsidP="00F54EA6">
      <w:pPr>
        <w:ind w:left="720"/>
        <w:contextualSpacing/>
        <w:jc w:val="both"/>
        <w:rPr>
          <w:sz w:val="22"/>
          <w:szCs w:val="22"/>
          <w:lang w:eastAsia="en-US"/>
        </w:rPr>
      </w:pPr>
    </w:p>
    <w:p w:rsidR="009441D7" w:rsidRPr="009441D7" w:rsidRDefault="009441D7" w:rsidP="00F54EA6">
      <w:pPr>
        <w:ind w:left="426"/>
        <w:contextualSpacing/>
        <w:jc w:val="both"/>
        <w:rPr>
          <w:sz w:val="22"/>
          <w:szCs w:val="22"/>
          <w:lang w:eastAsia="en-US"/>
        </w:rPr>
      </w:pPr>
      <w:r w:rsidRPr="009441D7">
        <w:rPr>
          <w:sz w:val="22"/>
          <w:szCs w:val="22"/>
          <w:lang w:eastAsia="en-US"/>
        </w:rPr>
        <w:t>Για το ΕΠΑΛΘ, έχουν εκδοθεί προσκλήσεις για τις δράσεις/μέτρα:</w:t>
      </w:r>
    </w:p>
    <w:p w:rsidR="009441D7" w:rsidRPr="009441D7" w:rsidRDefault="009441D7" w:rsidP="00F54EA6">
      <w:pPr>
        <w:ind w:left="426"/>
        <w:contextualSpacing/>
        <w:jc w:val="both"/>
        <w:rPr>
          <w:sz w:val="22"/>
          <w:szCs w:val="22"/>
          <w:lang w:eastAsia="en-US"/>
        </w:rPr>
      </w:pPr>
    </w:p>
    <w:p w:rsidR="009441D7" w:rsidRPr="009441D7" w:rsidRDefault="00FC2CD9" w:rsidP="00FC2CD9">
      <w:pPr>
        <w:ind w:left="426"/>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αλιευτικά καταφύγια-ιχθυόσκαλες (9 εκατ. ευρώ),</w:t>
      </w:r>
    </w:p>
    <w:p w:rsidR="009441D7" w:rsidRPr="009441D7" w:rsidRDefault="00FC2CD9" w:rsidP="00FC2CD9">
      <w:pPr>
        <w:ind w:left="426"/>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στρατηγικές Τοπικής Ανάπτυξης (CLLD/LEADER 54 εκατ. ευρώ),</w:t>
      </w:r>
    </w:p>
    <w:p w:rsidR="009441D7" w:rsidRPr="009441D7" w:rsidRDefault="00FC2CD9" w:rsidP="00FC2CD9">
      <w:pPr>
        <w:ind w:left="426"/>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καινοτομία στην αλιεία (4 εκατ. ευρώ),</w:t>
      </w:r>
    </w:p>
    <w:p w:rsidR="009441D7" w:rsidRPr="009441D7" w:rsidRDefault="00FC2CD9" w:rsidP="00FC2CD9">
      <w:pPr>
        <w:ind w:left="426"/>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αλιευτικοί λιμένες, τόποι εκφόρτωσης, ιχθυόσκαλες και καταφύγια (41 εκατ. ευρώ),</w:t>
      </w:r>
    </w:p>
    <w:p w:rsidR="009441D7" w:rsidRPr="009441D7" w:rsidRDefault="00FC2CD9" w:rsidP="00FC2CD9">
      <w:pPr>
        <w:ind w:left="426"/>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καινοτομία στην υδατοκαλλιέργεια (10 εκατ. ευρώ),</w:t>
      </w:r>
    </w:p>
    <w:p w:rsidR="009441D7" w:rsidRPr="009441D7" w:rsidRDefault="00FC2CD9" w:rsidP="00FC2CD9">
      <w:pPr>
        <w:ind w:left="426"/>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παραγωγικές επενδύ</w:t>
      </w:r>
      <w:r w:rsidR="0091794B">
        <w:rPr>
          <w:sz w:val="22"/>
          <w:szCs w:val="22"/>
          <w:lang w:eastAsia="en-US"/>
        </w:rPr>
        <w:t>σεις στην υδατοκαλλιέργεια (5</w:t>
      </w:r>
      <w:r w:rsidR="0091794B" w:rsidRPr="005A7E90">
        <w:rPr>
          <w:sz w:val="22"/>
          <w:szCs w:val="22"/>
          <w:lang w:eastAsia="en-US"/>
        </w:rPr>
        <w:t>7</w:t>
      </w:r>
      <w:r w:rsidR="009441D7" w:rsidRPr="009441D7">
        <w:rPr>
          <w:sz w:val="22"/>
          <w:szCs w:val="22"/>
          <w:lang w:eastAsia="en-US"/>
        </w:rPr>
        <w:t xml:space="preserve"> εκατ. ευρώ),</w:t>
      </w:r>
    </w:p>
    <w:p w:rsidR="009441D7" w:rsidRPr="009441D7" w:rsidRDefault="00FC2CD9" w:rsidP="00FC2CD9">
      <w:pPr>
        <w:ind w:left="426"/>
        <w:contextualSpacing/>
        <w:jc w:val="both"/>
        <w:rPr>
          <w:sz w:val="22"/>
          <w:szCs w:val="22"/>
          <w:lang w:eastAsia="en-US"/>
        </w:rPr>
      </w:pPr>
      <w:r>
        <w:rPr>
          <w:sz w:val="22"/>
          <w:szCs w:val="22"/>
          <w:lang w:eastAsia="en-US"/>
        </w:rPr>
        <w:t>-</w:t>
      </w:r>
      <w:r>
        <w:rPr>
          <w:sz w:val="22"/>
          <w:szCs w:val="22"/>
          <w:lang w:eastAsia="en-US"/>
        </w:rPr>
        <w:tab/>
      </w:r>
      <w:r w:rsidR="00FF0560">
        <w:rPr>
          <w:sz w:val="22"/>
          <w:szCs w:val="22"/>
          <w:lang w:eastAsia="en-US"/>
        </w:rPr>
        <w:t>συλλογή δεδομένων (19</w:t>
      </w:r>
      <w:r w:rsidR="009441D7" w:rsidRPr="009441D7">
        <w:rPr>
          <w:sz w:val="22"/>
          <w:szCs w:val="22"/>
          <w:lang w:eastAsia="en-US"/>
        </w:rPr>
        <w:t xml:space="preserve"> εκατ. ευρώ),</w:t>
      </w:r>
    </w:p>
    <w:p w:rsidR="009441D7" w:rsidRPr="009441D7" w:rsidRDefault="00FC2CD9" w:rsidP="00FC2CD9">
      <w:pPr>
        <w:ind w:left="720" w:hanging="294"/>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 xml:space="preserve">εκσυγχρονισμός και αγορά ελεγκτικών μέσων, συμπεριλαμβανομένων περιπολικών πλοίων, </w:t>
      </w:r>
      <w:r w:rsidR="00FF0560">
        <w:rPr>
          <w:sz w:val="22"/>
          <w:szCs w:val="22"/>
          <w:lang w:eastAsia="en-US"/>
        </w:rPr>
        <w:t>αεροσκαφών και ελικοπτέρων (40</w:t>
      </w:r>
      <w:r w:rsidR="009441D7" w:rsidRPr="009441D7">
        <w:rPr>
          <w:sz w:val="22"/>
          <w:szCs w:val="22"/>
          <w:lang w:eastAsia="en-US"/>
        </w:rPr>
        <w:t xml:space="preserve"> εκατ. ευρώ),</w:t>
      </w:r>
    </w:p>
    <w:p w:rsidR="009441D7" w:rsidRPr="009441D7" w:rsidRDefault="00FC2CD9" w:rsidP="00FC2CD9">
      <w:pPr>
        <w:ind w:left="426"/>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μεταποίηση προϊόντων αλιείας και υδατοκαλλιέργειας (50 εκατ. ευρώ),</w:t>
      </w:r>
    </w:p>
    <w:p w:rsidR="009441D7" w:rsidRPr="009441D7" w:rsidRDefault="00FC2CD9" w:rsidP="00FC2CD9">
      <w:pPr>
        <w:ind w:left="426"/>
        <w:contextualSpacing/>
        <w:jc w:val="both"/>
        <w:rPr>
          <w:sz w:val="22"/>
          <w:szCs w:val="22"/>
          <w:lang w:eastAsia="en-US"/>
        </w:rPr>
      </w:pPr>
      <w:r>
        <w:rPr>
          <w:sz w:val="22"/>
          <w:szCs w:val="22"/>
          <w:lang w:eastAsia="en-US"/>
        </w:rPr>
        <w:t>-</w:t>
      </w:r>
      <w:r>
        <w:rPr>
          <w:sz w:val="22"/>
          <w:szCs w:val="22"/>
          <w:lang w:eastAsia="en-US"/>
        </w:rPr>
        <w:tab/>
      </w:r>
      <w:r w:rsidR="009441D7" w:rsidRPr="009441D7">
        <w:rPr>
          <w:sz w:val="22"/>
          <w:szCs w:val="22"/>
          <w:lang w:eastAsia="en-US"/>
        </w:rPr>
        <w:t>προαγωγή της εφαρμογής της Ολοκλη</w:t>
      </w:r>
      <w:r w:rsidR="00FF0560">
        <w:rPr>
          <w:sz w:val="22"/>
          <w:szCs w:val="22"/>
          <w:lang w:eastAsia="en-US"/>
        </w:rPr>
        <w:t>ρωμένης Θαλάσσιας Πολιτικής (6</w:t>
      </w:r>
      <w:r w:rsidR="009441D7" w:rsidRPr="009441D7">
        <w:rPr>
          <w:sz w:val="22"/>
          <w:szCs w:val="22"/>
          <w:lang w:eastAsia="en-US"/>
        </w:rPr>
        <w:t xml:space="preserve"> εκατ. ευρώ) κ.α.</w:t>
      </w:r>
    </w:p>
    <w:p w:rsidR="009441D7" w:rsidRPr="009441D7" w:rsidRDefault="009441D7" w:rsidP="00F54EA6">
      <w:pPr>
        <w:ind w:left="720"/>
        <w:contextualSpacing/>
        <w:jc w:val="both"/>
        <w:rPr>
          <w:sz w:val="22"/>
          <w:szCs w:val="22"/>
          <w:lang w:eastAsia="en-US"/>
        </w:rPr>
      </w:pPr>
    </w:p>
    <w:p w:rsidR="009441D7" w:rsidRPr="009441D7" w:rsidRDefault="009441D7" w:rsidP="00FC2CD9">
      <w:pPr>
        <w:numPr>
          <w:ilvl w:val="0"/>
          <w:numId w:val="32"/>
        </w:numPr>
        <w:ind w:left="425" w:hanging="425"/>
        <w:contextualSpacing/>
        <w:jc w:val="both"/>
        <w:rPr>
          <w:sz w:val="22"/>
          <w:szCs w:val="22"/>
          <w:lang w:eastAsia="en-US"/>
        </w:rPr>
      </w:pPr>
      <w:r w:rsidRPr="009441D7">
        <w:rPr>
          <w:sz w:val="22"/>
          <w:szCs w:val="22"/>
          <w:lang w:eastAsia="en-US"/>
        </w:rPr>
        <w:t>Προγράμματα Ευρωπαϊ</w:t>
      </w:r>
      <w:r w:rsidR="00516330">
        <w:rPr>
          <w:sz w:val="22"/>
          <w:szCs w:val="22"/>
          <w:lang w:eastAsia="en-US"/>
        </w:rPr>
        <w:t>κής Εδαφικής Συνεργασίας: Από τους</w:t>
      </w:r>
      <w:r w:rsidRPr="009441D7">
        <w:rPr>
          <w:sz w:val="22"/>
          <w:szCs w:val="22"/>
          <w:lang w:eastAsia="en-US"/>
        </w:rPr>
        <w:t xml:space="preserve"> </w:t>
      </w:r>
      <w:r w:rsidR="00516330">
        <w:rPr>
          <w:sz w:val="22"/>
          <w:szCs w:val="22"/>
          <w:lang w:eastAsia="en-US"/>
        </w:rPr>
        <w:t>συνολικούς</w:t>
      </w:r>
      <w:r w:rsidRPr="009441D7">
        <w:rPr>
          <w:sz w:val="22"/>
          <w:szCs w:val="22"/>
          <w:lang w:eastAsia="en-US"/>
        </w:rPr>
        <w:t xml:space="preserve"> διαθέσι</w:t>
      </w:r>
      <w:r w:rsidR="00516330">
        <w:rPr>
          <w:sz w:val="22"/>
          <w:szCs w:val="22"/>
          <w:lang w:eastAsia="en-US"/>
        </w:rPr>
        <w:t xml:space="preserve">μους πόρους ύψους </w:t>
      </w:r>
      <w:r w:rsidR="00516330" w:rsidRPr="009441D7">
        <w:rPr>
          <w:sz w:val="22"/>
          <w:szCs w:val="22"/>
          <w:lang w:eastAsia="en-US"/>
        </w:rPr>
        <w:t>454 εκατ. ευρώ</w:t>
      </w:r>
      <w:r w:rsidRPr="009441D7">
        <w:rPr>
          <w:sz w:val="22"/>
          <w:szCs w:val="22"/>
          <w:lang w:eastAsia="en-US"/>
        </w:rPr>
        <w:t xml:space="preserve">, εκδόθηκαν προσκλήσεις και εντάχθηκαν έργα προϋπολογισμού 319 εκατ. ευρώ, που αφορούν τα διασυνοριακά προγράμματα με Κύπρο, Βουλγαρία, </w:t>
      </w:r>
      <w:r w:rsidR="00516330">
        <w:rPr>
          <w:sz w:val="22"/>
          <w:szCs w:val="22"/>
          <w:lang w:eastAsia="en-US"/>
        </w:rPr>
        <w:t>Π</w:t>
      </w:r>
      <w:r w:rsidR="0094047B">
        <w:rPr>
          <w:sz w:val="22"/>
          <w:szCs w:val="22"/>
          <w:lang w:eastAsia="en-US"/>
        </w:rPr>
        <w:t>Γ</w:t>
      </w:r>
      <w:r w:rsidR="00516330">
        <w:rPr>
          <w:sz w:val="22"/>
          <w:szCs w:val="22"/>
          <w:lang w:eastAsia="en-US"/>
        </w:rPr>
        <w:t>ΔΜ</w:t>
      </w:r>
      <w:r w:rsidRPr="009441D7">
        <w:rPr>
          <w:sz w:val="22"/>
          <w:szCs w:val="22"/>
          <w:lang w:eastAsia="en-US"/>
        </w:rPr>
        <w:t>, Αλβανία, Ιτ</w:t>
      </w:r>
      <w:r w:rsidRPr="009441D7">
        <w:rPr>
          <w:sz w:val="22"/>
          <w:szCs w:val="22"/>
          <w:lang w:eastAsia="en-US"/>
        </w:rPr>
        <w:t>α</w:t>
      </w:r>
      <w:r w:rsidRPr="009441D7">
        <w:rPr>
          <w:sz w:val="22"/>
          <w:szCs w:val="22"/>
          <w:lang w:eastAsia="en-US"/>
        </w:rPr>
        <w:t>λία και το διακρατικό πρόγραμμα συνεργασίας Βαλκανικής - Μεσογείου.</w:t>
      </w:r>
    </w:p>
    <w:p w:rsidR="009441D7" w:rsidRPr="009441D7" w:rsidRDefault="009441D7" w:rsidP="00F54EA6">
      <w:pPr>
        <w:ind w:left="360"/>
        <w:contextualSpacing/>
        <w:jc w:val="both"/>
        <w:rPr>
          <w:sz w:val="22"/>
          <w:szCs w:val="22"/>
          <w:lang w:eastAsia="en-US"/>
        </w:rPr>
      </w:pPr>
    </w:p>
    <w:p w:rsidR="009441D7" w:rsidRPr="009441D7" w:rsidRDefault="009441D7" w:rsidP="00F54EA6">
      <w:pPr>
        <w:contextualSpacing/>
        <w:jc w:val="both"/>
        <w:rPr>
          <w:rFonts w:ascii="Arial Narrow" w:hAnsi="Arial Narrow"/>
          <w:b/>
          <w:i/>
          <w:sz w:val="22"/>
          <w:szCs w:val="22"/>
          <w:lang w:eastAsia="en-US"/>
        </w:rPr>
      </w:pPr>
      <w:r w:rsidRPr="009441D7">
        <w:rPr>
          <w:rFonts w:ascii="Arial Narrow" w:hAnsi="Arial Narrow"/>
          <w:b/>
          <w:i/>
          <w:sz w:val="22"/>
          <w:szCs w:val="22"/>
          <w:lang w:eastAsia="en-US"/>
        </w:rPr>
        <w:t>Μεγάλα Έργα ΕΣΠΑ 2014 – 2020</w:t>
      </w:r>
    </w:p>
    <w:p w:rsidR="009441D7" w:rsidRPr="009441D7" w:rsidRDefault="009441D7" w:rsidP="00F54EA6">
      <w:pPr>
        <w:contextualSpacing/>
        <w:jc w:val="both"/>
        <w:rPr>
          <w:rFonts w:ascii="Arial Narrow" w:hAnsi="Arial Narrow"/>
          <w:b/>
          <w:i/>
          <w:sz w:val="22"/>
          <w:szCs w:val="22"/>
          <w:lang w:eastAsia="en-US"/>
        </w:rPr>
      </w:pPr>
    </w:p>
    <w:p w:rsidR="009441D7" w:rsidRDefault="00516330" w:rsidP="00F54EA6">
      <w:pPr>
        <w:contextualSpacing/>
        <w:jc w:val="both"/>
        <w:rPr>
          <w:sz w:val="22"/>
          <w:szCs w:val="22"/>
          <w:lang w:eastAsia="en-US"/>
        </w:rPr>
      </w:pPr>
      <w:r>
        <w:rPr>
          <w:sz w:val="22"/>
          <w:szCs w:val="22"/>
          <w:lang w:eastAsia="en-US"/>
        </w:rPr>
        <w:t>Τα</w:t>
      </w:r>
      <w:r w:rsidR="009441D7" w:rsidRPr="009441D7">
        <w:rPr>
          <w:sz w:val="22"/>
          <w:szCs w:val="22"/>
          <w:lang w:eastAsia="en-US"/>
        </w:rPr>
        <w:t xml:space="preserve"> προβλεπόμενα μεγάλα έργα είναι 34, από τα οποία τα 15 αποτελούν τη Φάση Β των τμηματοποι</w:t>
      </w:r>
      <w:r w:rsidR="009441D7" w:rsidRPr="009441D7">
        <w:rPr>
          <w:sz w:val="22"/>
          <w:szCs w:val="22"/>
          <w:lang w:eastAsia="en-US"/>
        </w:rPr>
        <w:t>η</w:t>
      </w:r>
      <w:r w:rsidR="009441D7" w:rsidRPr="009441D7">
        <w:rPr>
          <w:sz w:val="22"/>
          <w:szCs w:val="22"/>
          <w:lang w:eastAsia="en-US"/>
        </w:rPr>
        <w:t xml:space="preserve">μένων έργων του ΕΣΠΑ 2007-2013. Το συνολικό κόστος των μεγάλων έργων της ΠΠ 2014-2020 </w:t>
      </w:r>
      <w:r w:rsidR="009441D7" w:rsidRPr="009441D7">
        <w:rPr>
          <w:sz w:val="22"/>
          <w:szCs w:val="22"/>
          <w:lang w:eastAsia="en-US"/>
        </w:rPr>
        <w:t>α</w:t>
      </w:r>
      <w:r w:rsidR="009441D7" w:rsidRPr="009441D7">
        <w:rPr>
          <w:sz w:val="22"/>
          <w:szCs w:val="22"/>
          <w:lang w:eastAsia="en-US"/>
        </w:rPr>
        <w:t>νέρ</w:t>
      </w:r>
      <w:r>
        <w:rPr>
          <w:sz w:val="22"/>
          <w:szCs w:val="22"/>
          <w:lang w:eastAsia="en-US"/>
        </w:rPr>
        <w:t xml:space="preserve">χεται σε 9.200 εκατ. ευρώ </w:t>
      </w:r>
      <w:r w:rsidR="009441D7" w:rsidRPr="009441D7">
        <w:rPr>
          <w:sz w:val="22"/>
          <w:szCs w:val="22"/>
          <w:lang w:eastAsia="en-US"/>
        </w:rPr>
        <w:t>περίπου</w:t>
      </w:r>
      <w:r>
        <w:rPr>
          <w:sz w:val="22"/>
          <w:szCs w:val="22"/>
          <w:lang w:eastAsia="en-US"/>
        </w:rPr>
        <w:t xml:space="preserve">, με τα 6.800 εκατ. ευρώ </w:t>
      </w:r>
      <w:r w:rsidR="009441D7" w:rsidRPr="009441D7">
        <w:rPr>
          <w:sz w:val="22"/>
          <w:szCs w:val="22"/>
          <w:lang w:eastAsia="en-US"/>
        </w:rPr>
        <w:t>περίπου να είναι επιλέξιμα συγχρημ</w:t>
      </w:r>
      <w:r w:rsidR="009441D7" w:rsidRPr="009441D7">
        <w:rPr>
          <w:sz w:val="22"/>
          <w:szCs w:val="22"/>
          <w:lang w:eastAsia="en-US"/>
        </w:rPr>
        <w:t>α</w:t>
      </w:r>
      <w:r w:rsidR="009441D7" w:rsidRPr="009441D7">
        <w:rPr>
          <w:sz w:val="22"/>
          <w:szCs w:val="22"/>
          <w:lang w:eastAsia="en-US"/>
        </w:rPr>
        <w:t>τοδότησης.</w:t>
      </w:r>
    </w:p>
    <w:p w:rsidR="00FF0560" w:rsidRDefault="00FF0560" w:rsidP="00F54EA6">
      <w:pPr>
        <w:contextualSpacing/>
        <w:jc w:val="both"/>
        <w:rPr>
          <w:sz w:val="22"/>
          <w:szCs w:val="22"/>
          <w:lang w:eastAsia="en-US"/>
        </w:rPr>
      </w:pPr>
    </w:p>
    <w:p w:rsidR="00FF0560" w:rsidRDefault="00FF0560" w:rsidP="00F54EA6">
      <w:pPr>
        <w:contextualSpacing/>
        <w:jc w:val="both"/>
        <w:rPr>
          <w:sz w:val="22"/>
          <w:szCs w:val="22"/>
          <w:lang w:eastAsia="en-US"/>
        </w:rPr>
      </w:pPr>
      <w:r>
        <w:rPr>
          <w:sz w:val="22"/>
          <w:szCs w:val="22"/>
          <w:lang w:eastAsia="en-US"/>
        </w:rPr>
        <w:t>Τα μεγάλα έργα της ΠΠ 2014-2020, εντάσσονται στα Επιχειρησιακά Προγράμματα (ΕΠ): ΕΠΑΝΕΚ, ΥΜΕΠΕΡΑΑ, Περιφερειακό Επιχειρησιακό Πρόγραμμα Αττικής, Περιφερειακό Επιχειρησιακό Πρ</w:t>
      </w:r>
      <w:r>
        <w:rPr>
          <w:sz w:val="22"/>
          <w:szCs w:val="22"/>
          <w:lang w:eastAsia="en-US"/>
        </w:rPr>
        <w:t>ό</w:t>
      </w:r>
      <w:r>
        <w:rPr>
          <w:sz w:val="22"/>
          <w:szCs w:val="22"/>
          <w:lang w:eastAsia="en-US"/>
        </w:rPr>
        <w:t>γραμμα Κεντρικής Μακεδονίας, Περιφερειακό Επιχειρησιακό Πρόγραμμα Στερεάς Ελλάδας.</w:t>
      </w:r>
    </w:p>
    <w:p w:rsidR="00FF0560" w:rsidRDefault="00FF0560" w:rsidP="00F54EA6">
      <w:pPr>
        <w:contextualSpacing/>
        <w:jc w:val="both"/>
        <w:rPr>
          <w:sz w:val="22"/>
          <w:szCs w:val="22"/>
          <w:lang w:eastAsia="en-US"/>
        </w:rPr>
      </w:pPr>
    </w:p>
    <w:p w:rsidR="00FF0560" w:rsidRPr="009441D7" w:rsidRDefault="00FF0560" w:rsidP="00F54EA6">
      <w:pPr>
        <w:contextualSpacing/>
        <w:jc w:val="both"/>
        <w:rPr>
          <w:sz w:val="22"/>
          <w:szCs w:val="22"/>
          <w:lang w:eastAsia="en-US"/>
        </w:rPr>
      </w:pPr>
      <w:r>
        <w:rPr>
          <w:sz w:val="22"/>
          <w:szCs w:val="22"/>
          <w:lang w:eastAsia="en-US"/>
        </w:rPr>
        <w:t>Εκτιμάται ότι, εντός του 2017 θα πραγματοποιηθεί η υποβολή 12 φακέλων μεγάλων έργων προς την ΕΕ, τα οποία αντιστοιχούν σε συνολικό κόστος 2.600 εκατ. ευρώ, περίπου, εκ των οποίων το μεγαλ</w:t>
      </w:r>
      <w:r>
        <w:rPr>
          <w:sz w:val="22"/>
          <w:szCs w:val="22"/>
          <w:lang w:eastAsia="en-US"/>
        </w:rPr>
        <w:t>ύ</w:t>
      </w:r>
      <w:r>
        <w:rPr>
          <w:sz w:val="22"/>
          <w:szCs w:val="22"/>
          <w:lang w:eastAsia="en-US"/>
        </w:rPr>
        <w:t xml:space="preserve">τερο </w:t>
      </w:r>
      <w:r w:rsidR="005A7E90">
        <w:rPr>
          <w:sz w:val="22"/>
          <w:szCs w:val="22"/>
          <w:lang w:eastAsia="en-US"/>
        </w:rPr>
        <w:t xml:space="preserve">μέρος </w:t>
      </w:r>
      <w:r w:rsidR="0094047B">
        <w:rPr>
          <w:sz w:val="22"/>
          <w:szCs w:val="22"/>
          <w:lang w:eastAsia="en-US"/>
        </w:rPr>
        <w:t>(</w:t>
      </w:r>
      <w:r w:rsidR="005A7E90">
        <w:rPr>
          <w:sz w:val="22"/>
          <w:szCs w:val="22"/>
          <w:lang w:eastAsia="en-US"/>
        </w:rPr>
        <w:t>2.500 εκατ. ευρώ περίπου</w:t>
      </w:r>
      <w:r w:rsidR="0094047B">
        <w:rPr>
          <w:sz w:val="22"/>
          <w:szCs w:val="22"/>
          <w:lang w:eastAsia="en-US"/>
        </w:rPr>
        <w:t>)</w:t>
      </w:r>
      <w:r>
        <w:rPr>
          <w:sz w:val="22"/>
          <w:szCs w:val="22"/>
          <w:lang w:eastAsia="en-US"/>
        </w:rPr>
        <w:t xml:space="preserve"> είναι επιλέξιμα προς συγχρηματοδότηση.</w:t>
      </w:r>
    </w:p>
    <w:p w:rsidR="009441D7" w:rsidRPr="009441D7" w:rsidRDefault="009441D7" w:rsidP="00F54EA6">
      <w:pPr>
        <w:contextualSpacing/>
        <w:jc w:val="both"/>
        <w:rPr>
          <w:sz w:val="22"/>
          <w:szCs w:val="22"/>
          <w:lang w:eastAsia="en-US"/>
        </w:rPr>
      </w:pPr>
    </w:p>
    <w:p w:rsidR="009441D7" w:rsidRPr="009441D7" w:rsidRDefault="009441D7" w:rsidP="00F54EA6">
      <w:pPr>
        <w:contextualSpacing/>
        <w:jc w:val="both"/>
        <w:rPr>
          <w:rFonts w:ascii="Arial Narrow" w:hAnsi="Arial Narrow"/>
          <w:b/>
          <w:i/>
          <w:sz w:val="22"/>
          <w:szCs w:val="22"/>
          <w:lang w:eastAsia="en-US"/>
        </w:rPr>
      </w:pPr>
      <w:r w:rsidRPr="009441D7">
        <w:rPr>
          <w:rFonts w:ascii="Arial Narrow" w:hAnsi="Arial Narrow"/>
          <w:b/>
          <w:i/>
          <w:sz w:val="22"/>
          <w:szCs w:val="22"/>
          <w:lang w:eastAsia="en-US"/>
        </w:rPr>
        <w:t>Θεσμικές παρεμβάσεις</w:t>
      </w:r>
    </w:p>
    <w:p w:rsidR="009441D7" w:rsidRPr="009441D7" w:rsidRDefault="009441D7" w:rsidP="00F54EA6">
      <w:pPr>
        <w:contextualSpacing/>
        <w:jc w:val="both"/>
        <w:rPr>
          <w:sz w:val="22"/>
          <w:szCs w:val="22"/>
          <w:lang w:eastAsia="en-US"/>
        </w:rPr>
      </w:pPr>
    </w:p>
    <w:p w:rsidR="009441D7" w:rsidRPr="009441D7" w:rsidRDefault="009441D7" w:rsidP="00F54EA6">
      <w:pPr>
        <w:contextualSpacing/>
        <w:jc w:val="both"/>
        <w:rPr>
          <w:sz w:val="22"/>
          <w:szCs w:val="22"/>
          <w:lang w:eastAsia="en-US"/>
        </w:rPr>
      </w:pPr>
      <w:r w:rsidRPr="009441D7">
        <w:rPr>
          <w:sz w:val="22"/>
          <w:szCs w:val="22"/>
          <w:lang w:eastAsia="en-US"/>
        </w:rPr>
        <w:t>Για την αποτελεσματική εφαρμογή του αναπτυξιακού πρ</w:t>
      </w:r>
      <w:r w:rsidR="00516330">
        <w:rPr>
          <w:sz w:val="22"/>
          <w:szCs w:val="22"/>
          <w:lang w:eastAsia="en-US"/>
        </w:rPr>
        <w:t>ογραμματισμού της περιόδου 2014-</w:t>
      </w:r>
      <w:r w:rsidRPr="009441D7">
        <w:rPr>
          <w:sz w:val="22"/>
          <w:szCs w:val="22"/>
          <w:lang w:eastAsia="en-US"/>
        </w:rPr>
        <w:t>2020, το Υπουργείο Οικονομίας και Ανάπτυξης διαμόρφωσε το θεσμικό πλαίσιο, όπου αποτυπώθηκαν οι εθν</w:t>
      </w:r>
      <w:r w:rsidRPr="009441D7">
        <w:rPr>
          <w:sz w:val="22"/>
          <w:szCs w:val="22"/>
          <w:lang w:eastAsia="en-US"/>
        </w:rPr>
        <w:t>ι</w:t>
      </w:r>
      <w:r w:rsidRPr="009441D7">
        <w:rPr>
          <w:sz w:val="22"/>
          <w:szCs w:val="22"/>
          <w:lang w:eastAsia="en-US"/>
        </w:rPr>
        <w:t xml:space="preserve">κές επιλογές και ενσωματώθηκαν οι απαιτήσεις των ευρωπαϊκών κανονισμών για τα Διαρθρωτικά Ταμεία. </w:t>
      </w:r>
    </w:p>
    <w:p w:rsidR="009441D7" w:rsidRPr="009441D7" w:rsidRDefault="009441D7" w:rsidP="00F54EA6">
      <w:pPr>
        <w:spacing w:before="120" w:after="120"/>
        <w:contextualSpacing/>
        <w:jc w:val="both"/>
        <w:rPr>
          <w:sz w:val="22"/>
          <w:szCs w:val="22"/>
          <w:lang w:eastAsia="en-US"/>
        </w:rPr>
      </w:pPr>
    </w:p>
    <w:p w:rsidR="009441D7" w:rsidRPr="009441D7" w:rsidRDefault="009441D7" w:rsidP="00F54EA6">
      <w:pPr>
        <w:contextualSpacing/>
        <w:jc w:val="both"/>
        <w:rPr>
          <w:rFonts w:ascii="Arial Narrow" w:hAnsi="Arial Narrow"/>
          <w:b/>
          <w:i/>
          <w:sz w:val="22"/>
          <w:szCs w:val="22"/>
          <w:lang w:eastAsia="en-US"/>
        </w:rPr>
      </w:pPr>
      <w:r w:rsidRPr="009441D7">
        <w:rPr>
          <w:rFonts w:ascii="Arial Narrow" w:hAnsi="Arial Narrow"/>
          <w:b/>
          <w:i/>
          <w:sz w:val="22"/>
          <w:szCs w:val="22"/>
          <w:lang w:eastAsia="en-US"/>
        </w:rPr>
        <w:t>Μηχανισμός «Συνδέοντας την Ευρώπη» / Connecting Europe Facility (CEF) 2014-2020</w:t>
      </w:r>
    </w:p>
    <w:p w:rsidR="009441D7" w:rsidRPr="009441D7" w:rsidRDefault="009441D7" w:rsidP="00F54EA6">
      <w:pPr>
        <w:contextualSpacing/>
        <w:jc w:val="both"/>
        <w:rPr>
          <w:sz w:val="22"/>
          <w:szCs w:val="22"/>
          <w:lang w:eastAsia="en-US"/>
        </w:rPr>
      </w:pPr>
    </w:p>
    <w:p w:rsidR="009441D7" w:rsidRPr="009441D7" w:rsidRDefault="009441D7" w:rsidP="0022482F">
      <w:pPr>
        <w:contextualSpacing/>
        <w:jc w:val="both"/>
        <w:rPr>
          <w:sz w:val="22"/>
          <w:szCs w:val="22"/>
          <w:lang w:eastAsia="en-US"/>
        </w:rPr>
      </w:pPr>
      <w:r w:rsidRPr="009441D7">
        <w:rPr>
          <w:sz w:val="22"/>
          <w:szCs w:val="22"/>
          <w:lang w:eastAsia="en-US"/>
        </w:rPr>
        <w:t>Οι δράσεις των Διευρωπαϊκών Δικτύων (ΔΕΔ) συμβάλλουν στη δημιουργία και την ανάπτυξη έργων υποδομής στους τομείς των μεταφορών, της ενέργειας και των τηλεπικοινωνιών και αποσκοπούν στην προώθηση της διασύνδεσης και της διαλειτουργικότητας των εθνικών δικτύων, της πρόσβασης σε α</w:t>
      </w:r>
      <w:r w:rsidRPr="009441D7">
        <w:rPr>
          <w:sz w:val="22"/>
          <w:szCs w:val="22"/>
          <w:lang w:eastAsia="en-US"/>
        </w:rPr>
        <w:t>υ</w:t>
      </w:r>
      <w:r w:rsidRPr="009441D7">
        <w:rPr>
          <w:sz w:val="22"/>
          <w:szCs w:val="22"/>
          <w:lang w:eastAsia="en-US"/>
        </w:rPr>
        <w:t>τά τα δίκτυα</w:t>
      </w:r>
      <w:r w:rsidR="00516330">
        <w:rPr>
          <w:sz w:val="22"/>
          <w:szCs w:val="22"/>
          <w:lang w:eastAsia="en-US"/>
        </w:rPr>
        <w:t>,</w:t>
      </w:r>
      <w:r w:rsidRPr="009441D7">
        <w:rPr>
          <w:sz w:val="22"/>
          <w:szCs w:val="22"/>
          <w:lang w:eastAsia="en-US"/>
        </w:rPr>
        <w:t xml:space="preserve"> καθώς και στην ανάγκη να συνδεθούν οι νησιωτικές, οι μεσόγειες και οι περιφερειακές περιοχές με τις κεντρικές περιοχές της Ευρωπαϊκής Ένωσης.</w:t>
      </w:r>
    </w:p>
    <w:p w:rsidR="009441D7" w:rsidRPr="009441D7" w:rsidRDefault="009441D7" w:rsidP="0022482F">
      <w:pPr>
        <w:contextualSpacing/>
        <w:jc w:val="both"/>
        <w:rPr>
          <w:sz w:val="22"/>
          <w:szCs w:val="22"/>
          <w:lang w:eastAsia="en-US"/>
        </w:rPr>
      </w:pPr>
    </w:p>
    <w:p w:rsidR="009441D7" w:rsidRPr="009441D7" w:rsidRDefault="009441D7" w:rsidP="0022482F">
      <w:pPr>
        <w:contextualSpacing/>
        <w:jc w:val="both"/>
        <w:rPr>
          <w:sz w:val="22"/>
          <w:szCs w:val="22"/>
          <w:lang w:eastAsia="en-US"/>
        </w:rPr>
      </w:pPr>
      <w:r w:rsidRPr="009441D7">
        <w:rPr>
          <w:sz w:val="22"/>
          <w:szCs w:val="22"/>
          <w:lang w:eastAsia="en-US"/>
        </w:rPr>
        <w:t>Η ενωσιακή συνδρομή από τ</w:t>
      </w:r>
      <w:r w:rsidR="00516330">
        <w:rPr>
          <w:sz w:val="22"/>
          <w:szCs w:val="22"/>
          <w:lang w:eastAsia="en-US"/>
        </w:rPr>
        <w:t>ο CEF, για το σύνολο των κρατών-</w:t>
      </w:r>
      <w:r w:rsidRPr="009441D7">
        <w:rPr>
          <w:sz w:val="22"/>
          <w:szCs w:val="22"/>
          <w:lang w:eastAsia="en-US"/>
        </w:rPr>
        <w:t>μελών, ανέρχεται σε 33.200 εκατ. ε</w:t>
      </w:r>
      <w:r w:rsidRPr="009441D7">
        <w:rPr>
          <w:sz w:val="22"/>
          <w:szCs w:val="22"/>
          <w:lang w:eastAsia="en-US"/>
        </w:rPr>
        <w:t>υ</w:t>
      </w:r>
      <w:r w:rsidRPr="009441D7">
        <w:rPr>
          <w:sz w:val="22"/>
          <w:szCs w:val="22"/>
          <w:lang w:eastAsia="en-US"/>
        </w:rPr>
        <w:t>ρώ και τελεί υπό την κεντρική διαχείριση της Ευρωπαϊκής Επιτροπής με την υποστήριξη</w:t>
      </w:r>
      <w:r w:rsidR="00516330">
        <w:rPr>
          <w:sz w:val="22"/>
          <w:szCs w:val="22"/>
          <w:lang w:eastAsia="en-US"/>
        </w:rPr>
        <w:t xml:space="preserve"> του</w:t>
      </w:r>
      <w:r w:rsidRPr="009441D7">
        <w:rPr>
          <w:sz w:val="22"/>
          <w:szCs w:val="22"/>
          <w:lang w:eastAsia="en-US"/>
        </w:rPr>
        <w:t xml:space="preserve"> εκτελ</w:t>
      </w:r>
      <w:r w:rsidRPr="009441D7">
        <w:rPr>
          <w:sz w:val="22"/>
          <w:szCs w:val="22"/>
          <w:lang w:eastAsia="en-US"/>
        </w:rPr>
        <w:t>ε</w:t>
      </w:r>
      <w:r w:rsidRPr="009441D7">
        <w:rPr>
          <w:sz w:val="22"/>
          <w:szCs w:val="22"/>
          <w:lang w:eastAsia="en-US"/>
        </w:rPr>
        <w:t xml:space="preserve">στικού οργανισμού </w:t>
      </w:r>
      <w:hyperlink r:id="rId12" w:history="1">
        <w:r w:rsidRPr="009441D7">
          <w:rPr>
            <w:sz w:val="22"/>
            <w:szCs w:val="22"/>
            <w:lang w:eastAsia="en-US"/>
          </w:rPr>
          <w:t>Innovation &amp; Networks Executive Agency</w:t>
        </w:r>
      </w:hyperlink>
      <w:r w:rsidR="008967F1">
        <w:rPr>
          <w:sz w:val="22"/>
          <w:szCs w:val="22"/>
          <w:lang w:eastAsia="en-US"/>
        </w:rPr>
        <w:t xml:space="preserve"> </w:t>
      </w:r>
      <w:r w:rsidR="00516330">
        <w:rPr>
          <w:sz w:val="22"/>
          <w:szCs w:val="22"/>
          <w:lang w:eastAsia="en-US"/>
        </w:rPr>
        <w:t>(</w:t>
      </w:r>
      <w:r w:rsidRPr="009441D7">
        <w:rPr>
          <w:sz w:val="22"/>
          <w:szCs w:val="22"/>
          <w:lang w:eastAsia="en-US"/>
        </w:rPr>
        <w:t>ΙΝΕΑ).</w:t>
      </w:r>
    </w:p>
    <w:p w:rsidR="009441D7" w:rsidRPr="009441D7" w:rsidRDefault="009441D7" w:rsidP="0022482F">
      <w:pPr>
        <w:contextualSpacing/>
        <w:jc w:val="both"/>
        <w:rPr>
          <w:sz w:val="22"/>
          <w:szCs w:val="22"/>
          <w:lang w:eastAsia="en-US"/>
        </w:rPr>
      </w:pPr>
    </w:p>
    <w:p w:rsidR="009441D7" w:rsidRPr="009441D7" w:rsidRDefault="009441D7" w:rsidP="00F54EA6">
      <w:pPr>
        <w:contextualSpacing/>
        <w:jc w:val="both"/>
        <w:rPr>
          <w:sz w:val="22"/>
          <w:szCs w:val="22"/>
          <w:lang w:eastAsia="en-US"/>
        </w:rPr>
      </w:pPr>
      <w:r w:rsidRPr="009441D7">
        <w:rPr>
          <w:sz w:val="22"/>
          <w:szCs w:val="22"/>
          <w:lang w:eastAsia="en-US"/>
        </w:rPr>
        <w:t xml:space="preserve">Σε ό,τι αφορά στα έργα που χρηματοδοτούνται στη χώρα μας και για τα οποία έχουν ήδη εκδοθεί ή αναμένεται να εκδοθούν οι σχετικές εγκριτικές αποφάσεις, αυτά αφορούν κυρίως έργα </w:t>
      </w:r>
      <w:r w:rsidR="00FB69B8">
        <w:rPr>
          <w:sz w:val="22"/>
          <w:szCs w:val="22"/>
          <w:lang w:eastAsia="en-US"/>
        </w:rPr>
        <w:t>σ</w:t>
      </w:r>
      <w:r w:rsidRPr="009441D7">
        <w:rPr>
          <w:sz w:val="22"/>
          <w:szCs w:val="22"/>
          <w:lang w:eastAsia="en-US"/>
        </w:rPr>
        <w:t>το</w:t>
      </w:r>
      <w:r w:rsidR="00FB69B8">
        <w:rPr>
          <w:sz w:val="22"/>
          <w:szCs w:val="22"/>
          <w:lang w:eastAsia="en-US"/>
        </w:rPr>
        <w:t>ν</w:t>
      </w:r>
      <w:r w:rsidRPr="009441D7">
        <w:rPr>
          <w:sz w:val="22"/>
          <w:szCs w:val="22"/>
          <w:lang w:eastAsia="en-US"/>
        </w:rPr>
        <w:t xml:space="preserve"> τομέα των μεταφορών, προϋπολογισμού 934 εκατ. ευρώ, με συγχρηματοδότηση ύψους 606 εκατ. ευρώ, έργα </w:t>
      </w:r>
      <w:r w:rsidR="00FB69B8">
        <w:rPr>
          <w:sz w:val="22"/>
          <w:szCs w:val="22"/>
          <w:lang w:eastAsia="en-US"/>
        </w:rPr>
        <w:t>σ</w:t>
      </w:r>
      <w:r w:rsidRPr="009441D7">
        <w:rPr>
          <w:sz w:val="22"/>
          <w:szCs w:val="22"/>
          <w:lang w:eastAsia="en-US"/>
        </w:rPr>
        <w:t>το</w:t>
      </w:r>
      <w:r w:rsidR="00FB69B8">
        <w:rPr>
          <w:sz w:val="22"/>
          <w:szCs w:val="22"/>
          <w:lang w:eastAsia="en-US"/>
        </w:rPr>
        <w:t>ν</w:t>
      </w:r>
      <w:r w:rsidRPr="009441D7">
        <w:rPr>
          <w:sz w:val="22"/>
          <w:szCs w:val="22"/>
          <w:lang w:eastAsia="en-US"/>
        </w:rPr>
        <w:t xml:space="preserve"> τομέα ενέργειας, προϋπολογισμού 21 εκατ. ευρώ, με συγχρηματοδότηση ύψους 10,8 εκατ. ευρώ και έργα στον τομέα των τηλεπικοινωνιών, προϋπολογισμού 7,6 εκατ. ευρώ, με συγχρηματοδότηση ύψους 5,4 εκατ. ευρώ.</w:t>
      </w:r>
    </w:p>
    <w:p w:rsidR="009441D7" w:rsidRPr="009441D7" w:rsidRDefault="009441D7" w:rsidP="00F54EA6">
      <w:pPr>
        <w:contextualSpacing/>
        <w:jc w:val="both"/>
        <w:rPr>
          <w:sz w:val="22"/>
          <w:szCs w:val="22"/>
          <w:lang w:eastAsia="en-US"/>
        </w:rPr>
      </w:pPr>
    </w:p>
    <w:p w:rsidR="009441D7" w:rsidRPr="009441D7" w:rsidRDefault="009441D7" w:rsidP="00F54EA6">
      <w:pPr>
        <w:contextualSpacing/>
        <w:jc w:val="both"/>
        <w:rPr>
          <w:sz w:val="22"/>
          <w:szCs w:val="22"/>
          <w:lang w:eastAsia="en-US"/>
        </w:rPr>
      </w:pPr>
      <w:r w:rsidRPr="009441D7">
        <w:rPr>
          <w:sz w:val="22"/>
          <w:szCs w:val="22"/>
          <w:lang w:eastAsia="en-US"/>
        </w:rPr>
        <w:t>Με τις εκδοθείσες και υπό έκδοση αποφάσεις, η αναλογούσα για τη χώρα μας ενωσιακή συνδρομή, που προέρχεται από το Ταμείο Συνοχής, ύψους 580 εκατ. ευρώ, έχει δεσμευτεί και έχει εκταμιευτεί ήδη προκαταβολή ύψους 181 εκατ. ευρώ.</w:t>
      </w:r>
    </w:p>
    <w:p w:rsidR="00DC5D66" w:rsidRPr="009441D7" w:rsidRDefault="00DC5D66" w:rsidP="00F54EA6">
      <w:pPr>
        <w:contextualSpacing/>
        <w:jc w:val="both"/>
        <w:rPr>
          <w:rFonts w:ascii="Arial Narrow" w:hAnsi="Arial Narrow"/>
          <w:b/>
          <w:color w:val="000080"/>
          <w:sz w:val="22"/>
          <w:szCs w:val="22"/>
        </w:rPr>
      </w:pPr>
    </w:p>
    <w:p w:rsidR="001757B7" w:rsidRPr="00FB587E" w:rsidRDefault="001757B7" w:rsidP="00F54EA6">
      <w:pPr>
        <w:jc w:val="both"/>
        <w:rPr>
          <w:rFonts w:ascii="Arial Narrow" w:hAnsi="Arial Narrow"/>
          <w:b/>
          <w:color w:val="000080"/>
        </w:rPr>
      </w:pPr>
      <w:r w:rsidRPr="00FB587E">
        <w:rPr>
          <w:rFonts w:ascii="Arial Narrow" w:hAnsi="Arial Narrow"/>
          <w:b/>
          <w:color w:val="000080"/>
        </w:rPr>
        <w:t>ΠΔΕ</w:t>
      </w:r>
      <w:r w:rsidR="00DC5D66">
        <w:rPr>
          <w:rFonts w:ascii="Arial Narrow" w:hAnsi="Arial Narrow"/>
          <w:b/>
          <w:color w:val="000080"/>
        </w:rPr>
        <w:t xml:space="preserve"> 2018</w:t>
      </w:r>
      <w:r>
        <w:rPr>
          <w:rFonts w:ascii="Arial Narrow" w:hAnsi="Arial Narrow"/>
          <w:b/>
          <w:color w:val="000080"/>
        </w:rPr>
        <w:t xml:space="preserve"> χρηματοδοτούμενο αμιγώς από εθνικούς πόρους</w:t>
      </w:r>
    </w:p>
    <w:p w:rsidR="0022482F" w:rsidRDefault="0022482F" w:rsidP="0022482F">
      <w:pPr>
        <w:jc w:val="both"/>
        <w:rPr>
          <w:sz w:val="22"/>
          <w:szCs w:val="22"/>
        </w:rPr>
      </w:pPr>
      <w:bookmarkStart w:id="2" w:name="_Toc371539165"/>
      <w:bookmarkStart w:id="3" w:name="_Toc371539283"/>
      <w:bookmarkStart w:id="4" w:name="_Toc371539334"/>
      <w:bookmarkStart w:id="5" w:name="_Toc371539460"/>
      <w:bookmarkStart w:id="6" w:name="_Toc434909239"/>
    </w:p>
    <w:p w:rsidR="0022482F" w:rsidRPr="0022482F" w:rsidRDefault="0022482F" w:rsidP="0022482F">
      <w:pPr>
        <w:jc w:val="both"/>
        <w:rPr>
          <w:sz w:val="22"/>
          <w:szCs w:val="22"/>
        </w:rPr>
      </w:pPr>
      <w:r w:rsidRPr="0022482F">
        <w:rPr>
          <w:sz w:val="22"/>
          <w:szCs w:val="22"/>
        </w:rPr>
        <w:t>Το ποσό των 1.000 εκατ. ευρώ προορίζεται για τη χρηματοδότηση έργων με τα οποία προωθούνται πολιτικές</w:t>
      </w:r>
      <w:r>
        <w:rPr>
          <w:sz w:val="22"/>
          <w:szCs w:val="22"/>
        </w:rPr>
        <w:t xml:space="preserve"> και δράσεις των υπουργείων</w:t>
      </w:r>
      <w:r w:rsidR="00516330">
        <w:rPr>
          <w:sz w:val="22"/>
          <w:szCs w:val="22"/>
        </w:rPr>
        <w:t>,</w:t>
      </w:r>
      <w:r>
        <w:rPr>
          <w:sz w:val="22"/>
          <w:szCs w:val="22"/>
        </w:rPr>
        <w:t xml:space="preserve"> των π</w:t>
      </w:r>
      <w:r w:rsidRPr="0022482F">
        <w:rPr>
          <w:sz w:val="22"/>
          <w:szCs w:val="22"/>
        </w:rPr>
        <w:t xml:space="preserve">εριφερειών και </w:t>
      </w:r>
      <w:r w:rsidR="00516330">
        <w:rPr>
          <w:sz w:val="22"/>
          <w:szCs w:val="22"/>
        </w:rPr>
        <w:t xml:space="preserve">για αντιμετώπιση </w:t>
      </w:r>
      <w:r w:rsidRPr="0022482F">
        <w:rPr>
          <w:sz w:val="22"/>
          <w:szCs w:val="22"/>
        </w:rPr>
        <w:t>έκτακτ</w:t>
      </w:r>
      <w:r w:rsidR="00516330">
        <w:rPr>
          <w:sz w:val="22"/>
          <w:szCs w:val="22"/>
        </w:rPr>
        <w:t>ων</w:t>
      </w:r>
      <w:r w:rsidRPr="0022482F">
        <w:rPr>
          <w:sz w:val="22"/>
          <w:szCs w:val="22"/>
        </w:rPr>
        <w:t xml:space="preserve"> αν</w:t>
      </w:r>
      <w:r w:rsidR="00516330">
        <w:rPr>
          <w:sz w:val="22"/>
          <w:szCs w:val="22"/>
        </w:rPr>
        <w:t>αγκών</w:t>
      </w:r>
      <w:r w:rsidRPr="0022482F">
        <w:rPr>
          <w:sz w:val="22"/>
          <w:szCs w:val="22"/>
        </w:rPr>
        <w:t>.</w:t>
      </w:r>
    </w:p>
    <w:p w:rsidR="0022482F" w:rsidRPr="0022482F" w:rsidRDefault="0022482F" w:rsidP="0022482F">
      <w:pPr>
        <w:jc w:val="both"/>
        <w:rPr>
          <w:sz w:val="22"/>
          <w:szCs w:val="22"/>
        </w:rPr>
      </w:pPr>
    </w:p>
    <w:p w:rsidR="0022482F" w:rsidRPr="0022482F" w:rsidRDefault="0022482F" w:rsidP="0022482F">
      <w:pPr>
        <w:jc w:val="both"/>
        <w:rPr>
          <w:sz w:val="22"/>
          <w:szCs w:val="22"/>
        </w:rPr>
      </w:pPr>
      <w:r w:rsidRPr="0022482F">
        <w:rPr>
          <w:sz w:val="22"/>
          <w:szCs w:val="22"/>
        </w:rPr>
        <w:t>Για την αποδοτικότερη διάθεση των πόρων της κατηγορίας αυτής, το 2018 θα ισχύσουν διαδικασίες</w:t>
      </w:r>
      <w:r w:rsidR="008967F1">
        <w:rPr>
          <w:sz w:val="22"/>
          <w:szCs w:val="22"/>
        </w:rPr>
        <w:t xml:space="preserve"> </w:t>
      </w:r>
      <w:r w:rsidRPr="0022482F">
        <w:rPr>
          <w:sz w:val="22"/>
          <w:szCs w:val="22"/>
        </w:rPr>
        <w:t>ορθότερης ιεράρχησης και επιλογής των έργων που θα χρηματοδοτηθούν, με βασικό κριτήριο την κ</w:t>
      </w:r>
      <w:r w:rsidRPr="0022482F">
        <w:rPr>
          <w:sz w:val="22"/>
          <w:szCs w:val="22"/>
        </w:rPr>
        <w:t>ά</w:t>
      </w:r>
      <w:r w:rsidRPr="0022482F">
        <w:rPr>
          <w:sz w:val="22"/>
          <w:szCs w:val="22"/>
        </w:rPr>
        <w:t>λυψη ανελαστικών υποχρεώσεων που αφορούν στην κοινωνική συνοχή. Επίσης, βασικό κριτήριο για τη χρηματοδότηση των έργων του εθνικού σκέλους του ΠΔΕ θα είναι και το 2018 η συμπληρωματ</w:t>
      </w:r>
      <w:r w:rsidRPr="0022482F">
        <w:rPr>
          <w:sz w:val="22"/>
          <w:szCs w:val="22"/>
        </w:rPr>
        <w:t>ι</w:t>
      </w:r>
      <w:r w:rsidRPr="0022482F">
        <w:rPr>
          <w:sz w:val="22"/>
          <w:szCs w:val="22"/>
        </w:rPr>
        <w:t>κότητα, οι συνέργειες και η σκοπιμότητα των δράσεων αυτών σε σχέση με την εκτέλεση έργων συ</w:t>
      </w:r>
      <w:r w:rsidRPr="0022482F">
        <w:rPr>
          <w:sz w:val="22"/>
          <w:szCs w:val="22"/>
        </w:rPr>
        <w:t>γ</w:t>
      </w:r>
      <w:r w:rsidRPr="0022482F">
        <w:rPr>
          <w:sz w:val="22"/>
          <w:szCs w:val="22"/>
        </w:rPr>
        <w:t>χρηματοδοτούμενων από την ΕΕ.</w:t>
      </w:r>
    </w:p>
    <w:p w:rsidR="0022482F" w:rsidRPr="0022482F" w:rsidRDefault="0022482F" w:rsidP="0022482F">
      <w:pPr>
        <w:jc w:val="both"/>
        <w:rPr>
          <w:sz w:val="22"/>
          <w:szCs w:val="22"/>
        </w:rPr>
      </w:pPr>
    </w:p>
    <w:p w:rsidR="0022482F" w:rsidRPr="0022482F" w:rsidRDefault="0022482F" w:rsidP="0022482F">
      <w:pPr>
        <w:jc w:val="both"/>
        <w:rPr>
          <w:sz w:val="22"/>
          <w:szCs w:val="22"/>
        </w:rPr>
      </w:pPr>
      <w:r w:rsidRPr="0022482F">
        <w:rPr>
          <w:sz w:val="22"/>
          <w:szCs w:val="22"/>
        </w:rPr>
        <w:t>Οι κατηγορίες έργων που θα χρηματοδοτηθούν περιλαμβάνουν κυρίως επενδυτικές δραστηριότητες των ΟΤΑ β’ βαθμού, συντηρήσεις υποδομών, αποκατάσταση ζημιών σε έργα υποδομής από φυσικές καταστροφές και ενισχύσεις πληγέντων από αυτές, ενισχύσεις ιδιωτικών επενδύσεων, σε εφαρμογή αναπτυξιακών νόμων, καθώς και έργα που αποσκοπούν στην ορθολογική οργάνωση και τον εκσυ</w:t>
      </w:r>
      <w:r w:rsidRPr="0022482F">
        <w:rPr>
          <w:sz w:val="22"/>
          <w:szCs w:val="22"/>
        </w:rPr>
        <w:t>γ</w:t>
      </w:r>
      <w:r w:rsidRPr="0022482F">
        <w:rPr>
          <w:sz w:val="22"/>
          <w:szCs w:val="22"/>
        </w:rPr>
        <w:t>χρονισμό της Δημόσιας Διοίκησης.</w:t>
      </w:r>
    </w:p>
    <w:p w:rsidR="0022482F" w:rsidRDefault="0022482F" w:rsidP="0022482F">
      <w:pPr>
        <w:jc w:val="both"/>
        <w:rPr>
          <w:sz w:val="22"/>
          <w:szCs w:val="22"/>
        </w:rPr>
      </w:pPr>
    </w:p>
    <w:p w:rsidR="0022482F" w:rsidRPr="0022482F" w:rsidRDefault="0022482F" w:rsidP="0022482F">
      <w:pPr>
        <w:jc w:val="both"/>
        <w:rPr>
          <w:sz w:val="22"/>
          <w:szCs w:val="22"/>
        </w:rPr>
      </w:pPr>
      <w:r w:rsidRPr="0022482F">
        <w:rPr>
          <w:sz w:val="22"/>
          <w:szCs w:val="22"/>
        </w:rPr>
        <w:t>Επίσης, στο πλαίσιο της ασκούμενης κοινωνικής πολιτικής για την υποβοήθηση κοινωνικών ομάδων με ιδιαίτερα προβλήματα, θα διατεθούν πόροι για τη</w:t>
      </w:r>
      <w:r w:rsidR="00B636E4">
        <w:rPr>
          <w:sz w:val="22"/>
          <w:szCs w:val="22"/>
        </w:rPr>
        <w:t>ν</w:t>
      </w:r>
      <w:r w:rsidRPr="0022482F">
        <w:rPr>
          <w:sz w:val="22"/>
          <w:szCs w:val="22"/>
        </w:rPr>
        <w:t xml:space="preserve"> κοινωνική πρόνοια και την καταπολέμηση της ανεργίας.</w:t>
      </w:r>
    </w:p>
    <w:p w:rsidR="0022482F" w:rsidRDefault="0022482F" w:rsidP="00F54EA6">
      <w:pPr>
        <w:jc w:val="both"/>
        <w:rPr>
          <w:rFonts w:ascii="Arial Narrow" w:hAnsi="Arial Narrow"/>
          <w:b/>
          <w:color w:val="000080"/>
        </w:rPr>
      </w:pPr>
    </w:p>
    <w:p w:rsidR="00486710" w:rsidRDefault="00486710" w:rsidP="00F54EA6">
      <w:pPr>
        <w:jc w:val="both"/>
        <w:rPr>
          <w:rFonts w:ascii="Arial Narrow" w:hAnsi="Arial Narrow"/>
          <w:b/>
          <w:color w:val="000080"/>
        </w:rPr>
      </w:pPr>
    </w:p>
    <w:p w:rsidR="00486710" w:rsidRDefault="00486710" w:rsidP="00F54EA6">
      <w:pPr>
        <w:jc w:val="both"/>
        <w:rPr>
          <w:rFonts w:ascii="Arial Narrow" w:hAnsi="Arial Narrow"/>
          <w:b/>
          <w:color w:val="000080"/>
        </w:rPr>
      </w:pPr>
    </w:p>
    <w:p w:rsidR="005725EE" w:rsidRPr="005725EE" w:rsidRDefault="005725EE" w:rsidP="00F54EA6">
      <w:pPr>
        <w:jc w:val="both"/>
        <w:rPr>
          <w:rFonts w:ascii="Arial Narrow" w:hAnsi="Arial Narrow"/>
          <w:b/>
          <w:color w:val="000080"/>
        </w:rPr>
      </w:pPr>
      <w:r w:rsidRPr="005725EE">
        <w:rPr>
          <w:rFonts w:ascii="Arial Narrow" w:hAnsi="Arial Narrow"/>
          <w:b/>
          <w:color w:val="000080"/>
        </w:rPr>
        <w:lastRenderedPageBreak/>
        <w:t>Χρηματοδοτούμενες δράσεις Φορέων πολιτικής</w:t>
      </w:r>
      <w:bookmarkEnd w:id="2"/>
      <w:bookmarkEnd w:id="3"/>
      <w:bookmarkEnd w:id="4"/>
      <w:bookmarkEnd w:id="5"/>
      <w:bookmarkEnd w:id="6"/>
    </w:p>
    <w:p w:rsidR="0022482F" w:rsidRDefault="0022482F" w:rsidP="0022482F">
      <w:pPr>
        <w:jc w:val="both"/>
        <w:rPr>
          <w:b/>
          <w:sz w:val="22"/>
          <w:szCs w:val="22"/>
        </w:rPr>
      </w:pPr>
      <w:bookmarkStart w:id="7" w:name="_Toc245019916"/>
      <w:bookmarkStart w:id="8" w:name="_Toc245020687"/>
      <w:bookmarkStart w:id="9" w:name="_Toc338847694"/>
      <w:bookmarkStart w:id="10" w:name="_Toc371539173"/>
      <w:bookmarkStart w:id="11" w:name="_Toc371539291"/>
      <w:bookmarkStart w:id="12" w:name="_Toc371539342"/>
      <w:bookmarkStart w:id="13" w:name="_Toc371539468"/>
      <w:bookmarkStart w:id="14" w:name="_Toc434909240"/>
      <w:bookmarkEnd w:id="7"/>
      <w:bookmarkEnd w:id="8"/>
    </w:p>
    <w:p w:rsidR="0022482F" w:rsidRPr="0022482F" w:rsidRDefault="0022482F" w:rsidP="0022482F">
      <w:pPr>
        <w:jc w:val="both"/>
        <w:rPr>
          <w:rFonts w:ascii="Arial Narrow" w:hAnsi="Arial Narrow"/>
          <w:b/>
          <w:i/>
          <w:sz w:val="22"/>
          <w:szCs w:val="22"/>
        </w:rPr>
      </w:pPr>
      <w:r w:rsidRPr="0022482F">
        <w:rPr>
          <w:rFonts w:ascii="Arial Narrow" w:hAnsi="Arial Narrow"/>
          <w:b/>
          <w:i/>
          <w:sz w:val="22"/>
          <w:szCs w:val="22"/>
        </w:rPr>
        <w:t>Δράσεις αρμοδιότητας του Υπουργείου Υποδομών και Μεταφορών</w:t>
      </w:r>
    </w:p>
    <w:p w:rsidR="0022482F" w:rsidRPr="0022482F" w:rsidRDefault="0022482F" w:rsidP="0022482F">
      <w:pPr>
        <w:jc w:val="both"/>
        <w:rPr>
          <w:b/>
          <w:sz w:val="22"/>
          <w:szCs w:val="22"/>
        </w:rPr>
      </w:pPr>
    </w:p>
    <w:p w:rsidR="0022482F" w:rsidRPr="0022482F" w:rsidRDefault="0022482F" w:rsidP="0022482F">
      <w:pPr>
        <w:jc w:val="both"/>
        <w:rPr>
          <w:sz w:val="22"/>
          <w:szCs w:val="22"/>
        </w:rPr>
      </w:pPr>
      <w:r w:rsidRPr="0022482F">
        <w:rPr>
          <w:sz w:val="22"/>
          <w:szCs w:val="22"/>
        </w:rPr>
        <w:t>Το Υπουργείο Υποδομών και Μεταφορών υλοποιεί μεγάλα έργα υποδομών που αφορούν κυρίως στην ανάπτυξη και τον εκσυγχρονισμό των μεταφορικών υποδομών.</w:t>
      </w:r>
    </w:p>
    <w:p w:rsidR="0022482F" w:rsidRPr="0022482F" w:rsidRDefault="0022482F" w:rsidP="0022482F">
      <w:pPr>
        <w:jc w:val="both"/>
        <w:rPr>
          <w:sz w:val="22"/>
          <w:szCs w:val="22"/>
        </w:rPr>
      </w:pPr>
    </w:p>
    <w:p w:rsidR="0022482F" w:rsidRPr="0022482F" w:rsidRDefault="0022482F" w:rsidP="0022482F">
      <w:pPr>
        <w:jc w:val="both"/>
        <w:rPr>
          <w:sz w:val="22"/>
          <w:szCs w:val="22"/>
        </w:rPr>
      </w:pPr>
      <w:r w:rsidRPr="0022482F">
        <w:rPr>
          <w:sz w:val="22"/>
          <w:szCs w:val="22"/>
        </w:rPr>
        <w:t>Το υλοποιούμενο πρόγραμμα περιλαμβάνει δράσεις που αφορούν στην κατασκευή των εθνικών οδ</w:t>
      </w:r>
      <w:r w:rsidRPr="0022482F">
        <w:rPr>
          <w:sz w:val="22"/>
          <w:szCs w:val="22"/>
        </w:rPr>
        <w:t>ι</w:t>
      </w:r>
      <w:r w:rsidRPr="0022482F">
        <w:rPr>
          <w:sz w:val="22"/>
          <w:szCs w:val="22"/>
        </w:rPr>
        <w:t xml:space="preserve">κών αξόνων, στην κατασκευή των έργων Μετρό, στην κατασκευή νέου σιδηροδρομικού δικτύου και στην επέκταση του ήδη υπάρχοντος, στην κατασκευή της επέκτασης του Προαστιακού Σιδηροδρόμου Αθηνών, στα λιμενικά έργα και στα έργα για τα αεροδρόμια, στα εγγειοβελτιωτικά έργα καθώς και στα έργα του συνολικού εθνικού και επαρχιακού οδικού δικτύου της χώρας. Επίσης, περιλαμβάνονται έργα κτιριακών υποδομών που συμβάλλουν σημαντικά στη βελτίωση των τομέων της υγείας, παιδείας και δικαιοσύνης (νοσοκομεία, σχολεία, δικαστικά μέγαρα, σωφρονιστικά ιδρύματα), καθώς και έργα για τη βελτίωση των υποδομών ύδρευσης και αποχέτευσης. </w:t>
      </w:r>
    </w:p>
    <w:p w:rsidR="0022482F" w:rsidRPr="0022482F" w:rsidRDefault="0022482F" w:rsidP="0022482F">
      <w:pPr>
        <w:jc w:val="both"/>
        <w:rPr>
          <w:sz w:val="22"/>
          <w:szCs w:val="22"/>
        </w:rPr>
      </w:pPr>
    </w:p>
    <w:p w:rsidR="0022482F" w:rsidRPr="0022482F" w:rsidRDefault="0022482F" w:rsidP="0022482F">
      <w:pPr>
        <w:jc w:val="both"/>
        <w:rPr>
          <w:rFonts w:ascii="Arial Narrow" w:hAnsi="Arial Narrow"/>
          <w:b/>
          <w:i/>
          <w:sz w:val="22"/>
          <w:szCs w:val="22"/>
        </w:rPr>
      </w:pPr>
      <w:r w:rsidRPr="0022482F">
        <w:rPr>
          <w:rFonts w:ascii="Arial Narrow" w:hAnsi="Arial Narrow"/>
          <w:b/>
          <w:i/>
          <w:sz w:val="22"/>
          <w:szCs w:val="22"/>
        </w:rPr>
        <w:t>Δράσεις αρμοδιότητας του Υπουργείου Οικονομίας και Ανάπτυξης</w:t>
      </w:r>
    </w:p>
    <w:p w:rsidR="0022482F" w:rsidRPr="0022482F" w:rsidRDefault="0022482F" w:rsidP="0022482F">
      <w:pPr>
        <w:jc w:val="both"/>
        <w:rPr>
          <w:b/>
          <w:sz w:val="22"/>
          <w:szCs w:val="22"/>
        </w:rPr>
      </w:pPr>
    </w:p>
    <w:p w:rsidR="0022482F" w:rsidRPr="0022482F" w:rsidRDefault="0022482F" w:rsidP="0022482F">
      <w:pPr>
        <w:jc w:val="both"/>
        <w:rPr>
          <w:sz w:val="22"/>
          <w:szCs w:val="22"/>
        </w:rPr>
      </w:pPr>
      <w:r w:rsidRPr="0022482F">
        <w:rPr>
          <w:sz w:val="22"/>
          <w:szCs w:val="22"/>
        </w:rPr>
        <w:t>Το ΠΔΕ στο πλαίσιο πολιτικών ενίσχυσης των ιδιωτικών επενδύσεων χρηματοδοτεί δράσεις που εν</w:t>
      </w:r>
      <w:r w:rsidRPr="0022482F">
        <w:rPr>
          <w:sz w:val="22"/>
          <w:szCs w:val="22"/>
        </w:rPr>
        <w:t>ι</w:t>
      </w:r>
      <w:r w:rsidRPr="0022482F">
        <w:rPr>
          <w:sz w:val="22"/>
          <w:szCs w:val="22"/>
        </w:rPr>
        <w:t>σχύουν τομείς βιομηχανίας, βιοτεχνίας, τουρισμού, προστασίας του περιβάλλοντος και τον πρωτογενή τομέα. Εργαλείο για την υλοποίηση των πολιτικών αυτών αποτελούν οι αναπτυξιακοί νόμοι, που στ</w:t>
      </w:r>
      <w:r w:rsidRPr="0022482F">
        <w:rPr>
          <w:sz w:val="22"/>
          <w:szCs w:val="22"/>
        </w:rPr>
        <w:t>η</w:t>
      </w:r>
      <w:r w:rsidRPr="0022482F">
        <w:rPr>
          <w:sz w:val="22"/>
          <w:szCs w:val="22"/>
        </w:rPr>
        <w:t>ρίζουν την ανάπτυξη τόσο των νέων όσο και των υφιστάμενων βιομηχανικών, βιοτεχνικών και ξεν</w:t>
      </w:r>
      <w:r w:rsidRPr="0022482F">
        <w:rPr>
          <w:sz w:val="22"/>
          <w:szCs w:val="22"/>
        </w:rPr>
        <w:t>ο</w:t>
      </w:r>
      <w:r w:rsidRPr="0022482F">
        <w:rPr>
          <w:sz w:val="22"/>
          <w:szCs w:val="22"/>
        </w:rPr>
        <w:t>δοχειακών επιχειρήσεων, των μονάδων γεωργικής και κτηνοτροφικής παρ</w:t>
      </w:r>
      <w:r w:rsidR="002430E0">
        <w:rPr>
          <w:sz w:val="22"/>
          <w:szCs w:val="22"/>
        </w:rPr>
        <w:t>αγωγής και</w:t>
      </w:r>
      <w:r w:rsidRPr="0022482F">
        <w:rPr>
          <w:sz w:val="22"/>
          <w:szCs w:val="22"/>
        </w:rPr>
        <w:t xml:space="preserve"> τον εκσυγχρ</w:t>
      </w:r>
      <w:r w:rsidRPr="0022482F">
        <w:rPr>
          <w:sz w:val="22"/>
          <w:szCs w:val="22"/>
        </w:rPr>
        <w:t>ο</w:t>
      </w:r>
      <w:r w:rsidRPr="0022482F">
        <w:rPr>
          <w:sz w:val="22"/>
          <w:szCs w:val="22"/>
        </w:rPr>
        <w:t>νισμό τους, την προώθηση των νέων τεχνολογιών και της καινοτομίας, τη συνέργεια και δικτύωση των επιχειρήσεων, την απασχόληση και την ανάπτυξη της περιφέρειας. Επίσης, για την ανάπτυξη και ενίσχυση των υπηρεσιών εμπορίου, ενισχύονται δράσεις που αφορούν τον εκσυγχρονισμό χερσαίων εμπορευματικών και οδικών μεταφορών.</w:t>
      </w:r>
    </w:p>
    <w:p w:rsidR="0022482F" w:rsidRPr="0022482F" w:rsidRDefault="0022482F" w:rsidP="0022482F">
      <w:pPr>
        <w:jc w:val="both"/>
        <w:rPr>
          <w:sz w:val="22"/>
          <w:szCs w:val="22"/>
        </w:rPr>
      </w:pPr>
    </w:p>
    <w:p w:rsidR="0022482F" w:rsidRPr="0022482F" w:rsidRDefault="0022482F" w:rsidP="0022482F">
      <w:pPr>
        <w:jc w:val="both"/>
        <w:rPr>
          <w:sz w:val="22"/>
          <w:szCs w:val="22"/>
        </w:rPr>
      </w:pPr>
      <w:r w:rsidRPr="0022482F">
        <w:rPr>
          <w:sz w:val="22"/>
          <w:szCs w:val="22"/>
        </w:rPr>
        <w:t>Επιπλέον, παρεμβαίνει για την στήριξη της ανταγωνιστικότητας και της εξωστρέφειας των επιχειρ</w:t>
      </w:r>
      <w:r w:rsidRPr="0022482F">
        <w:rPr>
          <w:sz w:val="22"/>
          <w:szCs w:val="22"/>
        </w:rPr>
        <w:t>ή</w:t>
      </w:r>
      <w:r w:rsidRPr="0022482F">
        <w:rPr>
          <w:sz w:val="22"/>
          <w:szCs w:val="22"/>
        </w:rPr>
        <w:t xml:space="preserve">σεων, με υλοποίηση προγραμμάτων ενίσχυσης μικρομεσαίων επιχειρήσεων που δραστηριοποιούνται στους τομείς της μεταποίησης, </w:t>
      </w:r>
      <w:r w:rsidR="00FB69B8">
        <w:rPr>
          <w:sz w:val="22"/>
          <w:szCs w:val="22"/>
        </w:rPr>
        <w:t xml:space="preserve">του </w:t>
      </w:r>
      <w:r w:rsidRPr="0022482F">
        <w:rPr>
          <w:sz w:val="22"/>
          <w:szCs w:val="22"/>
        </w:rPr>
        <w:t xml:space="preserve">τουρισμού, </w:t>
      </w:r>
      <w:r w:rsidR="00FB69B8">
        <w:rPr>
          <w:sz w:val="22"/>
          <w:szCs w:val="22"/>
        </w:rPr>
        <w:t xml:space="preserve">του </w:t>
      </w:r>
      <w:r w:rsidRPr="0022482F">
        <w:rPr>
          <w:sz w:val="22"/>
          <w:szCs w:val="22"/>
        </w:rPr>
        <w:t xml:space="preserve">εμπορίου και </w:t>
      </w:r>
      <w:r w:rsidR="00FB69B8">
        <w:rPr>
          <w:sz w:val="22"/>
          <w:szCs w:val="22"/>
        </w:rPr>
        <w:t>των</w:t>
      </w:r>
      <w:r w:rsidRPr="0022482F">
        <w:rPr>
          <w:sz w:val="22"/>
          <w:szCs w:val="22"/>
        </w:rPr>
        <w:t xml:space="preserve"> υπηρεσιών.</w:t>
      </w:r>
    </w:p>
    <w:p w:rsidR="0022482F" w:rsidRPr="0022482F" w:rsidRDefault="0022482F" w:rsidP="0022482F">
      <w:pPr>
        <w:jc w:val="both"/>
        <w:rPr>
          <w:sz w:val="22"/>
          <w:szCs w:val="22"/>
        </w:rPr>
      </w:pPr>
    </w:p>
    <w:p w:rsidR="0022482F" w:rsidRDefault="0022482F" w:rsidP="0022482F">
      <w:pPr>
        <w:jc w:val="both"/>
        <w:rPr>
          <w:sz w:val="22"/>
          <w:szCs w:val="22"/>
        </w:rPr>
      </w:pPr>
      <w:r w:rsidRPr="0022482F">
        <w:rPr>
          <w:sz w:val="22"/>
          <w:szCs w:val="22"/>
        </w:rPr>
        <w:t>Τέλος, αναπτύσσ</w:t>
      </w:r>
      <w:r w:rsidR="002430E0">
        <w:rPr>
          <w:sz w:val="22"/>
          <w:szCs w:val="22"/>
        </w:rPr>
        <w:t>ονται</w:t>
      </w:r>
      <w:r w:rsidRPr="0022482F">
        <w:rPr>
          <w:sz w:val="22"/>
          <w:szCs w:val="22"/>
        </w:rPr>
        <w:t xml:space="preserve"> παρεμβάσεις γενικότερου οικονομικού σχεδιασμού, δράσεις για την τεχνική υποστήριξη εφαρμογής του προγράμματος και υλοποι</w:t>
      </w:r>
      <w:r w:rsidR="002430E0">
        <w:rPr>
          <w:sz w:val="22"/>
          <w:szCs w:val="22"/>
        </w:rPr>
        <w:t>ούνται</w:t>
      </w:r>
      <w:r w:rsidRPr="0022482F">
        <w:rPr>
          <w:sz w:val="22"/>
          <w:szCs w:val="22"/>
        </w:rPr>
        <w:t xml:space="preserve"> έργα περιφερειακού επιπέδου. </w:t>
      </w:r>
    </w:p>
    <w:p w:rsidR="00FF0560" w:rsidRPr="0022482F" w:rsidRDefault="00FF0560" w:rsidP="0022482F">
      <w:pPr>
        <w:jc w:val="both"/>
        <w:rPr>
          <w:sz w:val="22"/>
          <w:szCs w:val="22"/>
        </w:rPr>
      </w:pPr>
    </w:p>
    <w:p w:rsidR="0022482F" w:rsidRPr="0022482F" w:rsidRDefault="0022482F" w:rsidP="0022482F">
      <w:pPr>
        <w:jc w:val="both"/>
        <w:rPr>
          <w:sz w:val="22"/>
          <w:szCs w:val="22"/>
        </w:rPr>
      </w:pPr>
      <w:r w:rsidRPr="0022482F">
        <w:rPr>
          <w:sz w:val="22"/>
          <w:szCs w:val="22"/>
        </w:rPr>
        <w:t xml:space="preserve">Θα πρέπει επίσης να </w:t>
      </w:r>
      <w:r w:rsidR="00AF3666">
        <w:rPr>
          <w:sz w:val="22"/>
          <w:szCs w:val="22"/>
        </w:rPr>
        <w:t>τονισθεί</w:t>
      </w:r>
      <w:r w:rsidRPr="0022482F">
        <w:rPr>
          <w:sz w:val="22"/>
          <w:szCs w:val="22"/>
        </w:rPr>
        <w:t xml:space="preserve"> ότι, η διοχέτευση των πόρων για τη χρηματοδότηση των Περιφερειακών Προγραμμάτων του ΠΔΕ πραγματοποιείται μέσω του Υπουργείου Οικονομίας και Ανάπτυξης και για το λόγο αυτό έχουν </w:t>
      </w:r>
      <w:r w:rsidR="00AF3666">
        <w:rPr>
          <w:sz w:val="22"/>
          <w:szCs w:val="22"/>
        </w:rPr>
        <w:t xml:space="preserve">προβλεφθεί </w:t>
      </w:r>
      <w:r w:rsidRPr="0022482F">
        <w:rPr>
          <w:sz w:val="22"/>
          <w:szCs w:val="22"/>
        </w:rPr>
        <w:t>πιστώσεις ύψους 1.180 εκατ. ευρώ προκειμένου να χρηματοδοτηθεί η υλοποίηση έργων στο πλαίσιο τ</w:t>
      </w:r>
      <w:r w:rsidR="00AF3666">
        <w:rPr>
          <w:sz w:val="22"/>
          <w:szCs w:val="22"/>
        </w:rPr>
        <w:t>ου Περιφερειακού Προγράμματος.</w:t>
      </w:r>
    </w:p>
    <w:p w:rsidR="0022482F" w:rsidRPr="0022482F" w:rsidRDefault="0022482F" w:rsidP="0022482F">
      <w:pPr>
        <w:jc w:val="both"/>
        <w:rPr>
          <w:sz w:val="22"/>
          <w:szCs w:val="22"/>
        </w:rPr>
      </w:pPr>
    </w:p>
    <w:p w:rsidR="0022482F" w:rsidRPr="0022482F" w:rsidRDefault="0022482F" w:rsidP="0022482F">
      <w:pPr>
        <w:jc w:val="both"/>
        <w:rPr>
          <w:rFonts w:ascii="Arial Narrow" w:hAnsi="Arial Narrow"/>
          <w:i/>
          <w:sz w:val="22"/>
          <w:szCs w:val="22"/>
        </w:rPr>
      </w:pPr>
      <w:bookmarkStart w:id="15" w:name="_Toc497857001"/>
      <w:r w:rsidRPr="0022482F">
        <w:rPr>
          <w:rFonts w:ascii="Arial Narrow" w:hAnsi="Arial Narrow"/>
          <w:b/>
          <w:i/>
          <w:sz w:val="22"/>
          <w:szCs w:val="22"/>
        </w:rPr>
        <w:t>Δράσεις αρμοδιότητας του Υπουργείου Αγροτικής Ανάπτυξης και Τροφίμων</w:t>
      </w:r>
      <w:bookmarkEnd w:id="15"/>
    </w:p>
    <w:p w:rsidR="0022482F" w:rsidRPr="0022482F" w:rsidRDefault="0022482F" w:rsidP="0022482F">
      <w:pPr>
        <w:jc w:val="both"/>
        <w:rPr>
          <w:b/>
          <w:sz w:val="22"/>
          <w:szCs w:val="22"/>
        </w:rPr>
      </w:pPr>
    </w:p>
    <w:p w:rsidR="0022482F" w:rsidRPr="0022482F" w:rsidRDefault="0022482F" w:rsidP="0022482F">
      <w:pPr>
        <w:jc w:val="both"/>
        <w:rPr>
          <w:sz w:val="22"/>
          <w:szCs w:val="22"/>
        </w:rPr>
      </w:pPr>
      <w:r w:rsidRPr="0022482F">
        <w:rPr>
          <w:sz w:val="22"/>
          <w:szCs w:val="22"/>
        </w:rPr>
        <w:t>Στα έργα του γεωργικού τομέα περιλαμβάνονται έργα υποδομών για τη βελτίωση συνθηκών μεταπο</w:t>
      </w:r>
      <w:r w:rsidRPr="0022482F">
        <w:rPr>
          <w:sz w:val="22"/>
          <w:szCs w:val="22"/>
        </w:rPr>
        <w:t>ί</w:t>
      </w:r>
      <w:r w:rsidRPr="0022482F">
        <w:rPr>
          <w:sz w:val="22"/>
          <w:szCs w:val="22"/>
        </w:rPr>
        <w:t>ησης και εμπορίας γεωργικών προϊόντων, οικονομικές ενισχύσεις γεωργικών προγραμμάτων, κατ</w:t>
      </w:r>
      <w:r w:rsidRPr="0022482F">
        <w:rPr>
          <w:sz w:val="22"/>
          <w:szCs w:val="22"/>
        </w:rPr>
        <w:t>α</w:t>
      </w:r>
      <w:r w:rsidRPr="0022482F">
        <w:rPr>
          <w:sz w:val="22"/>
          <w:szCs w:val="22"/>
        </w:rPr>
        <w:t>σκευαστικές βελτιώσεις και εξοπλισμός κτηνιατρικών εργαστηρίων σε ακριτικές περιοχές, εγγειοβε</w:t>
      </w:r>
      <w:r w:rsidRPr="0022482F">
        <w:rPr>
          <w:sz w:val="22"/>
          <w:szCs w:val="22"/>
        </w:rPr>
        <w:t>λ</w:t>
      </w:r>
      <w:r w:rsidRPr="0022482F">
        <w:rPr>
          <w:sz w:val="22"/>
          <w:szCs w:val="22"/>
        </w:rPr>
        <w:t>τιωτικά έργα, έργα ενίσχυσης της αλιείας κ</w:t>
      </w:r>
      <w:r w:rsidR="00AF3666">
        <w:rPr>
          <w:sz w:val="22"/>
          <w:szCs w:val="22"/>
        </w:rPr>
        <w:t>.</w:t>
      </w:r>
      <w:r w:rsidRPr="0022482F">
        <w:rPr>
          <w:sz w:val="22"/>
          <w:szCs w:val="22"/>
        </w:rPr>
        <w:t xml:space="preserve">λπ. </w:t>
      </w:r>
    </w:p>
    <w:p w:rsidR="00F47CF3" w:rsidRPr="0022482F" w:rsidRDefault="00F47CF3" w:rsidP="0022482F">
      <w:pPr>
        <w:jc w:val="both"/>
        <w:rPr>
          <w:sz w:val="22"/>
          <w:szCs w:val="22"/>
        </w:rPr>
      </w:pPr>
    </w:p>
    <w:p w:rsidR="0022482F" w:rsidRPr="0022482F" w:rsidRDefault="0022482F" w:rsidP="0022482F">
      <w:pPr>
        <w:jc w:val="both"/>
        <w:rPr>
          <w:rFonts w:ascii="Arial Narrow" w:hAnsi="Arial Narrow"/>
          <w:b/>
          <w:i/>
          <w:sz w:val="22"/>
          <w:szCs w:val="22"/>
        </w:rPr>
      </w:pPr>
      <w:bookmarkStart w:id="16" w:name="_Toc497857002"/>
      <w:r w:rsidRPr="0022482F">
        <w:rPr>
          <w:rFonts w:ascii="Arial Narrow" w:hAnsi="Arial Narrow"/>
          <w:b/>
          <w:i/>
          <w:sz w:val="22"/>
          <w:szCs w:val="22"/>
        </w:rPr>
        <w:t>Δράσεις αρμοδιότητας του Υπουργείου Παιδείας, Έρευνας και Θρησκευμάτων και του Υπουργείου Πολ</w:t>
      </w:r>
      <w:r w:rsidRPr="0022482F">
        <w:rPr>
          <w:rFonts w:ascii="Arial Narrow" w:hAnsi="Arial Narrow"/>
          <w:b/>
          <w:i/>
          <w:sz w:val="22"/>
          <w:szCs w:val="22"/>
        </w:rPr>
        <w:t>ι</w:t>
      </w:r>
      <w:r w:rsidRPr="0022482F">
        <w:rPr>
          <w:rFonts w:ascii="Arial Narrow" w:hAnsi="Arial Narrow"/>
          <w:b/>
          <w:i/>
          <w:sz w:val="22"/>
          <w:szCs w:val="22"/>
        </w:rPr>
        <w:t>τισμού και Αθλητισμού</w:t>
      </w:r>
      <w:bookmarkEnd w:id="16"/>
    </w:p>
    <w:p w:rsidR="0022482F" w:rsidRPr="0022482F" w:rsidRDefault="0022482F" w:rsidP="0022482F">
      <w:pPr>
        <w:jc w:val="both"/>
        <w:rPr>
          <w:b/>
          <w:sz w:val="22"/>
          <w:szCs w:val="22"/>
        </w:rPr>
      </w:pPr>
    </w:p>
    <w:p w:rsidR="0022482F" w:rsidRPr="0022482F" w:rsidRDefault="0022482F" w:rsidP="0022482F">
      <w:pPr>
        <w:jc w:val="both"/>
        <w:rPr>
          <w:sz w:val="22"/>
          <w:szCs w:val="22"/>
        </w:rPr>
      </w:pPr>
      <w:r w:rsidRPr="0022482F">
        <w:rPr>
          <w:sz w:val="22"/>
          <w:szCs w:val="22"/>
        </w:rPr>
        <w:t>Τα έργα της παιδείας περιλαμβάνουν έργα υποδομής, κτηριακές εγκαταστάσεις και εξοπλισμό των ΑΕΙ και των ΤΕΙ, καθώς και των σχολικών μονάδων πρωτοβάθμιας και δευτεροβάθμιας εκπαίδευσης.</w:t>
      </w:r>
    </w:p>
    <w:p w:rsidR="0022482F" w:rsidRPr="0022482F" w:rsidRDefault="0022482F" w:rsidP="0022482F">
      <w:pPr>
        <w:jc w:val="both"/>
        <w:rPr>
          <w:sz w:val="22"/>
          <w:szCs w:val="22"/>
        </w:rPr>
      </w:pPr>
    </w:p>
    <w:p w:rsidR="00AF3666" w:rsidRDefault="0022482F" w:rsidP="0022482F">
      <w:pPr>
        <w:jc w:val="both"/>
        <w:rPr>
          <w:sz w:val="22"/>
          <w:szCs w:val="22"/>
        </w:rPr>
      </w:pPr>
      <w:r w:rsidRPr="0022482F">
        <w:rPr>
          <w:sz w:val="22"/>
          <w:szCs w:val="22"/>
        </w:rPr>
        <w:t xml:space="preserve">Η ταχύτητα των τεχνολογικών και οργανωτικών αλλαγών στην παραγωγική διαδικασία δημιουργεί συνεχώς την ανάγκη απόκτησης νέων γνώσεων και ανάπτυξης ποικίλων δεξιοτήτων στο κοινωνικό </w:t>
      </w:r>
      <w:r w:rsidRPr="0022482F">
        <w:rPr>
          <w:sz w:val="22"/>
          <w:szCs w:val="22"/>
        </w:rPr>
        <w:lastRenderedPageBreak/>
        <w:t>σύνολο. Η επίτευξη αυτού του στόχου επιτυγχάνεται μέσω των δράσεων των συγχρηματοδοτούμενων προγραμμάτων του ΕΣΠΑ που αφορούν στην Εκπαίδευση και Δια Βίου Μάθηση, το μεγαλύτερο μ</w:t>
      </w:r>
      <w:r w:rsidRPr="0022482F">
        <w:rPr>
          <w:sz w:val="22"/>
          <w:szCs w:val="22"/>
        </w:rPr>
        <w:t>έ</w:t>
      </w:r>
      <w:r w:rsidRPr="0022482F">
        <w:rPr>
          <w:sz w:val="22"/>
          <w:szCs w:val="22"/>
        </w:rPr>
        <w:t>ρος του οποίου υλοποιεί το Υπουργείο Παιδείας, Έρευνας και Θρησκευμάτων.</w:t>
      </w:r>
      <w:r w:rsidR="00AF3666">
        <w:rPr>
          <w:sz w:val="22"/>
          <w:szCs w:val="22"/>
        </w:rPr>
        <w:t xml:space="preserve"> Επίσης, χρηματοδ</w:t>
      </w:r>
      <w:r w:rsidR="00AF3666">
        <w:rPr>
          <w:sz w:val="22"/>
          <w:szCs w:val="22"/>
        </w:rPr>
        <w:t>ο</w:t>
      </w:r>
      <w:r w:rsidR="00AF3666">
        <w:rPr>
          <w:sz w:val="22"/>
          <w:szCs w:val="22"/>
        </w:rPr>
        <w:t xml:space="preserve">τούνται </w:t>
      </w:r>
      <w:r w:rsidRPr="0022482F">
        <w:rPr>
          <w:sz w:val="22"/>
          <w:szCs w:val="22"/>
        </w:rPr>
        <w:t>δράσεις για την έρευνα και την τεχνολογία, προγράμματα ανάπτυξης βιομηχανικών ερευνών, καθώς και προγράμματα ενίσχυσης ερευνητικού δυναμικού.</w:t>
      </w:r>
    </w:p>
    <w:p w:rsidR="00AF3666" w:rsidRDefault="00AF3666" w:rsidP="0022482F">
      <w:pPr>
        <w:jc w:val="both"/>
        <w:rPr>
          <w:sz w:val="22"/>
          <w:szCs w:val="22"/>
        </w:rPr>
      </w:pPr>
    </w:p>
    <w:p w:rsidR="0022482F" w:rsidRPr="0022482F" w:rsidRDefault="0022482F" w:rsidP="0022482F">
      <w:pPr>
        <w:jc w:val="both"/>
        <w:rPr>
          <w:sz w:val="22"/>
          <w:szCs w:val="22"/>
        </w:rPr>
      </w:pPr>
      <w:r w:rsidRPr="0022482F">
        <w:rPr>
          <w:sz w:val="22"/>
          <w:szCs w:val="22"/>
        </w:rPr>
        <w:t>Σημαντική είναι και η συμμετοχή του ΠΔΕ για έργα</w:t>
      </w:r>
      <w:r w:rsidR="00AF3666">
        <w:rPr>
          <w:sz w:val="22"/>
          <w:szCs w:val="22"/>
        </w:rPr>
        <w:t xml:space="preserve"> πολιτισμού, όπως η κατασκευή-</w:t>
      </w:r>
      <w:r w:rsidRPr="0022482F">
        <w:rPr>
          <w:sz w:val="22"/>
          <w:szCs w:val="22"/>
        </w:rPr>
        <w:t>επισκευή μο</w:t>
      </w:r>
      <w:r w:rsidRPr="0022482F">
        <w:rPr>
          <w:sz w:val="22"/>
          <w:szCs w:val="22"/>
        </w:rPr>
        <w:t>υ</w:t>
      </w:r>
      <w:r w:rsidRPr="0022482F">
        <w:rPr>
          <w:sz w:val="22"/>
          <w:szCs w:val="22"/>
        </w:rPr>
        <w:t>σείων, η συντήρηση μνημείων και αρχαιολογικών χώρων</w:t>
      </w:r>
      <w:r w:rsidR="00AF3666">
        <w:rPr>
          <w:sz w:val="22"/>
          <w:szCs w:val="22"/>
        </w:rPr>
        <w:t>,</w:t>
      </w:r>
      <w:r w:rsidRPr="0022482F">
        <w:rPr>
          <w:sz w:val="22"/>
          <w:szCs w:val="22"/>
        </w:rPr>
        <w:t xml:space="preserve"> όπως και η συνολική ανάδειξή τους, καθώς και για έργα αθλητισμού.</w:t>
      </w:r>
    </w:p>
    <w:p w:rsidR="0022482F" w:rsidRDefault="0022482F" w:rsidP="0022482F">
      <w:pPr>
        <w:jc w:val="both"/>
        <w:rPr>
          <w:sz w:val="22"/>
          <w:szCs w:val="22"/>
        </w:rPr>
      </w:pPr>
    </w:p>
    <w:p w:rsidR="0022482F" w:rsidRPr="0022482F" w:rsidRDefault="0022482F" w:rsidP="0022482F">
      <w:pPr>
        <w:jc w:val="both"/>
        <w:rPr>
          <w:rFonts w:ascii="Arial Narrow" w:hAnsi="Arial Narrow"/>
          <w:b/>
          <w:i/>
          <w:sz w:val="22"/>
          <w:szCs w:val="22"/>
        </w:rPr>
      </w:pPr>
      <w:bookmarkStart w:id="17" w:name="_Toc497857003"/>
      <w:r w:rsidRPr="0022482F">
        <w:rPr>
          <w:rFonts w:ascii="Arial Narrow" w:hAnsi="Arial Narrow"/>
          <w:b/>
          <w:i/>
          <w:sz w:val="22"/>
          <w:szCs w:val="22"/>
        </w:rPr>
        <w:t>Δράσεις αρμοδιότητας του Υπουργείου Περιβάλλοντος και Ενέργειας</w:t>
      </w:r>
      <w:bookmarkEnd w:id="17"/>
    </w:p>
    <w:p w:rsidR="0022482F" w:rsidRPr="0022482F" w:rsidRDefault="0022482F" w:rsidP="0022482F">
      <w:pPr>
        <w:jc w:val="both"/>
        <w:rPr>
          <w:b/>
          <w:sz w:val="22"/>
          <w:szCs w:val="22"/>
        </w:rPr>
      </w:pPr>
    </w:p>
    <w:p w:rsidR="0022482F" w:rsidRPr="0022482F" w:rsidRDefault="0022482F" w:rsidP="0022482F">
      <w:pPr>
        <w:jc w:val="both"/>
        <w:rPr>
          <w:sz w:val="22"/>
          <w:szCs w:val="22"/>
        </w:rPr>
      </w:pPr>
      <w:r w:rsidRPr="0022482F">
        <w:rPr>
          <w:sz w:val="22"/>
          <w:szCs w:val="22"/>
        </w:rPr>
        <w:t>Σημαντική είναι η συμμετοχή του ΠΔΕ 2018 για έργα που συμβάλλουν στην προστασία και αναβά</w:t>
      </w:r>
      <w:r w:rsidRPr="0022482F">
        <w:rPr>
          <w:sz w:val="22"/>
          <w:szCs w:val="22"/>
        </w:rPr>
        <w:t>θ</w:t>
      </w:r>
      <w:r w:rsidRPr="0022482F">
        <w:rPr>
          <w:sz w:val="22"/>
          <w:szCs w:val="22"/>
        </w:rPr>
        <w:t>μιση του περιβάλλοντος και την βιώσιμη οικιστική ανάπτυξη, καθώς και την προστασία των δασών. Στις δαπάνες για ενέργεια περιλαμβάνονται οι επιχορηγήσεις σε ενδιάμεσους φορείς (όπως Κέντ</w:t>
      </w:r>
      <w:r w:rsidR="00AF3666">
        <w:rPr>
          <w:sz w:val="22"/>
          <w:szCs w:val="22"/>
        </w:rPr>
        <w:t>ρο Ανανεώσιμων Πηγών Ενέργειας -</w:t>
      </w:r>
      <w:r w:rsidRPr="0022482F">
        <w:rPr>
          <w:sz w:val="22"/>
          <w:szCs w:val="22"/>
        </w:rPr>
        <w:t xml:space="preserve"> ΚΑΠΕ) για την πραγματοποίηση ιδιωτικών επενδύσεων ανανεώσ</w:t>
      </w:r>
      <w:r w:rsidRPr="0022482F">
        <w:rPr>
          <w:sz w:val="22"/>
          <w:szCs w:val="22"/>
        </w:rPr>
        <w:t>ι</w:t>
      </w:r>
      <w:r w:rsidRPr="0022482F">
        <w:rPr>
          <w:sz w:val="22"/>
          <w:szCs w:val="22"/>
        </w:rPr>
        <w:t>μων πηγών ενέργειας.</w:t>
      </w:r>
    </w:p>
    <w:p w:rsidR="0022482F" w:rsidRPr="0022482F" w:rsidRDefault="0022482F" w:rsidP="0022482F">
      <w:pPr>
        <w:jc w:val="both"/>
        <w:rPr>
          <w:sz w:val="22"/>
          <w:szCs w:val="22"/>
        </w:rPr>
      </w:pPr>
    </w:p>
    <w:p w:rsidR="0022482F" w:rsidRPr="0022482F" w:rsidRDefault="0022482F" w:rsidP="0022482F">
      <w:pPr>
        <w:jc w:val="both"/>
        <w:rPr>
          <w:rFonts w:ascii="Arial Narrow" w:hAnsi="Arial Narrow"/>
          <w:b/>
          <w:i/>
          <w:sz w:val="22"/>
          <w:szCs w:val="22"/>
        </w:rPr>
      </w:pPr>
      <w:bookmarkStart w:id="18" w:name="_Toc497857004"/>
      <w:r w:rsidRPr="0022482F">
        <w:rPr>
          <w:rFonts w:ascii="Arial Narrow" w:hAnsi="Arial Narrow"/>
          <w:b/>
          <w:i/>
          <w:sz w:val="22"/>
          <w:szCs w:val="22"/>
        </w:rPr>
        <w:t>Δράσεις αρμοδιότητας Υπουργείου Εργασίας Κοινωνικής Ασφάλισης και Κοινωνικής Αλληλεγγύης και του Υπουργείου Υγείας</w:t>
      </w:r>
      <w:bookmarkEnd w:id="18"/>
    </w:p>
    <w:p w:rsidR="0022482F" w:rsidRPr="0022482F" w:rsidRDefault="0022482F" w:rsidP="0022482F">
      <w:pPr>
        <w:jc w:val="both"/>
        <w:rPr>
          <w:b/>
          <w:sz w:val="22"/>
          <w:szCs w:val="22"/>
        </w:rPr>
      </w:pPr>
    </w:p>
    <w:p w:rsidR="0022482F" w:rsidRPr="0022482F" w:rsidRDefault="0022482F" w:rsidP="0022482F">
      <w:pPr>
        <w:jc w:val="both"/>
        <w:rPr>
          <w:sz w:val="22"/>
          <w:szCs w:val="22"/>
        </w:rPr>
      </w:pPr>
      <w:r w:rsidRPr="0022482F">
        <w:rPr>
          <w:sz w:val="22"/>
          <w:szCs w:val="22"/>
        </w:rPr>
        <w:t>Στο πλαίσιο του υπάρχοντος δυναμικού και ευμετάβλητου εργασιακού περιβάλλοντος, δράσεις που αφορούν στην προώθηση της απασχόλησης, την ενίσχυση της επιχειρηματικότητας και την καταπ</w:t>
      </w:r>
      <w:r w:rsidRPr="0022482F">
        <w:rPr>
          <w:sz w:val="22"/>
          <w:szCs w:val="22"/>
        </w:rPr>
        <w:t>ο</w:t>
      </w:r>
      <w:r w:rsidRPr="0022482F">
        <w:rPr>
          <w:sz w:val="22"/>
          <w:szCs w:val="22"/>
        </w:rPr>
        <w:t>λέμηση του κοινωνικού αποκλεισμού κρίνονται σημαντικές. Ο ρόλος της κατάρτισης και της εκπα</w:t>
      </w:r>
      <w:r w:rsidRPr="0022482F">
        <w:rPr>
          <w:sz w:val="22"/>
          <w:szCs w:val="22"/>
        </w:rPr>
        <w:t>ί</w:t>
      </w:r>
      <w:r w:rsidRPr="0022482F">
        <w:rPr>
          <w:sz w:val="22"/>
          <w:szCs w:val="22"/>
        </w:rPr>
        <w:t>δευσης καθίσταται πρωταρχικός, τόσο για τους άνεργους όσο και για τους εργαζόμενους</w:t>
      </w:r>
      <w:r w:rsidR="008967F1">
        <w:rPr>
          <w:sz w:val="22"/>
          <w:szCs w:val="22"/>
        </w:rPr>
        <w:t xml:space="preserve"> </w:t>
      </w:r>
      <w:r w:rsidRPr="0022482F">
        <w:rPr>
          <w:sz w:val="22"/>
          <w:szCs w:val="22"/>
        </w:rPr>
        <w:t>με ιδιαίτερη βαρύτητα στους νέους και τις γυναίκες, στο</w:t>
      </w:r>
      <w:r w:rsidR="00AF3666">
        <w:rPr>
          <w:sz w:val="22"/>
          <w:szCs w:val="22"/>
        </w:rPr>
        <w:t>ν</w:t>
      </w:r>
      <w:r w:rsidRPr="0022482F">
        <w:rPr>
          <w:sz w:val="22"/>
          <w:szCs w:val="22"/>
        </w:rPr>
        <w:t xml:space="preserve"> τομέα της ενίσχυσης των προοπτικών απασχόλησης, α</w:t>
      </w:r>
      <w:r w:rsidRPr="0022482F">
        <w:rPr>
          <w:sz w:val="22"/>
          <w:szCs w:val="22"/>
        </w:rPr>
        <w:t>λ</w:t>
      </w:r>
      <w:r w:rsidRPr="0022482F">
        <w:rPr>
          <w:sz w:val="22"/>
          <w:szCs w:val="22"/>
        </w:rPr>
        <w:t>λά και της επαγγελματικής ανέλιξης αντίστοιχα.</w:t>
      </w:r>
    </w:p>
    <w:p w:rsidR="0022482F" w:rsidRPr="0022482F" w:rsidRDefault="0022482F" w:rsidP="0022482F">
      <w:pPr>
        <w:jc w:val="both"/>
        <w:rPr>
          <w:sz w:val="22"/>
          <w:szCs w:val="22"/>
        </w:rPr>
      </w:pPr>
    </w:p>
    <w:p w:rsidR="0022482F" w:rsidRPr="0022482F" w:rsidRDefault="0022482F" w:rsidP="0022482F">
      <w:pPr>
        <w:jc w:val="both"/>
        <w:rPr>
          <w:sz w:val="22"/>
          <w:szCs w:val="22"/>
        </w:rPr>
      </w:pPr>
      <w:r w:rsidRPr="0022482F">
        <w:rPr>
          <w:sz w:val="22"/>
          <w:szCs w:val="22"/>
        </w:rPr>
        <w:t>Το ΠΔΕ στηρίζει τις παραπάνω δράσεις μέσω χρηματοδοτικών ενισχύσεων για την ανάληψη επιχε</w:t>
      </w:r>
      <w:r w:rsidRPr="0022482F">
        <w:rPr>
          <w:sz w:val="22"/>
          <w:szCs w:val="22"/>
        </w:rPr>
        <w:t>ι</w:t>
      </w:r>
      <w:r w:rsidRPr="0022482F">
        <w:rPr>
          <w:sz w:val="22"/>
          <w:szCs w:val="22"/>
        </w:rPr>
        <w:t>ρηματικών πρωτοβουλιών σε όλους σχεδόν τους τομείς οικονομικής δραστηριότητας, με προτεραι</w:t>
      </w:r>
      <w:r w:rsidRPr="0022482F">
        <w:rPr>
          <w:sz w:val="22"/>
          <w:szCs w:val="22"/>
        </w:rPr>
        <w:t>ό</w:t>
      </w:r>
      <w:r w:rsidRPr="0022482F">
        <w:rPr>
          <w:sz w:val="22"/>
          <w:szCs w:val="22"/>
        </w:rPr>
        <w:t>τητα σε κλάδους και τομείς της οικονομίας που ενσωματώνουν την καινοτομία. Ειδικά για τους νέους, ενισχύονται συστηματικά προγράμματα μετάβασης από την εκπαίδευση στην εργασία, ώστε να υπ</w:t>
      </w:r>
      <w:r w:rsidRPr="0022482F">
        <w:rPr>
          <w:sz w:val="22"/>
          <w:szCs w:val="22"/>
        </w:rPr>
        <w:t>ο</w:t>
      </w:r>
      <w:r w:rsidRPr="0022482F">
        <w:rPr>
          <w:sz w:val="22"/>
          <w:szCs w:val="22"/>
        </w:rPr>
        <w:t>στηριχθεί η απόκτηση πρώτης εργασιακής εμπειρίας, καθώς και η προώθηση της επιχειρηματικότ</w:t>
      </w:r>
      <w:r w:rsidRPr="0022482F">
        <w:rPr>
          <w:sz w:val="22"/>
          <w:szCs w:val="22"/>
        </w:rPr>
        <w:t>η</w:t>
      </w:r>
      <w:r w:rsidRPr="0022482F">
        <w:rPr>
          <w:sz w:val="22"/>
          <w:szCs w:val="22"/>
        </w:rPr>
        <w:t>τας.</w:t>
      </w:r>
    </w:p>
    <w:p w:rsidR="0022482F" w:rsidRPr="0022482F" w:rsidRDefault="0022482F" w:rsidP="0022482F">
      <w:pPr>
        <w:jc w:val="both"/>
        <w:rPr>
          <w:sz w:val="22"/>
          <w:szCs w:val="22"/>
        </w:rPr>
      </w:pPr>
    </w:p>
    <w:p w:rsidR="0022482F" w:rsidRPr="0022482F" w:rsidRDefault="0022482F" w:rsidP="0022482F">
      <w:pPr>
        <w:jc w:val="both"/>
        <w:rPr>
          <w:sz w:val="22"/>
          <w:szCs w:val="22"/>
        </w:rPr>
      </w:pPr>
      <w:r w:rsidRPr="0022482F">
        <w:rPr>
          <w:sz w:val="22"/>
          <w:szCs w:val="22"/>
        </w:rPr>
        <w:t>Στις δαπάνες για την υγεία και την πρόνοια περιλαμβάνονται, μεταξύ άλλων, δαπάνες για εξοπλισμό των νοσοκομείων, για λειτουργία παιδικών σταθμών και γηροκομείων, για δημιουργία δομών απο</w:t>
      </w:r>
      <w:r w:rsidRPr="0022482F">
        <w:rPr>
          <w:sz w:val="22"/>
          <w:szCs w:val="22"/>
        </w:rPr>
        <w:t>α</w:t>
      </w:r>
      <w:r w:rsidRPr="0022482F">
        <w:rPr>
          <w:sz w:val="22"/>
          <w:szCs w:val="22"/>
        </w:rPr>
        <w:t>συλοποίησης ψυχικά ασθενών όπως και δομών παροχής φροντίδας ψυχικής υγείας, καθώς και δαπ</w:t>
      </w:r>
      <w:r w:rsidRPr="0022482F">
        <w:rPr>
          <w:sz w:val="22"/>
          <w:szCs w:val="22"/>
        </w:rPr>
        <w:t>ά</w:t>
      </w:r>
      <w:r w:rsidRPr="0022482F">
        <w:rPr>
          <w:sz w:val="22"/>
          <w:szCs w:val="22"/>
        </w:rPr>
        <w:t>νες για την αντιμετώπιση εκτάκτων αναγκών.</w:t>
      </w:r>
    </w:p>
    <w:p w:rsidR="009D635E" w:rsidRDefault="009D635E" w:rsidP="0022482F">
      <w:pPr>
        <w:jc w:val="both"/>
        <w:rPr>
          <w:sz w:val="22"/>
          <w:szCs w:val="22"/>
        </w:rPr>
      </w:pPr>
    </w:p>
    <w:p w:rsidR="0022482F" w:rsidRPr="0022482F" w:rsidRDefault="0022482F" w:rsidP="0022482F">
      <w:pPr>
        <w:jc w:val="both"/>
        <w:rPr>
          <w:sz w:val="22"/>
          <w:szCs w:val="22"/>
        </w:rPr>
      </w:pPr>
      <w:r w:rsidRPr="0022482F">
        <w:rPr>
          <w:sz w:val="22"/>
          <w:szCs w:val="22"/>
        </w:rPr>
        <w:t>Τέλος, σημαντική παράμετρος αποτελεί η συνέργεια με δράσεις άλλων Υπουργείων με σκοπό το σ</w:t>
      </w:r>
      <w:r w:rsidRPr="0022482F">
        <w:rPr>
          <w:sz w:val="22"/>
          <w:szCs w:val="22"/>
        </w:rPr>
        <w:t>υ</w:t>
      </w:r>
      <w:r w:rsidRPr="0022482F">
        <w:rPr>
          <w:sz w:val="22"/>
          <w:szCs w:val="22"/>
        </w:rPr>
        <w:t>ντονισμό και τη συμπληρωματικότητα των δράσεων, ώστε να παραχθούν πολλαπλασιαστικά αποτ</w:t>
      </w:r>
      <w:r w:rsidRPr="0022482F">
        <w:rPr>
          <w:sz w:val="22"/>
          <w:szCs w:val="22"/>
        </w:rPr>
        <w:t>ε</w:t>
      </w:r>
      <w:r w:rsidRPr="0022482F">
        <w:rPr>
          <w:sz w:val="22"/>
          <w:szCs w:val="22"/>
        </w:rPr>
        <w:t>λέσματα.</w:t>
      </w:r>
    </w:p>
    <w:p w:rsidR="00F47CF3" w:rsidRPr="0022482F" w:rsidRDefault="00F47CF3" w:rsidP="0022482F">
      <w:pPr>
        <w:jc w:val="both"/>
        <w:rPr>
          <w:sz w:val="22"/>
          <w:szCs w:val="22"/>
        </w:rPr>
      </w:pPr>
    </w:p>
    <w:p w:rsidR="0022482F" w:rsidRPr="0022482F" w:rsidRDefault="0022482F" w:rsidP="0022482F">
      <w:pPr>
        <w:jc w:val="both"/>
        <w:rPr>
          <w:rFonts w:ascii="Arial Narrow" w:hAnsi="Arial Narrow"/>
          <w:b/>
          <w:i/>
          <w:sz w:val="22"/>
          <w:szCs w:val="22"/>
        </w:rPr>
      </w:pPr>
      <w:bookmarkStart w:id="19" w:name="_Toc497857005"/>
      <w:r w:rsidRPr="0022482F">
        <w:rPr>
          <w:rFonts w:ascii="Arial Narrow" w:hAnsi="Arial Narrow"/>
          <w:b/>
          <w:i/>
          <w:sz w:val="22"/>
          <w:szCs w:val="22"/>
        </w:rPr>
        <w:t>Δράσεις αρμοδιότητας των Υπουργείων Εσωτερικών, Διοικητικής Ανασυγκρότησης και Ψηφιακής Πολιτ</w:t>
      </w:r>
      <w:r w:rsidRPr="0022482F">
        <w:rPr>
          <w:rFonts w:ascii="Arial Narrow" w:hAnsi="Arial Narrow"/>
          <w:b/>
          <w:i/>
          <w:sz w:val="22"/>
          <w:szCs w:val="22"/>
        </w:rPr>
        <w:t>ι</w:t>
      </w:r>
      <w:r w:rsidRPr="0022482F">
        <w:rPr>
          <w:rFonts w:ascii="Arial Narrow" w:hAnsi="Arial Narrow"/>
          <w:b/>
          <w:i/>
          <w:sz w:val="22"/>
          <w:szCs w:val="22"/>
        </w:rPr>
        <w:t>κής, Τηλεπικοινωνιών και Ενημέρωσης</w:t>
      </w:r>
      <w:bookmarkEnd w:id="19"/>
    </w:p>
    <w:p w:rsidR="0022482F" w:rsidRPr="0022482F" w:rsidRDefault="0022482F" w:rsidP="0022482F">
      <w:pPr>
        <w:jc w:val="both"/>
        <w:rPr>
          <w:b/>
          <w:sz w:val="22"/>
          <w:szCs w:val="22"/>
        </w:rPr>
      </w:pPr>
    </w:p>
    <w:p w:rsidR="0022482F" w:rsidRPr="0022482F" w:rsidRDefault="0022482F" w:rsidP="0022482F">
      <w:pPr>
        <w:jc w:val="both"/>
        <w:rPr>
          <w:sz w:val="22"/>
          <w:szCs w:val="22"/>
        </w:rPr>
      </w:pPr>
      <w:r w:rsidRPr="0022482F">
        <w:rPr>
          <w:sz w:val="22"/>
          <w:szCs w:val="22"/>
        </w:rPr>
        <w:t>Σημαντικά κονδύλια θα διατεθούν το 2018 για τη χρηματοδότηση δράσεων για την τοπική αυτοδιο</w:t>
      </w:r>
      <w:r w:rsidRPr="0022482F">
        <w:rPr>
          <w:sz w:val="22"/>
          <w:szCs w:val="22"/>
        </w:rPr>
        <w:t>ί</w:t>
      </w:r>
      <w:r w:rsidRPr="0022482F">
        <w:rPr>
          <w:sz w:val="22"/>
          <w:szCs w:val="22"/>
        </w:rPr>
        <w:t>κηση, τον εκσυγχρονισμό και τη βελτίωση της λειτουργίας της Δημόσιας Διοίκησης</w:t>
      </w:r>
      <w:r w:rsidR="00AF3666">
        <w:rPr>
          <w:sz w:val="22"/>
          <w:szCs w:val="22"/>
        </w:rPr>
        <w:t>,</w:t>
      </w:r>
      <w:r w:rsidRPr="0022482F">
        <w:rPr>
          <w:sz w:val="22"/>
          <w:szCs w:val="22"/>
        </w:rPr>
        <w:t xml:space="preserve"> καθώς και τη</w:t>
      </w:r>
      <w:r w:rsidR="00AF3666">
        <w:rPr>
          <w:sz w:val="22"/>
          <w:szCs w:val="22"/>
        </w:rPr>
        <w:t>ν</w:t>
      </w:r>
      <w:r w:rsidRPr="0022482F">
        <w:rPr>
          <w:sz w:val="22"/>
          <w:szCs w:val="22"/>
        </w:rPr>
        <w:t xml:space="preserve"> ψηφιακή σύγκλιση.</w:t>
      </w:r>
    </w:p>
    <w:p w:rsidR="0022482F" w:rsidRPr="0022482F" w:rsidRDefault="0022482F" w:rsidP="0022482F">
      <w:pPr>
        <w:jc w:val="both"/>
        <w:rPr>
          <w:sz w:val="22"/>
          <w:szCs w:val="22"/>
        </w:rPr>
      </w:pPr>
    </w:p>
    <w:p w:rsidR="0022482F" w:rsidRPr="0022482F" w:rsidRDefault="0022482F" w:rsidP="0022482F">
      <w:pPr>
        <w:jc w:val="both"/>
        <w:rPr>
          <w:sz w:val="22"/>
          <w:szCs w:val="22"/>
        </w:rPr>
      </w:pPr>
      <w:r w:rsidRPr="0022482F">
        <w:rPr>
          <w:sz w:val="22"/>
          <w:szCs w:val="22"/>
        </w:rPr>
        <w:t xml:space="preserve">Στο πλαίσιο αυτό, χρηματοδοτούνται δράσεις για την τοπική αυτοδιοίκηση και τις κοινωνικές της </w:t>
      </w:r>
      <w:r w:rsidRPr="0022482F">
        <w:rPr>
          <w:sz w:val="22"/>
          <w:szCs w:val="22"/>
        </w:rPr>
        <w:t>υ</w:t>
      </w:r>
      <w:r w:rsidRPr="0022482F">
        <w:rPr>
          <w:sz w:val="22"/>
          <w:szCs w:val="22"/>
        </w:rPr>
        <w:t>ποδομές, την πρόληψη και αντιμετώπιση ζημιών/καταστροφών που προκαλούνται από θεομηνίες, τη βελτίωση της παραγωγικότητας και ποιότητας των δημοσίων υπηρεσιών, την άρση διοικητικών εμπ</w:t>
      </w:r>
      <w:r w:rsidRPr="0022482F">
        <w:rPr>
          <w:sz w:val="22"/>
          <w:szCs w:val="22"/>
        </w:rPr>
        <w:t>ο</w:t>
      </w:r>
      <w:r w:rsidRPr="0022482F">
        <w:rPr>
          <w:sz w:val="22"/>
          <w:szCs w:val="22"/>
        </w:rPr>
        <w:t>δίων, τη διοικητική διαφάνεια και τη</w:t>
      </w:r>
      <w:r w:rsidR="00AF3666">
        <w:rPr>
          <w:sz w:val="22"/>
          <w:szCs w:val="22"/>
        </w:rPr>
        <w:t>ν</w:t>
      </w:r>
      <w:r w:rsidRPr="0022482F">
        <w:rPr>
          <w:sz w:val="22"/>
          <w:szCs w:val="22"/>
        </w:rPr>
        <w:t xml:space="preserve"> καταπολέμηση της διαφθοράς, την ανάπτυξη της ηλεκτρονικής </w:t>
      </w:r>
      <w:r w:rsidRPr="0022482F">
        <w:rPr>
          <w:sz w:val="22"/>
          <w:szCs w:val="22"/>
        </w:rPr>
        <w:lastRenderedPageBreak/>
        <w:t>διακυβέρνησης, την ενίσχυση της διαπεριφερειακής συνεργασίας, τη μετατροπή των ΚΕΠ σε κέντρα ολοκληρωμένων συνα</w:t>
      </w:r>
      <w:r w:rsidR="009D635E">
        <w:rPr>
          <w:sz w:val="22"/>
          <w:szCs w:val="22"/>
        </w:rPr>
        <w:t>λλαγών, την ψηφιακή σύγκλιση κ.λπ</w:t>
      </w:r>
      <w:r w:rsidRPr="0022482F">
        <w:rPr>
          <w:sz w:val="22"/>
          <w:szCs w:val="22"/>
        </w:rPr>
        <w:t>.</w:t>
      </w:r>
    </w:p>
    <w:p w:rsidR="0022482F" w:rsidRPr="004F26BD" w:rsidRDefault="0022482F" w:rsidP="00F54EA6">
      <w:pPr>
        <w:jc w:val="both"/>
        <w:rPr>
          <w:sz w:val="22"/>
          <w:szCs w:val="22"/>
        </w:rPr>
      </w:pPr>
    </w:p>
    <w:tbl>
      <w:tblPr>
        <w:tblW w:w="10095" w:type="dxa"/>
        <w:jc w:val="center"/>
        <w:tblLayout w:type="fixed"/>
        <w:tblCellMar>
          <w:left w:w="28" w:type="dxa"/>
          <w:right w:w="28" w:type="dxa"/>
        </w:tblCellMar>
        <w:tblLook w:val="0000" w:firstRow="0" w:lastRow="0" w:firstColumn="0" w:lastColumn="0" w:noHBand="0" w:noVBand="0"/>
      </w:tblPr>
      <w:tblGrid>
        <w:gridCol w:w="2619"/>
        <w:gridCol w:w="681"/>
        <w:gridCol w:w="608"/>
        <w:gridCol w:w="631"/>
        <w:gridCol w:w="553"/>
        <w:gridCol w:w="705"/>
        <w:gridCol w:w="578"/>
        <w:gridCol w:w="601"/>
        <w:gridCol w:w="571"/>
        <w:gridCol w:w="708"/>
        <w:gridCol w:w="603"/>
        <w:gridCol w:w="660"/>
        <w:gridCol w:w="577"/>
      </w:tblGrid>
      <w:tr w:rsidR="000346C2" w:rsidRPr="00221A99" w:rsidTr="00FF6C69">
        <w:trPr>
          <w:cantSplit/>
          <w:jc w:val="center"/>
        </w:trPr>
        <w:tc>
          <w:tcPr>
            <w:tcW w:w="10095" w:type="dxa"/>
            <w:gridSpan w:val="1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0346C2" w:rsidRPr="00221A99" w:rsidRDefault="00185230" w:rsidP="00FF6C69">
            <w:pPr>
              <w:spacing w:before="60"/>
              <w:jc w:val="center"/>
              <w:rPr>
                <w:rFonts w:ascii="Arial Narrow" w:hAnsi="Arial Narrow"/>
                <w:b/>
                <w:color w:val="FFFFFF"/>
              </w:rPr>
            </w:pPr>
            <w:r>
              <w:rPr>
                <w:rFonts w:ascii="Arial Narrow" w:hAnsi="Arial Narrow"/>
                <w:b/>
                <w:color w:val="FFFFFF"/>
              </w:rPr>
              <w:t>Πίνακας 3.11</w:t>
            </w:r>
            <w:r w:rsidR="000346C2">
              <w:rPr>
                <w:rFonts w:ascii="Arial Narrow" w:hAnsi="Arial Narrow"/>
                <w:b/>
                <w:color w:val="FFFFFF"/>
              </w:rPr>
              <w:t xml:space="preserve">  Δαπάνες ΠΔΕ κατά φορέα 2016-2018</w:t>
            </w:r>
          </w:p>
          <w:p w:rsidR="000346C2" w:rsidRPr="00221A99" w:rsidRDefault="000346C2" w:rsidP="00FF6C69">
            <w:pPr>
              <w:spacing w:after="60"/>
              <w:jc w:val="center"/>
              <w:rPr>
                <w:rFonts w:ascii="Arial Narrow" w:hAnsi="Arial Narrow" w:cs="Arial"/>
                <w:b/>
                <w:sz w:val="15"/>
                <w:szCs w:val="15"/>
              </w:rPr>
            </w:pPr>
            <w:r w:rsidRPr="00221A99">
              <w:rPr>
                <w:rFonts w:ascii="Arial Narrow" w:hAnsi="Arial Narrow"/>
                <w:b/>
                <w:color w:val="FFFFFF"/>
              </w:rPr>
              <w:t>(σε εκατ. ευρώ)</w:t>
            </w:r>
          </w:p>
        </w:tc>
      </w:tr>
      <w:tr w:rsidR="000346C2" w:rsidRPr="00221A99" w:rsidTr="00FF6C69">
        <w:trPr>
          <w:cantSplit/>
          <w:jc w:val="center"/>
        </w:trPr>
        <w:tc>
          <w:tcPr>
            <w:tcW w:w="1009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spacing w:before="60"/>
              <w:jc w:val="center"/>
              <w:rPr>
                <w:rFonts w:ascii="Arial Narrow" w:hAnsi="Arial Narrow" w:cs="Arial"/>
                <w:b/>
                <w:sz w:val="15"/>
                <w:szCs w:val="15"/>
              </w:rPr>
            </w:pPr>
          </w:p>
        </w:tc>
      </w:tr>
      <w:tr w:rsidR="000346C2" w:rsidRPr="00221A99" w:rsidTr="00FF6C69">
        <w:trPr>
          <w:cantSplit/>
          <w:jc w:val="center"/>
        </w:trPr>
        <w:tc>
          <w:tcPr>
            <w:tcW w:w="26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widowControl w:val="0"/>
              <w:spacing w:before="60" w:after="60"/>
              <w:jc w:val="center"/>
              <w:rPr>
                <w:rFonts w:ascii="Arial Narrow" w:hAnsi="Arial Narrow"/>
                <w:b/>
                <w:sz w:val="15"/>
                <w:szCs w:val="15"/>
              </w:rPr>
            </w:pPr>
            <w:r w:rsidRPr="00221A99">
              <w:rPr>
                <w:rFonts w:ascii="Arial Narrow" w:hAnsi="Arial Narrow"/>
                <w:b/>
                <w:sz w:val="15"/>
                <w:szCs w:val="15"/>
              </w:rPr>
              <w:t>Υπουργείο - Φορέας</w:t>
            </w:r>
          </w:p>
        </w:tc>
        <w:tc>
          <w:tcPr>
            <w:tcW w:w="247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0346C2" w:rsidRDefault="000346C2" w:rsidP="00FF6C69">
            <w:pPr>
              <w:spacing w:before="60"/>
              <w:jc w:val="center"/>
              <w:rPr>
                <w:rFonts w:ascii="Arial Narrow" w:hAnsi="Arial Narrow" w:cs="Arial"/>
                <w:b/>
                <w:sz w:val="15"/>
                <w:szCs w:val="15"/>
              </w:rPr>
            </w:pPr>
            <w:r w:rsidRPr="00221A99">
              <w:rPr>
                <w:rFonts w:ascii="Arial Narrow" w:hAnsi="Arial Narrow" w:cs="Arial"/>
                <w:b/>
                <w:sz w:val="15"/>
                <w:szCs w:val="15"/>
              </w:rPr>
              <w:t>201</w:t>
            </w:r>
            <w:r>
              <w:rPr>
                <w:rFonts w:ascii="Arial Narrow" w:hAnsi="Arial Narrow" w:cs="Arial"/>
                <w:b/>
                <w:sz w:val="15"/>
                <w:szCs w:val="15"/>
              </w:rPr>
              <w:t>6</w:t>
            </w:r>
            <w:r w:rsidR="005E50B2">
              <w:rPr>
                <w:rFonts w:ascii="Arial Narrow" w:hAnsi="Arial Narrow" w:cs="Arial"/>
                <w:b/>
                <w:sz w:val="15"/>
                <w:szCs w:val="15"/>
              </w:rPr>
              <w:t>*</w:t>
            </w:r>
          </w:p>
        </w:tc>
        <w:tc>
          <w:tcPr>
            <w:tcW w:w="24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0346C2" w:rsidRDefault="000346C2" w:rsidP="00FF6C69">
            <w:pPr>
              <w:spacing w:before="60"/>
              <w:jc w:val="center"/>
              <w:rPr>
                <w:rFonts w:ascii="Arial Narrow" w:hAnsi="Arial Narrow" w:cs="Arial"/>
                <w:b/>
                <w:sz w:val="15"/>
                <w:szCs w:val="15"/>
              </w:rPr>
            </w:pPr>
            <w:r w:rsidRPr="00221A99">
              <w:rPr>
                <w:rFonts w:ascii="Arial Narrow" w:hAnsi="Arial Narrow" w:cs="Arial"/>
                <w:b/>
                <w:sz w:val="15"/>
                <w:szCs w:val="15"/>
              </w:rPr>
              <w:t>201</w:t>
            </w:r>
            <w:r>
              <w:rPr>
                <w:rFonts w:ascii="Arial Narrow" w:hAnsi="Arial Narrow" w:cs="Arial"/>
                <w:b/>
                <w:sz w:val="15"/>
                <w:szCs w:val="15"/>
              </w:rPr>
              <w:t>7</w:t>
            </w:r>
          </w:p>
        </w:tc>
        <w:tc>
          <w:tcPr>
            <w:tcW w:w="2548" w:type="dxa"/>
            <w:gridSpan w:val="4"/>
            <w:tcBorders>
              <w:top w:val="single" w:sz="4" w:space="0" w:color="auto"/>
              <w:left w:val="single" w:sz="4" w:space="0" w:color="auto"/>
              <w:bottom w:val="single" w:sz="4" w:space="0" w:color="auto"/>
              <w:right w:val="single" w:sz="4" w:space="0" w:color="auto"/>
            </w:tcBorders>
            <w:vAlign w:val="center"/>
          </w:tcPr>
          <w:p w:rsidR="000346C2" w:rsidRPr="000346C2" w:rsidRDefault="000346C2" w:rsidP="00FF6C69">
            <w:pPr>
              <w:spacing w:before="60"/>
              <w:jc w:val="center"/>
              <w:rPr>
                <w:rFonts w:ascii="Arial Narrow" w:hAnsi="Arial Narrow" w:cs="Arial"/>
                <w:b/>
                <w:sz w:val="15"/>
                <w:szCs w:val="15"/>
              </w:rPr>
            </w:pPr>
            <w:r w:rsidRPr="00221A99">
              <w:rPr>
                <w:rFonts w:ascii="Arial Narrow" w:hAnsi="Arial Narrow" w:cs="Arial"/>
                <w:b/>
                <w:sz w:val="15"/>
                <w:szCs w:val="15"/>
              </w:rPr>
              <w:t>201</w:t>
            </w:r>
            <w:r>
              <w:rPr>
                <w:rFonts w:ascii="Arial Narrow" w:hAnsi="Arial Narrow" w:cs="Arial"/>
                <w:b/>
                <w:sz w:val="15"/>
                <w:szCs w:val="15"/>
              </w:rPr>
              <w:t>8</w:t>
            </w:r>
          </w:p>
        </w:tc>
      </w:tr>
      <w:tr w:rsidR="000346C2" w:rsidRPr="00221A99" w:rsidTr="00FF6C69">
        <w:trPr>
          <w:cantSplit/>
          <w:jc w:val="center"/>
        </w:trPr>
        <w:tc>
          <w:tcPr>
            <w:tcW w:w="26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widowControl w:val="0"/>
              <w:spacing w:before="60" w:after="60"/>
              <w:jc w:val="center"/>
              <w:rPr>
                <w:rFonts w:ascii="Arial Narrow" w:hAnsi="Arial Narrow"/>
                <w:b/>
                <w:sz w:val="15"/>
                <w:szCs w:val="15"/>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spacing w:before="60"/>
              <w:jc w:val="center"/>
              <w:rPr>
                <w:rFonts w:ascii="Arial Narrow" w:hAnsi="Arial Narrow" w:cs="Arial"/>
                <w:b/>
                <w:bCs/>
                <w:sz w:val="15"/>
                <w:szCs w:val="15"/>
              </w:rPr>
            </w:pPr>
            <w:r w:rsidRPr="00221A99">
              <w:rPr>
                <w:rFonts w:ascii="Arial Narrow" w:hAnsi="Arial Narrow" w:cs="Arial"/>
                <w:b/>
                <w:sz w:val="15"/>
                <w:szCs w:val="15"/>
              </w:rPr>
              <w:t>Πραγματοποιήσεις</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346C2" w:rsidRPr="00221A99" w:rsidRDefault="000346C2" w:rsidP="00FF6C69">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c>
          <w:tcPr>
            <w:tcW w:w="18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spacing w:before="60"/>
              <w:jc w:val="center"/>
              <w:rPr>
                <w:rFonts w:ascii="Arial Narrow" w:hAnsi="Arial Narrow" w:cs="Arial"/>
                <w:b/>
                <w:sz w:val="15"/>
                <w:szCs w:val="15"/>
              </w:rPr>
            </w:pPr>
            <w:r w:rsidRPr="00221A99">
              <w:rPr>
                <w:rFonts w:ascii="Arial Narrow" w:hAnsi="Arial Narrow" w:cs="Arial"/>
                <w:b/>
                <w:sz w:val="15"/>
                <w:szCs w:val="15"/>
              </w:rPr>
              <w:t>Εκτιμήσεις Πραγμ/σεων</w:t>
            </w:r>
          </w:p>
        </w:tc>
        <w:tc>
          <w:tcPr>
            <w:tcW w:w="571" w:type="dxa"/>
            <w:vMerge w:val="restart"/>
            <w:tcBorders>
              <w:top w:val="single" w:sz="4" w:space="0" w:color="auto"/>
              <w:left w:val="single" w:sz="4" w:space="0" w:color="auto"/>
              <w:right w:val="single" w:sz="4" w:space="0" w:color="auto"/>
            </w:tcBorders>
            <w:shd w:val="clear" w:color="auto" w:fill="FFFFFF"/>
            <w:textDirection w:val="btLr"/>
            <w:vAlign w:val="center"/>
          </w:tcPr>
          <w:p w:rsidR="000346C2" w:rsidRPr="00221A99" w:rsidRDefault="000346C2" w:rsidP="00FF6C69">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c>
          <w:tcPr>
            <w:tcW w:w="1971" w:type="dxa"/>
            <w:gridSpan w:val="3"/>
            <w:tcBorders>
              <w:top w:val="single" w:sz="4" w:space="0" w:color="auto"/>
              <w:bottom w:val="single" w:sz="4" w:space="0" w:color="auto"/>
              <w:right w:val="single" w:sz="4" w:space="0" w:color="auto"/>
            </w:tcBorders>
            <w:vAlign w:val="center"/>
          </w:tcPr>
          <w:p w:rsidR="000346C2" w:rsidRPr="00221A99" w:rsidRDefault="000346C2" w:rsidP="00FF6C69">
            <w:pPr>
              <w:spacing w:before="60"/>
              <w:jc w:val="center"/>
              <w:rPr>
                <w:rFonts w:ascii="Arial Narrow" w:hAnsi="Arial Narrow" w:cs="Arial"/>
                <w:b/>
                <w:sz w:val="15"/>
                <w:szCs w:val="15"/>
              </w:rPr>
            </w:pPr>
            <w:r w:rsidRPr="00221A99">
              <w:rPr>
                <w:rFonts w:ascii="Arial Narrow" w:hAnsi="Arial Narrow" w:cs="Arial"/>
                <w:b/>
                <w:sz w:val="15"/>
                <w:szCs w:val="15"/>
              </w:rPr>
              <w:t>Προϋπολογισμός</w:t>
            </w:r>
          </w:p>
        </w:tc>
        <w:tc>
          <w:tcPr>
            <w:tcW w:w="577" w:type="dxa"/>
            <w:vMerge w:val="restart"/>
            <w:tcBorders>
              <w:top w:val="single" w:sz="4" w:space="0" w:color="auto"/>
              <w:right w:val="single" w:sz="4" w:space="0" w:color="auto"/>
            </w:tcBorders>
            <w:textDirection w:val="btLr"/>
            <w:vAlign w:val="center"/>
          </w:tcPr>
          <w:p w:rsidR="000346C2" w:rsidRPr="00221A99" w:rsidRDefault="000346C2" w:rsidP="00FF6C69">
            <w:pPr>
              <w:spacing w:before="60"/>
              <w:ind w:left="113" w:right="113"/>
              <w:jc w:val="center"/>
              <w:rPr>
                <w:rFonts w:ascii="Arial Narrow" w:hAnsi="Arial Narrow" w:cs="Arial"/>
                <w:b/>
                <w:sz w:val="15"/>
                <w:szCs w:val="15"/>
              </w:rPr>
            </w:pPr>
            <w:r w:rsidRPr="00221A99">
              <w:rPr>
                <w:rFonts w:ascii="Arial Narrow" w:hAnsi="Arial Narrow" w:cs="Arial"/>
                <w:b/>
                <w:sz w:val="15"/>
                <w:szCs w:val="15"/>
              </w:rPr>
              <w:t>Συμμετοχή %</w:t>
            </w:r>
          </w:p>
        </w:tc>
      </w:tr>
      <w:tr w:rsidR="000346C2" w:rsidRPr="00221A99" w:rsidTr="00FF6C69">
        <w:trPr>
          <w:cantSplit/>
          <w:trHeight w:val="678"/>
          <w:jc w:val="center"/>
        </w:trPr>
        <w:tc>
          <w:tcPr>
            <w:tcW w:w="26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widowControl w:val="0"/>
              <w:spacing w:before="60" w:after="60"/>
              <w:jc w:val="center"/>
              <w:rPr>
                <w:rFonts w:ascii="Arial Narrow" w:hAnsi="Arial Narrow"/>
                <w:b/>
                <w:sz w:val="15"/>
                <w:szCs w:val="15"/>
              </w:rPr>
            </w:pP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jc w:val="center"/>
              <w:rPr>
                <w:rFonts w:ascii="Arial Narrow" w:hAnsi="Arial Narrow" w:cs="Arial"/>
                <w:b/>
                <w:sz w:val="15"/>
                <w:szCs w:val="15"/>
              </w:rPr>
            </w:pPr>
            <w:r w:rsidRPr="00221A99">
              <w:rPr>
                <w:rFonts w:ascii="Arial Narrow" w:hAnsi="Arial Narrow" w:cs="Arial"/>
                <w:b/>
                <w:sz w:val="15"/>
                <w:szCs w:val="15"/>
              </w:rPr>
              <w:t>Συγχρ/νες</w:t>
            </w:r>
          </w:p>
        </w:tc>
        <w:tc>
          <w:tcPr>
            <w:tcW w:w="608" w:type="dxa"/>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jc w:val="center"/>
              <w:rPr>
                <w:rFonts w:ascii="Arial Narrow" w:hAnsi="Arial Narrow" w:cs="Arial"/>
                <w:b/>
                <w:sz w:val="15"/>
                <w:szCs w:val="15"/>
              </w:rPr>
            </w:pPr>
            <w:r w:rsidRPr="00221A99">
              <w:rPr>
                <w:rFonts w:ascii="Arial Narrow" w:hAnsi="Arial Narrow" w:cs="Arial"/>
                <w:b/>
                <w:sz w:val="15"/>
                <w:szCs w:val="15"/>
              </w:rPr>
              <w:t>Λοιπές από</w:t>
            </w:r>
          </w:p>
          <w:p w:rsidR="000346C2" w:rsidRPr="00221A99" w:rsidRDefault="000346C2" w:rsidP="00FF6C69">
            <w:pPr>
              <w:jc w:val="center"/>
              <w:rPr>
                <w:rFonts w:ascii="Arial Narrow" w:hAnsi="Arial Narrow" w:cs="Arial"/>
                <w:b/>
                <w:sz w:val="15"/>
                <w:szCs w:val="15"/>
              </w:rPr>
            </w:pPr>
            <w:r w:rsidRPr="00221A99">
              <w:rPr>
                <w:rFonts w:ascii="Arial Narrow" w:hAnsi="Arial Narrow" w:cs="Arial"/>
                <w:b/>
                <w:sz w:val="15"/>
                <w:szCs w:val="15"/>
              </w:rPr>
              <w:t>εθνικούς</w:t>
            </w:r>
          </w:p>
          <w:p w:rsidR="000346C2" w:rsidRPr="00221A99" w:rsidRDefault="000346C2" w:rsidP="00FF6C69">
            <w:pPr>
              <w:jc w:val="center"/>
              <w:rPr>
                <w:rFonts w:ascii="Arial Narrow" w:hAnsi="Arial Narrow" w:cs="Arial"/>
                <w:b/>
                <w:sz w:val="15"/>
                <w:szCs w:val="15"/>
              </w:rPr>
            </w:pPr>
            <w:r w:rsidRPr="00221A99">
              <w:rPr>
                <w:rFonts w:ascii="Arial Narrow" w:hAnsi="Arial Narrow" w:cs="Arial"/>
                <w:b/>
                <w:sz w:val="15"/>
                <w:szCs w:val="15"/>
              </w:rPr>
              <w:t>πόρους</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5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jc w:val="center"/>
              <w:rPr>
                <w:rFonts w:ascii="Arial Narrow" w:hAnsi="Arial Narrow" w:cs="Arial"/>
                <w:b/>
                <w:sz w:val="15"/>
                <w:szCs w:val="15"/>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jc w:val="center"/>
              <w:rPr>
                <w:rFonts w:ascii="Arial Narrow" w:hAnsi="Arial Narrow" w:cs="Arial"/>
                <w:b/>
                <w:sz w:val="15"/>
                <w:szCs w:val="15"/>
              </w:rPr>
            </w:pPr>
            <w:r w:rsidRPr="00221A99">
              <w:rPr>
                <w:rFonts w:ascii="Arial Narrow" w:hAnsi="Arial Narrow" w:cs="Arial"/>
                <w:b/>
                <w:sz w:val="15"/>
                <w:szCs w:val="15"/>
              </w:rPr>
              <w:t>Συγχρ/νες</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jc w:val="center"/>
              <w:rPr>
                <w:rFonts w:ascii="Arial Narrow" w:hAnsi="Arial Narrow" w:cs="Arial"/>
                <w:b/>
                <w:sz w:val="15"/>
                <w:szCs w:val="15"/>
              </w:rPr>
            </w:pPr>
            <w:r w:rsidRPr="00221A99">
              <w:rPr>
                <w:rFonts w:ascii="Arial Narrow" w:hAnsi="Arial Narrow" w:cs="Arial"/>
                <w:b/>
                <w:sz w:val="15"/>
                <w:szCs w:val="15"/>
              </w:rPr>
              <w:t>Λοιπές από</w:t>
            </w:r>
          </w:p>
          <w:p w:rsidR="000346C2" w:rsidRPr="00221A99" w:rsidRDefault="000346C2" w:rsidP="00FF6C69">
            <w:pPr>
              <w:jc w:val="center"/>
              <w:rPr>
                <w:rFonts w:ascii="Arial Narrow" w:hAnsi="Arial Narrow" w:cs="Arial"/>
                <w:b/>
                <w:sz w:val="15"/>
                <w:szCs w:val="15"/>
              </w:rPr>
            </w:pPr>
            <w:r w:rsidRPr="00221A99">
              <w:rPr>
                <w:rFonts w:ascii="Arial Narrow" w:hAnsi="Arial Narrow" w:cs="Arial"/>
                <w:b/>
                <w:sz w:val="15"/>
                <w:szCs w:val="15"/>
              </w:rPr>
              <w:t>εθνικούς πόρους</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0346C2" w:rsidRPr="00221A99" w:rsidRDefault="000346C2" w:rsidP="00FF6C69">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71" w:type="dxa"/>
            <w:vMerge/>
            <w:tcBorders>
              <w:left w:val="single" w:sz="4" w:space="0" w:color="auto"/>
              <w:bottom w:val="single" w:sz="4" w:space="0" w:color="auto"/>
              <w:right w:val="single" w:sz="4" w:space="0" w:color="auto"/>
            </w:tcBorders>
            <w:shd w:val="clear" w:color="auto" w:fill="FFFFFF"/>
            <w:textDirection w:val="btLr"/>
            <w:vAlign w:val="center"/>
          </w:tcPr>
          <w:p w:rsidR="000346C2" w:rsidRPr="00221A99" w:rsidRDefault="000346C2" w:rsidP="00FF6C69">
            <w:pPr>
              <w:spacing w:before="60"/>
              <w:ind w:left="113" w:right="113"/>
              <w:jc w:val="center"/>
              <w:rPr>
                <w:rFonts w:ascii="Arial Narrow" w:hAnsi="Arial Narrow" w:cs="Arial"/>
                <w:b/>
                <w:sz w:val="15"/>
                <w:szCs w:val="15"/>
              </w:rPr>
            </w:pPr>
          </w:p>
        </w:tc>
        <w:tc>
          <w:tcPr>
            <w:tcW w:w="708" w:type="dxa"/>
            <w:tcBorders>
              <w:top w:val="single" w:sz="4" w:space="0" w:color="auto"/>
              <w:bottom w:val="single" w:sz="4" w:space="0" w:color="auto"/>
              <w:right w:val="single" w:sz="4" w:space="0" w:color="auto"/>
            </w:tcBorders>
            <w:vAlign w:val="center"/>
          </w:tcPr>
          <w:p w:rsidR="000346C2" w:rsidRPr="00221A99" w:rsidRDefault="000346C2" w:rsidP="00FF6C69">
            <w:pPr>
              <w:jc w:val="center"/>
              <w:rPr>
                <w:rFonts w:ascii="Arial Narrow" w:hAnsi="Arial Narrow" w:cs="Arial"/>
                <w:b/>
                <w:sz w:val="15"/>
                <w:szCs w:val="15"/>
              </w:rPr>
            </w:pPr>
            <w:r w:rsidRPr="00221A99">
              <w:rPr>
                <w:rFonts w:ascii="Arial Narrow" w:hAnsi="Arial Narrow" w:cs="Arial"/>
                <w:b/>
                <w:sz w:val="15"/>
                <w:szCs w:val="15"/>
              </w:rPr>
              <w:t>Συγχρ/νες</w:t>
            </w:r>
          </w:p>
        </w:tc>
        <w:tc>
          <w:tcPr>
            <w:tcW w:w="603" w:type="dxa"/>
            <w:tcBorders>
              <w:top w:val="single" w:sz="4" w:space="0" w:color="auto"/>
              <w:left w:val="single" w:sz="4" w:space="0" w:color="auto"/>
              <w:bottom w:val="single" w:sz="4" w:space="0" w:color="auto"/>
              <w:right w:val="single" w:sz="4" w:space="0" w:color="auto"/>
            </w:tcBorders>
            <w:vAlign w:val="center"/>
          </w:tcPr>
          <w:p w:rsidR="000346C2" w:rsidRPr="00221A99" w:rsidRDefault="000346C2" w:rsidP="00FF6C69">
            <w:pPr>
              <w:jc w:val="center"/>
              <w:rPr>
                <w:rFonts w:ascii="Arial Narrow" w:hAnsi="Arial Narrow" w:cs="Arial"/>
                <w:b/>
                <w:sz w:val="15"/>
                <w:szCs w:val="15"/>
              </w:rPr>
            </w:pPr>
            <w:r w:rsidRPr="00221A99">
              <w:rPr>
                <w:rFonts w:ascii="Arial Narrow" w:hAnsi="Arial Narrow" w:cs="Arial"/>
                <w:b/>
                <w:sz w:val="15"/>
                <w:szCs w:val="15"/>
              </w:rPr>
              <w:t>Λοιπές από</w:t>
            </w:r>
          </w:p>
          <w:p w:rsidR="000346C2" w:rsidRPr="00221A99" w:rsidRDefault="000346C2" w:rsidP="00FF6C69">
            <w:pPr>
              <w:jc w:val="center"/>
              <w:rPr>
                <w:rFonts w:ascii="Arial Narrow" w:hAnsi="Arial Narrow" w:cs="Arial"/>
                <w:b/>
                <w:sz w:val="15"/>
                <w:szCs w:val="15"/>
              </w:rPr>
            </w:pPr>
            <w:r w:rsidRPr="00221A99">
              <w:rPr>
                <w:rFonts w:ascii="Arial Narrow" w:hAnsi="Arial Narrow" w:cs="Arial"/>
                <w:b/>
                <w:sz w:val="15"/>
                <w:szCs w:val="15"/>
              </w:rPr>
              <w:t>εθνικούς πόρους</w:t>
            </w:r>
          </w:p>
        </w:tc>
        <w:tc>
          <w:tcPr>
            <w:tcW w:w="660" w:type="dxa"/>
            <w:tcBorders>
              <w:top w:val="single" w:sz="4" w:space="0" w:color="auto"/>
              <w:left w:val="single" w:sz="4" w:space="0" w:color="auto"/>
              <w:bottom w:val="single" w:sz="4" w:space="0" w:color="auto"/>
              <w:right w:val="single" w:sz="4" w:space="0" w:color="auto"/>
            </w:tcBorders>
            <w:vAlign w:val="center"/>
          </w:tcPr>
          <w:p w:rsidR="000346C2" w:rsidRPr="00221A99" w:rsidRDefault="000346C2" w:rsidP="00FF6C69">
            <w:pPr>
              <w:jc w:val="center"/>
              <w:rPr>
                <w:rFonts w:ascii="Arial Narrow" w:hAnsi="Arial Narrow" w:cs="Arial"/>
                <w:b/>
                <w:bCs/>
                <w:sz w:val="15"/>
                <w:szCs w:val="15"/>
              </w:rPr>
            </w:pPr>
            <w:r w:rsidRPr="00221A99">
              <w:rPr>
                <w:rFonts w:ascii="Arial Narrow" w:hAnsi="Arial Narrow" w:cs="Arial"/>
                <w:b/>
                <w:bCs/>
                <w:sz w:val="15"/>
                <w:szCs w:val="15"/>
              </w:rPr>
              <w:t>Σύνολο</w:t>
            </w:r>
          </w:p>
        </w:tc>
        <w:tc>
          <w:tcPr>
            <w:tcW w:w="577" w:type="dxa"/>
            <w:vMerge/>
            <w:tcBorders>
              <w:left w:val="single" w:sz="4" w:space="0" w:color="auto"/>
              <w:bottom w:val="single" w:sz="4" w:space="0" w:color="auto"/>
              <w:right w:val="single" w:sz="4" w:space="0" w:color="auto"/>
            </w:tcBorders>
            <w:textDirection w:val="btLr"/>
            <w:vAlign w:val="center"/>
          </w:tcPr>
          <w:p w:rsidR="000346C2" w:rsidRPr="00221A99" w:rsidRDefault="000346C2" w:rsidP="00FF6C69">
            <w:pPr>
              <w:spacing w:before="60"/>
              <w:ind w:left="113" w:right="113"/>
              <w:jc w:val="center"/>
              <w:rPr>
                <w:rFonts w:ascii="Arial Narrow" w:hAnsi="Arial Narrow" w:cs="Arial"/>
                <w:b/>
                <w:sz w:val="15"/>
                <w:szCs w:val="15"/>
              </w:rPr>
            </w:pPr>
          </w:p>
        </w:tc>
      </w:tr>
      <w:tr w:rsidR="000346C2" w:rsidRPr="00221A99" w:rsidTr="00FF6C69">
        <w:trPr>
          <w:cantSplit/>
          <w:jc w:val="center"/>
        </w:trPr>
        <w:tc>
          <w:tcPr>
            <w:tcW w:w="2619" w:type="dxa"/>
            <w:tcBorders>
              <w:top w:val="single" w:sz="4" w:space="0" w:color="auto"/>
              <w:left w:val="single" w:sz="4" w:space="0" w:color="auto"/>
            </w:tcBorders>
            <w:shd w:val="clear" w:color="auto" w:fill="auto"/>
          </w:tcPr>
          <w:p w:rsidR="000346C2" w:rsidRPr="00221A99" w:rsidRDefault="000346C2" w:rsidP="000346C2">
            <w:pPr>
              <w:widowControl w:val="0"/>
              <w:rPr>
                <w:rFonts w:ascii="Arial Narrow" w:hAnsi="Arial Narrow"/>
                <w:sz w:val="15"/>
                <w:szCs w:val="15"/>
              </w:rPr>
            </w:pPr>
            <w:r w:rsidRPr="00221A99">
              <w:rPr>
                <w:rFonts w:ascii="Arial Narrow" w:hAnsi="Arial Narrow"/>
                <w:sz w:val="15"/>
                <w:szCs w:val="15"/>
              </w:rPr>
              <w:t>Βουλή των Ελλήνων</w:t>
            </w:r>
          </w:p>
        </w:tc>
        <w:tc>
          <w:tcPr>
            <w:tcW w:w="681" w:type="dxa"/>
            <w:tcBorders>
              <w:top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w:t>
            </w:r>
          </w:p>
        </w:tc>
        <w:tc>
          <w:tcPr>
            <w:tcW w:w="608" w:type="dxa"/>
            <w:tcBorders>
              <w:top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w:t>
            </w:r>
          </w:p>
        </w:tc>
        <w:tc>
          <w:tcPr>
            <w:tcW w:w="631" w:type="dxa"/>
            <w:tcBorders>
              <w:top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w:t>
            </w:r>
          </w:p>
        </w:tc>
        <w:tc>
          <w:tcPr>
            <w:tcW w:w="553" w:type="dxa"/>
            <w:tcBorders>
              <w:top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0,00</w:t>
            </w:r>
          </w:p>
        </w:tc>
        <w:tc>
          <w:tcPr>
            <w:tcW w:w="705" w:type="dxa"/>
            <w:tcBorders>
              <w:top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w:t>
            </w:r>
          </w:p>
        </w:tc>
        <w:tc>
          <w:tcPr>
            <w:tcW w:w="578" w:type="dxa"/>
            <w:tcBorders>
              <w:top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w:t>
            </w:r>
          </w:p>
        </w:tc>
        <w:tc>
          <w:tcPr>
            <w:tcW w:w="601" w:type="dxa"/>
            <w:tcBorders>
              <w:top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w:t>
            </w:r>
          </w:p>
        </w:tc>
        <w:tc>
          <w:tcPr>
            <w:tcW w:w="571" w:type="dxa"/>
            <w:tcBorders>
              <w:top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0,01</w:t>
            </w:r>
          </w:p>
        </w:tc>
        <w:tc>
          <w:tcPr>
            <w:tcW w:w="708" w:type="dxa"/>
            <w:tcBorders>
              <w:top w:val="single" w:sz="4" w:space="0" w:color="auto"/>
            </w:tcBorders>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w:t>
            </w:r>
          </w:p>
        </w:tc>
        <w:tc>
          <w:tcPr>
            <w:tcW w:w="603" w:type="dxa"/>
            <w:tcBorders>
              <w:top w:val="single" w:sz="4" w:space="0" w:color="auto"/>
            </w:tcBorders>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w:t>
            </w:r>
          </w:p>
        </w:tc>
        <w:tc>
          <w:tcPr>
            <w:tcW w:w="660" w:type="dxa"/>
            <w:tcBorders>
              <w:top w:val="single" w:sz="4" w:space="0" w:color="auto"/>
            </w:tcBorders>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w:t>
            </w:r>
          </w:p>
        </w:tc>
        <w:tc>
          <w:tcPr>
            <w:tcW w:w="577" w:type="dxa"/>
            <w:tcBorders>
              <w:top w:val="single" w:sz="4" w:space="0" w:color="auto"/>
              <w:right w:val="single" w:sz="4" w:space="0" w:color="auto"/>
            </w:tcBorders>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0,01</w:t>
            </w:r>
          </w:p>
        </w:tc>
      </w:tr>
      <w:tr w:rsidR="000346C2" w:rsidRPr="00221A99" w:rsidTr="00FF6C69">
        <w:trPr>
          <w:cantSplit/>
          <w:jc w:val="center"/>
        </w:trPr>
        <w:tc>
          <w:tcPr>
            <w:tcW w:w="2619" w:type="dxa"/>
            <w:tcBorders>
              <w:left w:val="single" w:sz="4" w:space="0" w:color="auto"/>
            </w:tcBorders>
            <w:shd w:val="clear" w:color="auto" w:fill="A6A6A6"/>
          </w:tcPr>
          <w:p w:rsidR="000346C2" w:rsidRPr="00221A99" w:rsidRDefault="000346C2" w:rsidP="000346C2">
            <w:pPr>
              <w:widowControl w:val="0"/>
              <w:rPr>
                <w:rFonts w:ascii="Arial Narrow" w:hAnsi="Arial Narrow"/>
                <w:sz w:val="15"/>
                <w:szCs w:val="15"/>
              </w:rPr>
            </w:pPr>
            <w:r w:rsidRPr="00221A99">
              <w:rPr>
                <w:rFonts w:ascii="Arial Narrow" w:hAnsi="Arial Narrow"/>
                <w:sz w:val="15"/>
                <w:szCs w:val="15"/>
              </w:rPr>
              <w:t>Εσωτερικών</w:t>
            </w:r>
          </w:p>
        </w:tc>
        <w:tc>
          <w:tcPr>
            <w:tcW w:w="681" w:type="dxa"/>
            <w:shd w:val="clear" w:color="auto" w:fill="A6A6A6"/>
            <w:vAlign w:val="center"/>
          </w:tcPr>
          <w:p w:rsidR="000346C2" w:rsidRPr="002E02DE" w:rsidRDefault="000346C2" w:rsidP="00AF3666">
            <w:pPr>
              <w:jc w:val="right"/>
              <w:rPr>
                <w:rFonts w:ascii="Arial Narrow" w:hAnsi="Arial Narrow"/>
                <w:sz w:val="15"/>
                <w:szCs w:val="15"/>
              </w:rPr>
            </w:pPr>
            <w:r w:rsidRPr="002E02DE">
              <w:rPr>
                <w:rFonts w:ascii="Arial Narrow" w:hAnsi="Arial Narrow"/>
                <w:sz w:val="15"/>
                <w:szCs w:val="15"/>
              </w:rPr>
              <w:t>138</w:t>
            </w:r>
          </w:p>
        </w:tc>
        <w:tc>
          <w:tcPr>
            <w:tcW w:w="608" w:type="dxa"/>
            <w:shd w:val="clear" w:color="auto" w:fill="A6A6A6"/>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23</w:t>
            </w:r>
          </w:p>
        </w:tc>
        <w:tc>
          <w:tcPr>
            <w:tcW w:w="631" w:type="dxa"/>
            <w:shd w:val="clear" w:color="auto" w:fill="A6A6A6"/>
            <w:vAlign w:val="center"/>
          </w:tcPr>
          <w:p w:rsidR="000346C2" w:rsidRPr="002E02DE" w:rsidRDefault="007F7101" w:rsidP="000346C2">
            <w:pPr>
              <w:jc w:val="right"/>
              <w:rPr>
                <w:rFonts w:ascii="Arial Narrow" w:hAnsi="Arial Narrow"/>
                <w:sz w:val="15"/>
                <w:szCs w:val="15"/>
              </w:rPr>
            </w:pPr>
            <w:r>
              <w:rPr>
                <w:rFonts w:ascii="Arial Narrow" w:hAnsi="Arial Narrow"/>
                <w:sz w:val="15"/>
                <w:szCs w:val="15"/>
              </w:rPr>
              <w:t>161</w:t>
            </w:r>
          </w:p>
        </w:tc>
        <w:tc>
          <w:tcPr>
            <w:tcW w:w="553"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2,55</w:t>
            </w:r>
          </w:p>
        </w:tc>
        <w:tc>
          <w:tcPr>
            <w:tcW w:w="705"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190</w:t>
            </w:r>
          </w:p>
        </w:tc>
        <w:tc>
          <w:tcPr>
            <w:tcW w:w="578"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26</w:t>
            </w:r>
          </w:p>
        </w:tc>
        <w:tc>
          <w:tcPr>
            <w:tcW w:w="601"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216</w:t>
            </w:r>
          </w:p>
        </w:tc>
        <w:tc>
          <w:tcPr>
            <w:tcW w:w="571"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3,20</w:t>
            </w:r>
          </w:p>
        </w:tc>
        <w:tc>
          <w:tcPr>
            <w:tcW w:w="708"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155</w:t>
            </w:r>
          </w:p>
        </w:tc>
        <w:tc>
          <w:tcPr>
            <w:tcW w:w="603"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37</w:t>
            </w:r>
          </w:p>
        </w:tc>
        <w:tc>
          <w:tcPr>
            <w:tcW w:w="660"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192</w:t>
            </w:r>
          </w:p>
        </w:tc>
        <w:tc>
          <w:tcPr>
            <w:tcW w:w="577" w:type="dxa"/>
            <w:tcBorders>
              <w:right w:val="single" w:sz="4" w:space="0" w:color="auto"/>
            </w:tcBorders>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2,84</w:t>
            </w:r>
          </w:p>
        </w:tc>
      </w:tr>
      <w:tr w:rsidR="000346C2" w:rsidRPr="00221A99" w:rsidTr="00FF6C69">
        <w:trPr>
          <w:cantSplit/>
          <w:jc w:val="center"/>
        </w:trPr>
        <w:tc>
          <w:tcPr>
            <w:tcW w:w="2619" w:type="dxa"/>
            <w:tcBorders>
              <w:left w:val="single" w:sz="4" w:space="0" w:color="auto"/>
            </w:tcBorders>
            <w:shd w:val="clear" w:color="auto" w:fill="auto"/>
          </w:tcPr>
          <w:p w:rsidR="000346C2" w:rsidRPr="00221A99" w:rsidRDefault="000346C2" w:rsidP="000346C2">
            <w:pPr>
              <w:widowControl w:val="0"/>
              <w:rPr>
                <w:rFonts w:ascii="Arial Narrow" w:hAnsi="Arial Narrow"/>
                <w:sz w:val="15"/>
                <w:szCs w:val="15"/>
              </w:rPr>
            </w:pPr>
            <w:r>
              <w:rPr>
                <w:rFonts w:ascii="Arial Narrow" w:hAnsi="Arial Narrow"/>
                <w:sz w:val="15"/>
                <w:szCs w:val="15"/>
              </w:rPr>
              <w:t>Οικονομικών</w:t>
            </w:r>
          </w:p>
        </w:tc>
        <w:tc>
          <w:tcPr>
            <w:tcW w:w="681" w:type="dxa"/>
            <w:shd w:val="clear" w:color="auto" w:fill="auto"/>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1</w:t>
            </w:r>
          </w:p>
        </w:tc>
        <w:tc>
          <w:tcPr>
            <w:tcW w:w="608" w:type="dxa"/>
            <w:shd w:val="clear" w:color="auto" w:fill="auto"/>
            <w:vAlign w:val="center"/>
          </w:tcPr>
          <w:p w:rsidR="000346C2" w:rsidRPr="002E02DE" w:rsidRDefault="000346C2" w:rsidP="000346C2">
            <w:pPr>
              <w:jc w:val="right"/>
              <w:rPr>
                <w:rFonts w:ascii="Arial Narrow" w:hAnsi="Arial Narrow"/>
                <w:sz w:val="15"/>
                <w:szCs w:val="15"/>
              </w:rPr>
            </w:pPr>
          </w:p>
        </w:tc>
        <w:tc>
          <w:tcPr>
            <w:tcW w:w="631" w:type="dxa"/>
            <w:shd w:val="clear" w:color="auto" w:fill="auto"/>
            <w:vAlign w:val="center"/>
          </w:tcPr>
          <w:p w:rsidR="000346C2" w:rsidRPr="002E02DE" w:rsidRDefault="007F7101" w:rsidP="000346C2">
            <w:pPr>
              <w:jc w:val="right"/>
              <w:rPr>
                <w:rFonts w:ascii="Arial Narrow" w:hAnsi="Arial Narrow"/>
                <w:sz w:val="15"/>
                <w:szCs w:val="15"/>
              </w:rPr>
            </w:pPr>
            <w:r>
              <w:rPr>
                <w:rFonts w:ascii="Arial Narrow" w:hAnsi="Arial Narrow"/>
                <w:sz w:val="15"/>
                <w:szCs w:val="15"/>
              </w:rPr>
              <w:t>1</w:t>
            </w:r>
          </w:p>
        </w:tc>
        <w:tc>
          <w:tcPr>
            <w:tcW w:w="55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0,01</w:t>
            </w:r>
          </w:p>
        </w:tc>
        <w:tc>
          <w:tcPr>
            <w:tcW w:w="705"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w:t>
            </w:r>
          </w:p>
        </w:tc>
        <w:tc>
          <w:tcPr>
            <w:tcW w:w="57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w:t>
            </w:r>
          </w:p>
        </w:tc>
        <w:tc>
          <w:tcPr>
            <w:tcW w:w="60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7</w:t>
            </w:r>
          </w:p>
        </w:tc>
        <w:tc>
          <w:tcPr>
            <w:tcW w:w="57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0,10</w:t>
            </w:r>
          </w:p>
        </w:tc>
        <w:tc>
          <w:tcPr>
            <w:tcW w:w="708" w:type="dxa"/>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w:t>
            </w:r>
          </w:p>
        </w:tc>
        <w:tc>
          <w:tcPr>
            <w:tcW w:w="603" w:type="dxa"/>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w:t>
            </w:r>
          </w:p>
        </w:tc>
        <w:tc>
          <w:tcPr>
            <w:tcW w:w="660" w:type="dxa"/>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7</w:t>
            </w:r>
          </w:p>
        </w:tc>
        <w:tc>
          <w:tcPr>
            <w:tcW w:w="577" w:type="dxa"/>
            <w:tcBorders>
              <w:right w:val="single" w:sz="4" w:space="0" w:color="auto"/>
            </w:tcBorders>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0,10</w:t>
            </w:r>
          </w:p>
        </w:tc>
      </w:tr>
      <w:tr w:rsidR="000346C2" w:rsidRPr="00221A99" w:rsidTr="00FF6C69">
        <w:trPr>
          <w:cantSplit/>
          <w:jc w:val="center"/>
        </w:trPr>
        <w:tc>
          <w:tcPr>
            <w:tcW w:w="2619" w:type="dxa"/>
            <w:tcBorders>
              <w:left w:val="single" w:sz="4" w:space="0" w:color="auto"/>
            </w:tcBorders>
            <w:shd w:val="clear" w:color="auto" w:fill="A6A6A6"/>
          </w:tcPr>
          <w:p w:rsidR="000346C2" w:rsidRPr="00221A99" w:rsidRDefault="000346C2" w:rsidP="000346C2">
            <w:pPr>
              <w:widowControl w:val="0"/>
              <w:rPr>
                <w:rFonts w:ascii="Arial Narrow" w:hAnsi="Arial Narrow"/>
                <w:sz w:val="15"/>
                <w:szCs w:val="15"/>
              </w:rPr>
            </w:pPr>
            <w:r>
              <w:rPr>
                <w:rFonts w:ascii="Arial Narrow" w:hAnsi="Arial Narrow"/>
                <w:sz w:val="15"/>
                <w:szCs w:val="15"/>
              </w:rPr>
              <w:t>Εξωτερικών</w:t>
            </w:r>
          </w:p>
        </w:tc>
        <w:tc>
          <w:tcPr>
            <w:tcW w:w="681" w:type="dxa"/>
            <w:shd w:val="clear" w:color="auto" w:fill="A6A6A6"/>
            <w:vAlign w:val="center"/>
          </w:tcPr>
          <w:p w:rsidR="000346C2" w:rsidRPr="002E02DE" w:rsidRDefault="00AF3666" w:rsidP="00AF3666">
            <w:pPr>
              <w:jc w:val="right"/>
              <w:rPr>
                <w:rFonts w:ascii="Arial Narrow" w:hAnsi="Arial Narrow"/>
                <w:sz w:val="15"/>
                <w:szCs w:val="15"/>
              </w:rPr>
            </w:pPr>
            <w:r>
              <w:rPr>
                <w:rFonts w:ascii="Arial Narrow" w:hAnsi="Arial Narrow"/>
                <w:sz w:val="15"/>
                <w:szCs w:val="15"/>
              </w:rPr>
              <w:t>1</w:t>
            </w:r>
          </w:p>
        </w:tc>
        <w:tc>
          <w:tcPr>
            <w:tcW w:w="608" w:type="dxa"/>
            <w:shd w:val="clear" w:color="auto" w:fill="A6A6A6"/>
            <w:vAlign w:val="center"/>
          </w:tcPr>
          <w:p w:rsidR="000346C2" w:rsidRPr="002E02DE" w:rsidRDefault="00A96A07" w:rsidP="000346C2">
            <w:pPr>
              <w:jc w:val="right"/>
              <w:rPr>
                <w:rFonts w:ascii="Arial Narrow" w:hAnsi="Arial Narrow"/>
                <w:sz w:val="15"/>
                <w:szCs w:val="15"/>
              </w:rPr>
            </w:pPr>
            <w:r>
              <w:rPr>
                <w:rFonts w:ascii="Arial Narrow" w:hAnsi="Arial Narrow"/>
                <w:sz w:val="15"/>
                <w:szCs w:val="15"/>
              </w:rPr>
              <w:t>1</w:t>
            </w:r>
          </w:p>
        </w:tc>
        <w:tc>
          <w:tcPr>
            <w:tcW w:w="631" w:type="dxa"/>
            <w:shd w:val="clear" w:color="auto" w:fill="A6A6A6"/>
            <w:vAlign w:val="center"/>
          </w:tcPr>
          <w:p w:rsidR="000346C2" w:rsidRPr="002E02DE" w:rsidRDefault="00A96A07" w:rsidP="000346C2">
            <w:pPr>
              <w:jc w:val="right"/>
              <w:rPr>
                <w:rFonts w:ascii="Arial Narrow" w:hAnsi="Arial Narrow"/>
                <w:sz w:val="15"/>
                <w:szCs w:val="15"/>
              </w:rPr>
            </w:pPr>
            <w:r>
              <w:rPr>
                <w:rFonts w:ascii="Arial Narrow" w:hAnsi="Arial Narrow"/>
                <w:sz w:val="15"/>
                <w:szCs w:val="15"/>
              </w:rPr>
              <w:t>3</w:t>
            </w:r>
          </w:p>
        </w:tc>
        <w:tc>
          <w:tcPr>
            <w:tcW w:w="553"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0,04</w:t>
            </w:r>
          </w:p>
        </w:tc>
        <w:tc>
          <w:tcPr>
            <w:tcW w:w="705"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w:t>
            </w:r>
          </w:p>
        </w:tc>
        <w:tc>
          <w:tcPr>
            <w:tcW w:w="578"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w:t>
            </w:r>
          </w:p>
        </w:tc>
        <w:tc>
          <w:tcPr>
            <w:tcW w:w="601"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6</w:t>
            </w:r>
          </w:p>
        </w:tc>
        <w:tc>
          <w:tcPr>
            <w:tcW w:w="571"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0,09</w:t>
            </w:r>
          </w:p>
        </w:tc>
        <w:tc>
          <w:tcPr>
            <w:tcW w:w="708"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w:t>
            </w:r>
          </w:p>
        </w:tc>
        <w:tc>
          <w:tcPr>
            <w:tcW w:w="603"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w:t>
            </w:r>
          </w:p>
        </w:tc>
        <w:tc>
          <w:tcPr>
            <w:tcW w:w="660"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5</w:t>
            </w:r>
          </w:p>
        </w:tc>
        <w:tc>
          <w:tcPr>
            <w:tcW w:w="577" w:type="dxa"/>
            <w:tcBorders>
              <w:right w:val="single" w:sz="4" w:space="0" w:color="auto"/>
            </w:tcBorders>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0,07</w:t>
            </w:r>
          </w:p>
        </w:tc>
      </w:tr>
      <w:tr w:rsidR="000346C2" w:rsidRPr="00221A99" w:rsidTr="00FF6C69">
        <w:trPr>
          <w:cantSplit/>
          <w:jc w:val="center"/>
        </w:trPr>
        <w:tc>
          <w:tcPr>
            <w:tcW w:w="2619" w:type="dxa"/>
            <w:tcBorders>
              <w:left w:val="single" w:sz="4" w:space="0" w:color="auto"/>
            </w:tcBorders>
            <w:shd w:val="clear" w:color="auto" w:fill="auto"/>
          </w:tcPr>
          <w:p w:rsidR="000346C2" w:rsidRPr="00221A99" w:rsidRDefault="000346C2" w:rsidP="000346C2">
            <w:pPr>
              <w:widowControl w:val="0"/>
              <w:rPr>
                <w:rFonts w:ascii="Arial Narrow" w:hAnsi="Arial Narrow"/>
                <w:sz w:val="15"/>
                <w:szCs w:val="15"/>
              </w:rPr>
            </w:pPr>
            <w:r>
              <w:rPr>
                <w:rFonts w:ascii="Arial Narrow" w:hAnsi="Arial Narrow"/>
                <w:sz w:val="15"/>
                <w:szCs w:val="15"/>
              </w:rPr>
              <w:t>Εθνικής Άμυνας</w:t>
            </w:r>
          </w:p>
        </w:tc>
        <w:tc>
          <w:tcPr>
            <w:tcW w:w="68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w:t>
            </w:r>
          </w:p>
        </w:tc>
        <w:tc>
          <w:tcPr>
            <w:tcW w:w="608" w:type="dxa"/>
            <w:shd w:val="clear" w:color="auto" w:fill="auto"/>
            <w:vAlign w:val="center"/>
          </w:tcPr>
          <w:p w:rsidR="000346C2" w:rsidRPr="002E02DE" w:rsidRDefault="00A96A07" w:rsidP="000346C2">
            <w:pPr>
              <w:jc w:val="right"/>
              <w:rPr>
                <w:rFonts w:ascii="Arial Narrow" w:hAnsi="Arial Narrow"/>
                <w:sz w:val="15"/>
                <w:szCs w:val="15"/>
              </w:rPr>
            </w:pPr>
            <w:r>
              <w:rPr>
                <w:rFonts w:ascii="Arial Narrow" w:hAnsi="Arial Narrow"/>
                <w:sz w:val="15"/>
                <w:szCs w:val="15"/>
              </w:rPr>
              <w:t>4</w:t>
            </w:r>
          </w:p>
        </w:tc>
        <w:tc>
          <w:tcPr>
            <w:tcW w:w="631" w:type="dxa"/>
            <w:shd w:val="clear" w:color="auto" w:fill="auto"/>
            <w:vAlign w:val="center"/>
          </w:tcPr>
          <w:p w:rsidR="000346C2" w:rsidRPr="002E02DE" w:rsidRDefault="00A96A07" w:rsidP="000346C2">
            <w:pPr>
              <w:jc w:val="right"/>
              <w:rPr>
                <w:rFonts w:ascii="Arial Narrow" w:hAnsi="Arial Narrow"/>
                <w:sz w:val="15"/>
                <w:szCs w:val="15"/>
              </w:rPr>
            </w:pPr>
            <w:r>
              <w:rPr>
                <w:rFonts w:ascii="Arial Narrow" w:hAnsi="Arial Narrow"/>
                <w:sz w:val="15"/>
                <w:szCs w:val="15"/>
              </w:rPr>
              <w:t>4</w:t>
            </w:r>
          </w:p>
        </w:tc>
        <w:tc>
          <w:tcPr>
            <w:tcW w:w="55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0,07</w:t>
            </w:r>
          </w:p>
        </w:tc>
        <w:tc>
          <w:tcPr>
            <w:tcW w:w="705"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10</w:t>
            </w:r>
          </w:p>
        </w:tc>
        <w:tc>
          <w:tcPr>
            <w:tcW w:w="57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8</w:t>
            </w:r>
          </w:p>
        </w:tc>
        <w:tc>
          <w:tcPr>
            <w:tcW w:w="60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18</w:t>
            </w:r>
          </w:p>
        </w:tc>
        <w:tc>
          <w:tcPr>
            <w:tcW w:w="57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0,27</w:t>
            </w:r>
          </w:p>
        </w:tc>
        <w:tc>
          <w:tcPr>
            <w:tcW w:w="708" w:type="dxa"/>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5</w:t>
            </w:r>
          </w:p>
        </w:tc>
        <w:tc>
          <w:tcPr>
            <w:tcW w:w="603" w:type="dxa"/>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w:t>
            </w:r>
          </w:p>
        </w:tc>
        <w:tc>
          <w:tcPr>
            <w:tcW w:w="660" w:type="dxa"/>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9</w:t>
            </w:r>
          </w:p>
        </w:tc>
        <w:tc>
          <w:tcPr>
            <w:tcW w:w="577" w:type="dxa"/>
            <w:tcBorders>
              <w:right w:val="single" w:sz="4" w:space="0" w:color="auto"/>
            </w:tcBorders>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0,13</w:t>
            </w:r>
          </w:p>
        </w:tc>
      </w:tr>
      <w:tr w:rsidR="000346C2" w:rsidRPr="00221A99" w:rsidTr="00FF6C69">
        <w:trPr>
          <w:cantSplit/>
          <w:jc w:val="center"/>
        </w:trPr>
        <w:tc>
          <w:tcPr>
            <w:tcW w:w="2619" w:type="dxa"/>
            <w:tcBorders>
              <w:left w:val="single" w:sz="4" w:space="0" w:color="auto"/>
            </w:tcBorders>
            <w:shd w:val="clear" w:color="auto" w:fill="A6A6A6" w:themeFill="background1" w:themeFillShade="A6"/>
          </w:tcPr>
          <w:p w:rsidR="000346C2" w:rsidRPr="00221A99" w:rsidRDefault="000346C2" w:rsidP="000346C2">
            <w:pPr>
              <w:widowControl w:val="0"/>
              <w:rPr>
                <w:rFonts w:ascii="Arial Narrow" w:hAnsi="Arial Narrow"/>
                <w:sz w:val="15"/>
                <w:szCs w:val="15"/>
              </w:rPr>
            </w:pPr>
            <w:r>
              <w:rPr>
                <w:rFonts w:ascii="Arial Narrow" w:hAnsi="Arial Narrow"/>
                <w:sz w:val="15"/>
                <w:szCs w:val="15"/>
              </w:rPr>
              <w:t>Οικονομίας</w:t>
            </w:r>
            <w:r>
              <w:rPr>
                <w:rFonts w:ascii="Arial Narrow" w:hAnsi="Arial Narrow"/>
                <w:sz w:val="15"/>
                <w:szCs w:val="15"/>
                <w:lang w:val="en-US"/>
              </w:rPr>
              <w:t xml:space="preserve"> </w:t>
            </w:r>
            <w:r>
              <w:rPr>
                <w:rFonts w:ascii="Arial Narrow" w:hAnsi="Arial Narrow"/>
                <w:sz w:val="15"/>
                <w:szCs w:val="15"/>
              </w:rPr>
              <w:t xml:space="preserve">και Ανάπτυξης </w:t>
            </w:r>
          </w:p>
        </w:tc>
        <w:tc>
          <w:tcPr>
            <w:tcW w:w="681" w:type="dxa"/>
            <w:shd w:val="clear" w:color="auto" w:fill="A6A6A6"/>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1.004</w:t>
            </w:r>
            <w:r w:rsidR="000346C2" w:rsidRPr="002E02DE">
              <w:rPr>
                <w:rFonts w:ascii="Arial Narrow" w:hAnsi="Arial Narrow"/>
                <w:sz w:val="15"/>
                <w:szCs w:val="15"/>
              </w:rPr>
              <w:t xml:space="preserve">  </w:t>
            </w:r>
          </w:p>
        </w:tc>
        <w:tc>
          <w:tcPr>
            <w:tcW w:w="608" w:type="dxa"/>
            <w:shd w:val="clear" w:color="auto" w:fill="A6A6A6"/>
            <w:vAlign w:val="center"/>
          </w:tcPr>
          <w:p w:rsidR="000346C2" w:rsidRPr="002E02DE" w:rsidRDefault="000346C2" w:rsidP="00DE40F7">
            <w:pPr>
              <w:jc w:val="right"/>
              <w:rPr>
                <w:rFonts w:ascii="Arial Narrow" w:hAnsi="Arial Narrow"/>
                <w:sz w:val="15"/>
                <w:szCs w:val="15"/>
              </w:rPr>
            </w:pPr>
            <w:r w:rsidRPr="002E02DE">
              <w:rPr>
                <w:rFonts w:ascii="Arial Narrow" w:hAnsi="Arial Narrow"/>
                <w:sz w:val="15"/>
                <w:szCs w:val="15"/>
              </w:rPr>
              <w:t xml:space="preserve">353  </w:t>
            </w:r>
          </w:p>
        </w:tc>
        <w:tc>
          <w:tcPr>
            <w:tcW w:w="631" w:type="dxa"/>
            <w:shd w:val="clear" w:color="auto" w:fill="A6A6A6"/>
            <w:vAlign w:val="center"/>
          </w:tcPr>
          <w:p w:rsidR="000346C2" w:rsidRPr="002E02DE" w:rsidRDefault="000346C2" w:rsidP="00DE40F7">
            <w:pPr>
              <w:jc w:val="right"/>
              <w:rPr>
                <w:rFonts w:ascii="Arial Narrow" w:hAnsi="Arial Narrow"/>
                <w:sz w:val="15"/>
                <w:szCs w:val="15"/>
              </w:rPr>
            </w:pPr>
            <w:r w:rsidRPr="002E02DE">
              <w:rPr>
                <w:rFonts w:ascii="Arial Narrow" w:hAnsi="Arial Narrow"/>
                <w:sz w:val="15"/>
                <w:szCs w:val="15"/>
              </w:rPr>
              <w:t>1.35</w:t>
            </w:r>
            <w:r w:rsidR="00DE40F7">
              <w:rPr>
                <w:rFonts w:ascii="Arial Narrow" w:hAnsi="Arial Narrow"/>
                <w:sz w:val="15"/>
                <w:szCs w:val="15"/>
              </w:rPr>
              <w:t>8</w:t>
            </w:r>
            <w:r w:rsidRPr="002E02DE">
              <w:rPr>
                <w:rFonts w:ascii="Arial Narrow" w:hAnsi="Arial Narrow"/>
                <w:sz w:val="15"/>
                <w:szCs w:val="15"/>
              </w:rPr>
              <w:t xml:space="preserve"> </w:t>
            </w:r>
          </w:p>
        </w:tc>
        <w:tc>
          <w:tcPr>
            <w:tcW w:w="553"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21,59  </w:t>
            </w:r>
          </w:p>
        </w:tc>
        <w:tc>
          <w:tcPr>
            <w:tcW w:w="705"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1.704</w:t>
            </w:r>
          </w:p>
        </w:tc>
        <w:tc>
          <w:tcPr>
            <w:tcW w:w="578"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448</w:t>
            </w:r>
          </w:p>
        </w:tc>
        <w:tc>
          <w:tcPr>
            <w:tcW w:w="601"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2.152</w:t>
            </w:r>
          </w:p>
        </w:tc>
        <w:tc>
          <w:tcPr>
            <w:tcW w:w="571"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31,88</w:t>
            </w:r>
          </w:p>
        </w:tc>
        <w:tc>
          <w:tcPr>
            <w:tcW w:w="708"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1.694</w:t>
            </w:r>
          </w:p>
        </w:tc>
        <w:tc>
          <w:tcPr>
            <w:tcW w:w="603"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454</w:t>
            </w:r>
          </w:p>
        </w:tc>
        <w:tc>
          <w:tcPr>
            <w:tcW w:w="660" w:type="dxa"/>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2.148</w:t>
            </w:r>
          </w:p>
        </w:tc>
        <w:tc>
          <w:tcPr>
            <w:tcW w:w="577" w:type="dxa"/>
            <w:tcBorders>
              <w:right w:val="single" w:sz="4" w:space="0" w:color="auto"/>
            </w:tcBorders>
            <w:shd w:val="clear" w:color="auto" w:fill="A6A6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31,82</w:t>
            </w:r>
          </w:p>
        </w:tc>
      </w:tr>
      <w:tr w:rsidR="000346C2" w:rsidRPr="00221A99" w:rsidTr="00FF6C69">
        <w:trPr>
          <w:cantSplit/>
          <w:jc w:val="center"/>
        </w:trPr>
        <w:tc>
          <w:tcPr>
            <w:tcW w:w="2619" w:type="dxa"/>
            <w:tcBorders>
              <w:left w:val="single" w:sz="4" w:space="0" w:color="auto"/>
            </w:tcBorders>
            <w:shd w:val="clear" w:color="auto" w:fill="A6A6A6" w:themeFill="background1" w:themeFillShade="A6"/>
          </w:tcPr>
          <w:p w:rsidR="000346C2" w:rsidRPr="00221A99" w:rsidRDefault="000346C2" w:rsidP="000346C2">
            <w:pPr>
              <w:widowControl w:val="0"/>
              <w:tabs>
                <w:tab w:val="left" w:pos="216"/>
              </w:tabs>
              <w:rPr>
                <w:rFonts w:ascii="Arial Narrow" w:hAnsi="Arial Narrow"/>
                <w:sz w:val="15"/>
                <w:szCs w:val="15"/>
              </w:rPr>
            </w:pPr>
            <w:r>
              <w:rPr>
                <w:rFonts w:ascii="Arial Narrow" w:hAnsi="Arial Narrow"/>
                <w:sz w:val="15"/>
                <w:szCs w:val="15"/>
              </w:rPr>
              <w:t xml:space="preserve">  εκ των οποίων </w:t>
            </w:r>
            <w:r w:rsidRPr="00221A99">
              <w:rPr>
                <w:rFonts w:ascii="Arial Narrow" w:hAnsi="Arial Narrow"/>
                <w:sz w:val="15"/>
                <w:szCs w:val="15"/>
              </w:rPr>
              <w:t>Περιφερειακά προγράμματα</w:t>
            </w:r>
          </w:p>
        </w:tc>
        <w:tc>
          <w:tcPr>
            <w:tcW w:w="681" w:type="dxa"/>
            <w:shd w:val="clear" w:color="auto" w:fill="A6A6A6" w:themeFill="background1" w:themeFillShade="A6"/>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501</w:t>
            </w:r>
            <w:r w:rsidR="000346C2" w:rsidRPr="002E02DE">
              <w:rPr>
                <w:rFonts w:ascii="Arial Narrow" w:hAnsi="Arial Narrow"/>
                <w:sz w:val="15"/>
                <w:szCs w:val="15"/>
              </w:rPr>
              <w:t xml:space="preserve">  </w:t>
            </w:r>
          </w:p>
        </w:tc>
        <w:tc>
          <w:tcPr>
            <w:tcW w:w="608"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288</w:t>
            </w:r>
            <w:r w:rsidR="000346C2" w:rsidRPr="002E02DE">
              <w:rPr>
                <w:rFonts w:ascii="Arial Narrow" w:hAnsi="Arial Narrow"/>
                <w:sz w:val="15"/>
                <w:szCs w:val="15"/>
              </w:rPr>
              <w:t xml:space="preserve">  </w:t>
            </w:r>
          </w:p>
        </w:tc>
        <w:tc>
          <w:tcPr>
            <w:tcW w:w="631"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789</w:t>
            </w:r>
            <w:r w:rsidR="000346C2" w:rsidRPr="002E02DE">
              <w:rPr>
                <w:rFonts w:ascii="Arial Narrow" w:hAnsi="Arial Narrow"/>
                <w:sz w:val="15"/>
                <w:szCs w:val="15"/>
              </w:rPr>
              <w:t xml:space="preserve">  </w:t>
            </w:r>
          </w:p>
        </w:tc>
        <w:tc>
          <w:tcPr>
            <w:tcW w:w="55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12,55  </w:t>
            </w:r>
          </w:p>
        </w:tc>
        <w:tc>
          <w:tcPr>
            <w:tcW w:w="705"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1.020</w:t>
            </w:r>
          </w:p>
        </w:tc>
        <w:tc>
          <w:tcPr>
            <w:tcW w:w="57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200</w:t>
            </w:r>
          </w:p>
        </w:tc>
        <w:tc>
          <w:tcPr>
            <w:tcW w:w="60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1.220</w:t>
            </w:r>
          </w:p>
        </w:tc>
        <w:tc>
          <w:tcPr>
            <w:tcW w:w="57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18,07</w:t>
            </w:r>
          </w:p>
        </w:tc>
        <w:tc>
          <w:tcPr>
            <w:tcW w:w="70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1.020</w:t>
            </w:r>
          </w:p>
        </w:tc>
        <w:tc>
          <w:tcPr>
            <w:tcW w:w="60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160</w:t>
            </w:r>
          </w:p>
        </w:tc>
        <w:tc>
          <w:tcPr>
            <w:tcW w:w="660"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1.180</w:t>
            </w:r>
          </w:p>
        </w:tc>
        <w:tc>
          <w:tcPr>
            <w:tcW w:w="577" w:type="dxa"/>
            <w:tcBorders>
              <w:right w:val="single" w:sz="4" w:space="0" w:color="auto"/>
            </w:tcBorders>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17,48</w:t>
            </w:r>
          </w:p>
        </w:tc>
      </w:tr>
      <w:tr w:rsidR="000346C2" w:rsidRPr="00221A99" w:rsidTr="00FF6C69">
        <w:trPr>
          <w:cantSplit/>
          <w:jc w:val="center"/>
        </w:trPr>
        <w:tc>
          <w:tcPr>
            <w:tcW w:w="2619" w:type="dxa"/>
            <w:tcBorders>
              <w:left w:val="single" w:sz="4" w:space="0" w:color="auto"/>
            </w:tcBorders>
            <w:shd w:val="clear" w:color="auto" w:fill="auto"/>
          </w:tcPr>
          <w:p w:rsidR="000346C2" w:rsidRPr="00221A99" w:rsidRDefault="000346C2" w:rsidP="000346C2">
            <w:pPr>
              <w:widowControl w:val="0"/>
              <w:tabs>
                <w:tab w:val="left" w:pos="216"/>
              </w:tabs>
              <w:rPr>
                <w:rFonts w:ascii="Arial Narrow" w:hAnsi="Arial Narrow"/>
                <w:sz w:val="15"/>
                <w:szCs w:val="15"/>
              </w:rPr>
            </w:pPr>
            <w:r>
              <w:rPr>
                <w:rFonts w:ascii="Arial Narrow" w:hAnsi="Arial Narrow"/>
                <w:sz w:val="15"/>
                <w:szCs w:val="15"/>
              </w:rPr>
              <w:t>Υποδομών και</w:t>
            </w:r>
            <w:r w:rsidRPr="00221A99">
              <w:rPr>
                <w:rFonts w:ascii="Arial Narrow" w:hAnsi="Arial Narrow"/>
                <w:sz w:val="15"/>
                <w:szCs w:val="15"/>
              </w:rPr>
              <w:t xml:space="preserve"> Μεταφορών</w:t>
            </w:r>
          </w:p>
        </w:tc>
        <w:tc>
          <w:tcPr>
            <w:tcW w:w="681" w:type="dxa"/>
            <w:shd w:val="clear" w:color="auto" w:fill="auto"/>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2.613</w:t>
            </w:r>
            <w:r w:rsidR="000346C2" w:rsidRPr="002E02DE">
              <w:rPr>
                <w:rFonts w:ascii="Arial Narrow" w:hAnsi="Arial Narrow"/>
                <w:sz w:val="15"/>
                <w:szCs w:val="15"/>
              </w:rPr>
              <w:t xml:space="preserve">  </w:t>
            </w:r>
          </w:p>
        </w:tc>
        <w:tc>
          <w:tcPr>
            <w:tcW w:w="608"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281</w:t>
            </w:r>
            <w:r w:rsidR="000346C2" w:rsidRPr="002E02DE">
              <w:rPr>
                <w:rFonts w:ascii="Arial Narrow" w:hAnsi="Arial Narrow"/>
                <w:sz w:val="15"/>
                <w:szCs w:val="15"/>
              </w:rPr>
              <w:t xml:space="preserve">  </w:t>
            </w:r>
          </w:p>
        </w:tc>
        <w:tc>
          <w:tcPr>
            <w:tcW w:w="631"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2.895</w:t>
            </w:r>
            <w:r w:rsidR="000346C2" w:rsidRPr="002E02DE">
              <w:rPr>
                <w:rFonts w:ascii="Arial Narrow" w:hAnsi="Arial Narrow"/>
                <w:sz w:val="15"/>
                <w:szCs w:val="15"/>
              </w:rPr>
              <w:t xml:space="preserve">  </w:t>
            </w:r>
          </w:p>
        </w:tc>
        <w:tc>
          <w:tcPr>
            <w:tcW w:w="55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46,04  </w:t>
            </w:r>
          </w:p>
        </w:tc>
        <w:tc>
          <w:tcPr>
            <w:tcW w:w="705"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1.723</w:t>
            </w:r>
          </w:p>
        </w:tc>
        <w:tc>
          <w:tcPr>
            <w:tcW w:w="57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199</w:t>
            </w:r>
          </w:p>
        </w:tc>
        <w:tc>
          <w:tcPr>
            <w:tcW w:w="60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1.922</w:t>
            </w:r>
          </w:p>
        </w:tc>
        <w:tc>
          <w:tcPr>
            <w:tcW w:w="57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28,47</w:t>
            </w:r>
          </w:p>
        </w:tc>
        <w:tc>
          <w:tcPr>
            <w:tcW w:w="70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1.750</w:t>
            </w:r>
          </w:p>
        </w:tc>
        <w:tc>
          <w:tcPr>
            <w:tcW w:w="60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214</w:t>
            </w:r>
          </w:p>
        </w:tc>
        <w:tc>
          <w:tcPr>
            <w:tcW w:w="660"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1.964</w:t>
            </w:r>
          </w:p>
        </w:tc>
        <w:tc>
          <w:tcPr>
            <w:tcW w:w="577" w:type="dxa"/>
            <w:tcBorders>
              <w:right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29,10</w:t>
            </w:r>
          </w:p>
        </w:tc>
      </w:tr>
      <w:tr w:rsidR="000346C2" w:rsidRPr="00221A99" w:rsidTr="00FF6C69">
        <w:trPr>
          <w:cantSplit/>
          <w:jc w:val="center"/>
        </w:trPr>
        <w:tc>
          <w:tcPr>
            <w:tcW w:w="2619" w:type="dxa"/>
            <w:tcBorders>
              <w:left w:val="single" w:sz="4" w:space="0" w:color="auto"/>
            </w:tcBorders>
            <w:shd w:val="clear" w:color="auto" w:fill="A6A6A6" w:themeFill="background1" w:themeFillShade="A6"/>
          </w:tcPr>
          <w:p w:rsidR="000346C2" w:rsidRPr="00221A99" w:rsidRDefault="000346C2" w:rsidP="000346C2">
            <w:pPr>
              <w:widowControl w:val="0"/>
              <w:rPr>
                <w:rFonts w:ascii="Arial Narrow" w:hAnsi="Arial Narrow"/>
                <w:sz w:val="15"/>
                <w:szCs w:val="15"/>
              </w:rPr>
            </w:pPr>
            <w:r w:rsidRPr="00221A99">
              <w:rPr>
                <w:rFonts w:ascii="Arial Narrow" w:hAnsi="Arial Narrow"/>
                <w:sz w:val="15"/>
                <w:szCs w:val="15"/>
              </w:rPr>
              <w:t>Περιβάλλοντος</w:t>
            </w:r>
            <w:r>
              <w:rPr>
                <w:rFonts w:ascii="Arial Narrow" w:hAnsi="Arial Narrow"/>
                <w:sz w:val="15"/>
                <w:szCs w:val="15"/>
              </w:rPr>
              <w:t xml:space="preserve"> και Ενέργειας</w:t>
            </w:r>
          </w:p>
        </w:tc>
        <w:tc>
          <w:tcPr>
            <w:tcW w:w="681" w:type="dxa"/>
            <w:shd w:val="clear" w:color="auto" w:fill="A6A6A6" w:themeFill="background1" w:themeFillShade="A6"/>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275</w:t>
            </w:r>
            <w:r w:rsidR="000346C2" w:rsidRPr="002E02DE">
              <w:rPr>
                <w:rFonts w:ascii="Arial Narrow" w:hAnsi="Arial Narrow"/>
                <w:sz w:val="15"/>
                <w:szCs w:val="15"/>
              </w:rPr>
              <w:t xml:space="preserve">  </w:t>
            </w:r>
          </w:p>
        </w:tc>
        <w:tc>
          <w:tcPr>
            <w:tcW w:w="608"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6</w:t>
            </w:r>
            <w:r w:rsidR="000346C2" w:rsidRPr="002E02DE">
              <w:rPr>
                <w:rFonts w:ascii="Arial Narrow" w:hAnsi="Arial Narrow"/>
                <w:sz w:val="15"/>
                <w:szCs w:val="15"/>
              </w:rPr>
              <w:t xml:space="preserve">  </w:t>
            </w:r>
          </w:p>
        </w:tc>
        <w:tc>
          <w:tcPr>
            <w:tcW w:w="631"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282</w:t>
            </w:r>
            <w:r w:rsidR="000346C2" w:rsidRPr="002E02DE">
              <w:rPr>
                <w:rFonts w:ascii="Arial Narrow" w:hAnsi="Arial Narrow"/>
                <w:sz w:val="15"/>
                <w:szCs w:val="15"/>
              </w:rPr>
              <w:t xml:space="preserve">  </w:t>
            </w:r>
          </w:p>
        </w:tc>
        <w:tc>
          <w:tcPr>
            <w:tcW w:w="55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4,48  </w:t>
            </w:r>
          </w:p>
        </w:tc>
        <w:tc>
          <w:tcPr>
            <w:tcW w:w="705"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370</w:t>
            </w:r>
          </w:p>
        </w:tc>
        <w:tc>
          <w:tcPr>
            <w:tcW w:w="57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43</w:t>
            </w:r>
          </w:p>
        </w:tc>
        <w:tc>
          <w:tcPr>
            <w:tcW w:w="60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413</w:t>
            </w:r>
          </w:p>
        </w:tc>
        <w:tc>
          <w:tcPr>
            <w:tcW w:w="57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6,12</w:t>
            </w:r>
          </w:p>
        </w:tc>
        <w:tc>
          <w:tcPr>
            <w:tcW w:w="70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390</w:t>
            </w:r>
          </w:p>
        </w:tc>
        <w:tc>
          <w:tcPr>
            <w:tcW w:w="60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20</w:t>
            </w:r>
          </w:p>
        </w:tc>
        <w:tc>
          <w:tcPr>
            <w:tcW w:w="660"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410</w:t>
            </w:r>
          </w:p>
        </w:tc>
        <w:tc>
          <w:tcPr>
            <w:tcW w:w="577" w:type="dxa"/>
            <w:tcBorders>
              <w:right w:val="single" w:sz="4" w:space="0" w:color="auto"/>
            </w:tcBorders>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6,07</w:t>
            </w:r>
          </w:p>
        </w:tc>
      </w:tr>
      <w:tr w:rsidR="000346C2" w:rsidRPr="00221A99" w:rsidTr="00FF6C69">
        <w:trPr>
          <w:cantSplit/>
          <w:jc w:val="center"/>
        </w:trPr>
        <w:tc>
          <w:tcPr>
            <w:tcW w:w="2619" w:type="dxa"/>
            <w:tcBorders>
              <w:left w:val="single" w:sz="4" w:space="0" w:color="auto"/>
            </w:tcBorders>
            <w:shd w:val="clear" w:color="auto" w:fill="auto"/>
          </w:tcPr>
          <w:p w:rsidR="000346C2" w:rsidRPr="00221A99" w:rsidRDefault="000346C2" w:rsidP="000346C2">
            <w:pPr>
              <w:widowControl w:val="0"/>
              <w:rPr>
                <w:rFonts w:ascii="Arial Narrow" w:hAnsi="Arial Narrow"/>
                <w:sz w:val="15"/>
                <w:szCs w:val="15"/>
              </w:rPr>
            </w:pPr>
            <w:r w:rsidRPr="00221A99">
              <w:rPr>
                <w:rFonts w:ascii="Arial Narrow" w:hAnsi="Arial Narrow"/>
                <w:sz w:val="15"/>
                <w:szCs w:val="15"/>
              </w:rPr>
              <w:t>Παιδείας</w:t>
            </w:r>
            <w:r>
              <w:rPr>
                <w:rFonts w:ascii="Arial Narrow" w:hAnsi="Arial Narrow"/>
                <w:sz w:val="15"/>
                <w:szCs w:val="15"/>
              </w:rPr>
              <w:t>, Έρευνας</w:t>
            </w:r>
            <w:r w:rsidRPr="00221A99">
              <w:rPr>
                <w:rFonts w:ascii="Arial Narrow" w:hAnsi="Arial Narrow"/>
                <w:sz w:val="15"/>
                <w:szCs w:val="15"/>
              </w:rPr>
              <w:t xml:space="preserve"> και Θρησκευμάτων</w:t>
            </w:r>
          </w:p>
        </w:tc>
        <w:tc>
          <w:tcPr>
            <w:tcW w:w="681" w:type="dxa"/>
            <w:shd w:val="clear" w:color="auto" w:fill="auto"/>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399</w:t>
            </w:r>
            <w:r w:rsidR="000346C2" w:rsidRPr="002E02DE">
              <w:rPr>
                <w:rFonts w:ascii="Arial Narrow" w:hAnsi="Arial Narrow"/>
                <w:sz w:val="15"/>
                <w:szCs w:val="15"/>
              </w:rPr>
              <w:t xml:space="preserve">  </w:t>
            </w:r>
          </w:p>
        </w:tc>
        <w:tc>
          <w:tcPr>
            <w:tcW w:w="608"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105</w:t>
            </w:r>
            <w:r w:rsidR="000346C2" w:rsidRPr="002E02DE">
              <w:rPr>
                <w:rFonts w:ascii="Arial Narrow" w:hAnsi="Arial Narrow"/>
                <w:sz w:val="15"/>
                <w:szCs w:val="15"/>
              </w:rPr>
              <w:t xml:space="preserve">  </w:t>
            </w:r>
          </w:p>
        </w:tc>
        <w:tc>
          <w:tcPr>
            <w:tcW w:w="63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50</w:t>
            </w:r>
            <w:r w:rsidR="00DE40F7">
              <w:rPr>
                <w:rFonts w:ascii="Arial Narrow" w:hAnsi="Arial Narrow"/>
                <w:sz w:val="15"/>
                <w:szCs w:val="15"/>
              </w:rPr>
              <w:t>5</w:t>
            </w:r>
            <w:r w:rsidRPr="002E02DE">
              <w:rPr>
                <w:rFonts w:ascii="Arial Narrow" w:hAnsi="Arial Narrow"/>
                <w:sz w:val="15"/>
                <w:szCs w:val="15"/>
              </w:rPr>
              <w:t xml:space="preserve">  </w:t>
            </w:r>
          </w:p>
        </w:tc>
        <w:tc>
          <w:tcPr>
            <w:tcW w:w="55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8,03  </w:t>
            </w:r>
          </w:p>
        </w:tc>
        <w:tc>
          <w:tcPr>
            <w:tcW w:w="705"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455</w:t>
            </w:r>
          </w:p>
        </w:tc>
        <w:tc>
          <w:tcPr>
            <w:tcW w:w="57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160</w:t>
            </w:r>
          </w:p>
        </w:tc>
        <w:tc>
          <w:tcPr>
            <w:tcW w:w="60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615</w:t>
            </w:r>
          </w:p>
        </w:tc>
        <w:tc>
          <w:tcPr>
            <w:tcW w:w="57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9,11</w:t>
            </w:r>
          </w:p>
        </w:tc>
        <w:tc>
          <w:tcPr>
            <w:tcW w:w="70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455</w:t>
            </w:r>
          </w:p>
        </w:tc>
        <w:tc>
          <w:tcPr>
            <w:tcW w:w="60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165</w:t>
            </w:r>
          </w:p>
        </w:tc>
        <w:tc>
          <w:tcPr>
            <w:tcW w:w="660"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620</w:t>
            </w:r>
          </w:p>
        </w:tc>
        <w:tc>
          <w:tcPr>
            <w:tcW w:w="577" w:type="dxa"/>
            <w:tcBorders>
              <w:right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9,19</w:t>
            </w:r>
          </w:p>
        </w:tc>
      </w:tr>
      <w:tr w:rsidR="000346C2" w:rsidRPr="00221A99" w:rsidTr="00FF6C69">
        <w:trPr>
          <w:cantSplit/>
          <w:jc w:val="center"/>
        </w:trPr>
        <w:tc>
          <w:tcPr>
            <w:tcW w:w="2619" w:type="dxa"/>
            <w:tcBorders>
              <w:left w:val="single" w:sz="4" w:space="0" w:color="auto"/>
            </w:tcBorders>
            <w:shd w:val="clear" w:color="auto" w:fill="A6A6A6" w:themeFill="background1" w:themeFillShade="A6"/>
          </w:tcPr>
          <w:p w:rsidR="000346C2" w:rsidRPr="00221A99" w:rsidRDefault="000346C2" w:rsidP="000346C2">
            <w:pPr>
              <w:widowControl w:val="0"/>
              <w:rPr>
                <w:rFonts w:ascii="Arial Narrow" w:hAnsi="Arial Narrow"/>
                <w:sz w:val="15"/>
                <w:szCs w:val="15"/>
              </w:rPr>
            </w:pPr>
            <w:r w:rsidRPr="00221A99">
              <w:rPr>
                <w:rFonts w:ascii="Arial Narrow" w:hAnsi="Arial Narrow"/>
                <w:sz w:val="15"/>
                <w:szCs w:val="15"/>
              </w:rPr>
              <w:t>Πολιτισμού και Αθλητισμού</w:t>
            </w:r>
          </w:p>
        </w:tc>
        <w:tc>
          <w:tcPr>
            <w:tcW w:w="681" w:type="dxa"/>
            <w:shd w:val="clear" w:color="auto" w:fill="A6A6A6" w:themeFill="background1" w:themeFillShade="A6"/>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15</w:t>
            </w:r>
            <w:r w:rsidR="000346C2" w:rsidRPr="002E02DE">
              <w:rPr>
                <w:rFonts w:ascii="Arial Narrow" w:hAnsi="Arial Narrow"/>
                <w:sz w:val="15"/>
                <w:szCs w:val="15"/>
              </w:rPr>
              <w:t xml:space="preserve">  </w:t>
            </w:r>
          </w:p>
        </w:tc>
        <w:tc>
          <w:tcPr>
            <w:tcW w:w="608"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16</w:t>
            </w:r>
            <w:r w:rsidR="000346C2" w:rsidRPr="002E02DE">
              <w:rPr>
                <w:rFonts w:ascii="Arial Narrow" w:hAnsi="Arial Narrow"/>
                <w:sz w:val="15"/>
                <w:szCs w:val="15"/>
              </w:rPr>
              <w:t xml:space="preserve">  </w:t>
            </w:r>
          </w:p>
        </w:tc>
        <w:tc>
          <w:tcPr>
            <w:tcW w:w="631"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31</w:t>
            </w:r>
            <w:r w:rsidR="000346C2" w:rsidRPr="002E02DE">
              <w:rPr>
                <w:rFonts w:ascii="Arial Narrow" w:hAnsi="Arial Narrow"/>
                <w:sz w:val="15"/>
                <w:szCs w:val="15"/>
              </w:rPr>
              <w:t xml:space="preserve">  </w:t>
            </w:r>
          </w:p>
        </w:tc>
        <w:tc>
          <w:tcPr>
            <w:tcW w:w="55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0,49  </w:t>
            </w:r>
          </w:p>
        </w:tc>
        <w:tc>
          <w:tcPr>
            <w:tcW w:w="705"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71</w:t>
            </w:r>
          </w:p>
        </w:tc>
        <w:tc>
          <w:tcPr>
            <w:tcW w:w="57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25</w:t>
            </w:r>
          </w:p>
        </w:tc>
        <w:tc>
          <w:tcPr>
            <w:tcW w:w="60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96</w:t>
            </w:r>
          </w:p>
        </w:tc>
        <w:tc>
          <w:tcPr>
            <w:tcW w:w="57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1,42</w:t>
            </w:r>
          </w:p>
        </w:tc>
        <w:tc>
          <w:tcPr>
            <w:tcW w:w="70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16</w:t>
            </w:r>
          </w:p>
        </w:tc>
        <w:tc>
          <w:tcPr>
            <w:tcW w:w="60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25</w:t>
            </w:r>
          </w:p>
        </w:tc>
        <w:tc>
          <w:tcPr>
            <w:tcW w:w="660"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41</w:t>
            </w:r>
          </w:p>
        </w:tc>
        <w:tc>
          <w:tcPr>
            <w:tcW w:w="577" w:type="dxa"/>
            <w:tcBorders>
              <w:right w:val="single" w:sz="4" w:space="0" w:color="auto"/>
            </w:tcBorders>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0,61</w:t>
            </w:r>
          </w:p>
        </w:tc>
      </w:tr>
      <w:tr w:rsidR="000346C2" w:rsidRPr="00221A99" w:rsidTr="00FF6C69">
        <w:trPr>
          <w:cantSplit/>
          <w:jc w:val="center"/>
        </w:trPr>
        <w:tc>
          <w:tcPr>
            <w:tcW w:w="2619" w:type="dxa"/>
            <w:tcBorders>
              <w:left w:val="single" w:sz="4" w:space="0" w:color="auto"/>
            </w:tcBorders>
            <w:shd w:val="clear" w:color="auto" w:fill="auto"/>
          </w:tcPr>
          <w:p w:rsidR="000346C2" w:rsidRPr="00221A99" w:rsidRDefault="000346C2" w:rsidP="000346C2">
            <w:pPr>
              <w:widowControl w:val="0"/>
              <w:rPr>
                <w:rFonts w:ascii="Arial Narrow" w:hAnsi="Arial Narrow"/>
                <w:sz w:val="15"/>
                <w:szCs w:val="15"/>
              </w:rPr>
            </w:pPr>
            <w:r w:rsidRPr="00221A99">
              <w:rPr>
                <w:rFonts w:ascii="Arial Narrow" w:hAnsi="Arial Narrow"/>
                <w:sz w:val="15"/>
                <w:szCs w:val="15"/>
              </w:rPr>
              <w:t xml:space="preserve">Εργασίας, Κοιν. Ασφάλισης και </w:t>
            </w:r>
            <w:r>
              <w:rPr>
                <w:rFonts w:ascii="Arial Narrow" w:hAnsi="Arial Narrow"/>
                <w:sz w:val="15"/>
                <w:szCs w:val="15"/>
              </w:rPr>
              <w:t>Κοιν.Αλληλ.</w:t>
            </w:r>
          </w:p>
        </w:tc>
        <w:tc>
          <w:tcPr>
            <w:tcW w:w="681" w:type="dxa"/>
            <w:shd w:val="clear" w:color="auto" w:fill="auto"/>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251</w:t>
            </w:r>
            <w:r w:rsidR="000346C2" w:rsidRPr="002E02DE">
              <w:rPr>
                <w:rFonts w:ascii="Arial Narrow" w:hAnsi="Arial Narrow"/>
                <w:sz w:val="15"/>
                <w:szCs w:val="15"/>
              </w:rPr>
              <w:t xml:space="preserve">  </w:t>
            </w:r>
          </w:p>
        </w:tc>
        <w:tc>
          <w:tcPr>
            <w:tcW w:w="608"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17</w:t>
            </w:r>
            <w:r w:rsidR="000346C2" w:rsidRPr="002E02DE">
              <w:rPr>
                <w:rFonts w:ascii="Arial Narrow" w:hAnsi="Arial Narrow"/>
                <w:sz w:val="15"/>
                <w:szCs w:val="15"/>
              </w:rPr>
              <w:t xml:space="preserve">  </w:t>
            </w:r>
          </w:p>
        </w:tc>
        <w:tc>
          <w:tcPr>
            <w:tcW w:w="631"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267</w:t>
            </w:r>
            <w:r w:rsidR="000346C2" w:rsidRPr="002E02DE">
              <w:rPr>
                <w:rFonts w:ascii="Arial Narrow" w:hAnsi="Arial Narrow"/>
                <w:sz w:val="15"/>
                <w:szCs w:val="15"/>
              </w:rPr>
              <w:t xml:space="preserve">  </w:t>
            </w:r>
          </w:p>
        </w:tc>
        <w:tc>
          <w:tcPr>
            <w:tcW w:w="55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4,25  </w:t>
            </w:r>
          </w:p>
        </w:tc>
        <w:tc>
          <w:tcPr>
            <w:tcW w:w="705"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360</w:t>
            </w:r>
          </w:p>
        </w:tc>
        <w:tc>
          <w:tcPr>
            <w:tcW w:w="57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31</w:t>
            </w:r>
          </w:p>
        </w:tc>
        <w:tc>
          <w:tcPr>
            <w:tcW w:w="60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391</w:t>
            </w:r>
          </w:p>
        </w:tc>
        <w:tc>
          <w:tcPr>
            <w:tcW w:w="57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5,79</w:t>
            </w:r>
          </w:p>
        </w:tc>
        <w:tc>
          <w:tcPr>
            <w:tcW w:w="70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350</w:t>
            </w:r>
          </w:p>
        </w:tc>
        <w:tc>
          <w:tcPr>
            <w:tcW w:w="60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20</w:t>
            </w:r>
          </w:p>
        </w:tc>
        <w:tc>
          <w:tcPr>
            <w:tcW w:w="660"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370</w:t>
            </w:r>
          </w:p>
        </w:tc>
        <w:tc>
          <w:tcPr>
            <w:tcW w:w="577" w:type="dxa"/>
            <w:tcBorders>
              <w:right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5,48</w:t>
            </w:r>
          </w:p>
        </w:tc>
      </w:tr>
      <w:tr w:rsidR="000346C2" w:rsidRPr="00221A99" w:rsidTr="00FF6C69">
        <w:trPr>
          <w:cantSplit/>
          <w:jc w:val="center"/>
        </w:trPr>
        <w:tc>
          <w:tcPr>
            <w:tcW w:w="2619" w:type="dxa"/>
            <w:tcBorders>
              <w:left w:val="single" w:sz="4" w:space="0" w:color="auto"/>
            </w:tcBorders>
            <w:shd w:val="clear" w:color="auto" w:fill="A6A6A6" w:themeFill="background1" w:themeFillShade="A6"/>
          </w:tcPr>
          <w:p w:rsidR="000346C2" w:rsidRPr="00221A99" w:rsidRDefault="000346C2" w:rsidP="000346C2">
            <w:pPr>
              <w:widowControl w:val="0"/>
              <w:rPr>
                <w:rFonts w:ascii="Arial Narrow" w:hAnsi="Arial Narrow"/>
                <w:sz w:val="15"/>
                <w:szCs w:val="15"/>
              </w:rPr>
            </w:pPr>
            <w:r w:rsidRPr="00221A99">
              <w:rPr>
                <w:rFonts w:ascii="Arial Narrow" w:hAnsi="Arial Narrow"/>
                <w:sz w:val="15"/>
                <w:szCs w:val="15"/>
              </w:rPr>
              <w:t>Υγείας</w:t>
            </w:r>
          </w:p>
        </w:tc>
        <w:tc>
          <w:tcPr>
            <w:tcW w:w="681" w:type="dxa"/>
            <w:shd w:val="clear" w:color="auto" w:fill="A6A6A6" w:themeFill="background1" w:themeFillShade="A6"/>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5</w:t>
            </w:r>
            <w:r w:rsidR="000346C2" w:rsidRPr="002E02DE">
              <w:rPr>
                <w:rFonts w:ascii="Arial Narrow" w:hAnsi="Arial Narrow"/>
                <w:sz w:val="15"/>
                <w:szCs w:val="15"/>
              </w:rPr>
              <w:t xml:space="preserve">  </w:t>
            </w:r>
          </w:p>
        </w:tc>
        <w:tc>
          <w:tcPr>
            <w:tcW w:w="608"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2</w:t>
            </w:r>
            <w:r w:rsidR="000346C2" w:rsidRPr="002E02DE">
              <w:rPr>
                <w:rFonts w:ascii="Arial Narrow" w:hAnsi="Arial Narrow"/>
                <w:sz w:val="15"/>
                <w:szCs w:val="15"/>
              </w:rPr>
              <w:t xml:space="preserve">  </w:t>
            </w:r>
          </w:p>
        </w:tc>
        <w:tc>
          <w:tcPr>
            <w:tcW w:w="631"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7</w:t>
            </w:r>
            <w:r w:rsidR="000346C2" w:rsidRPr="002E02DE">
              <w:rPr>
                <w:rFonts w:ascii="Arial Narrow" w:hAnsi="Arial Narrow"/>
                <w:sz w:val="15"/>
                <w:szCs w:val="15"/>
              </w:rPr>
              <w:t xml:space="preserve">  </w:t>
            </w:r>
          </w:p>
        </w:tc>
        <w:tc>
          <w:tcPr>
            <w:tcW w:w="55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0,11  </w:t>
            </w:r>
          </w:p>
        </w:tc>
        <w:tc>
          <w:tcPr>
            <w:tcW w:w="705"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60</w:t>
            </w:r>
          </w:p>
        </w:tc>
        <w:tc>
          <w:tcPr>
            <w:tcW w:w="57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w:t>
            </w:r>
          </w:p>
        </w:tc>
        <w:tc>
          <w:tcPr>
            <w:tcW w:w="60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64</w:t>
            </w:r>
          </w:p>
        </w:tc>
        <w:tc>
          <w:tcPr>
            <w:tcW w:w="57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0,95</w:t>
            </w:r>
          </w:p>
        </w:tc>
        <w:tc>
          <w:tcPr>
            <w:tcW w:w="70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15</w:t>
            </w:r>
          </w:p>
        </w:tc>
        <w:tc>
          <w:tcPr>
            <w:tcW w:w="60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20</w:t>
            </w:r>
          </w:p>
        </w:tc>
        <w:tc>
          <w:tcPr>
            <w:tcW w:w="660"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35</w:t>
            </w:r>
          </w:p>
        </w:tc>
        <w:tc>
          <w:tcPr>
            <w:tcW w:w="577" w:type="dxa"/>
            <w:tcBorders>
              <w:right w:val="single" w:sz="4" w:space="0" w:color="auto"/>
            </w:tcBorders>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0,52</w:t>
            </w:r>
          </w:p>
        </w:tc>
      </w:tr>
      <w:tr w:rsidR="000346C2" w:rsidRPr="00221A99" w:rsidTr="00FF6C69">
        <w:trPr>
          <w:cantSplit/>
          <w:jc w:val="center"/>
        </w:trPr>
        <w:tc>
          <w:tcPr>
            <w:tcW w:w="2619" w:type="dxa"/>
            <w:tcBorders>
              <w:left w:val="single" w:sz="4" w:space="0" w:color="auto"/>
            </w:tcBorders>
            <w:shd w:val="clear" w:color="auto" w:fill="auto"/>
          </w:tcPr>
          <w:p w:rsidR="000346C2" w:rsidRPr="00221A99" w:rsidRDefault="000346C2" w:rsidP="000346C2">
            <w:pPr>
              <w:widowControl w:val="0"/>
              <w:rPr>
                <w:rFonts w:ascii="Arial Narrow" w:hAnsi="Arial Narrow"/>
                <w:sz w:val="15"/>
                <w:szCs w:val="15"/>
              </w:rPr>
            </w:pPr>
            <w:r w:rsidRPr="00221A99">
              <w:rPr>
                <w:rFonts w:ascii="Arial Narrow" w:hAnsi="Arial Narrow"/>
                <w:sz w:val="15"/>
                <w:szCs w:val="15"/>
              </w:rPr>
              <w:t>Αγροτικής Ανάπτυξης και Τροφίμων</w:t>
            </w:r>
          </w:p>
        </w:tc>
        <w:tc>
          <w:tcPr>
            <w:tcW w:w="681" w:type="dxa"/>
            <w:shd w:val="clear" w:color="auto" w:fill="auto"/>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671</w:t>
            </w:r>
            <w:r w:rsidR="000346C2" w:rsidRPr="002E02DE">
              <w:rPr>
                <w:rFonts w:ascii="Arial Narrow" w:hAnsi="Arial Narrow"/>
                <w:sz w:val="15"/>
                <w:szCs w:val="15"/>
              </w:rPr>
              <w:t xml:space="preserve">  </w:t>
            </w:r>
          </w:p>
        </w:tc>
        <w:tc>
          <w:tcPr>
            <w:tcW w:w="608"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3</w:t>
            </w:r>
            <w:r w:rsidR="000346C2" w:rsidRPr="002E02DE">
              <w:rPr>
                <w:rFonts w:ascii="Arial Narrow" w:hAnsi="Arial Narrow"/>
                <w:sz w:val="15"/>
                <w:szCs w:val="15"/>
              </w:rPr>
              <w:t xml:space="preserve">  </w:t>
            </w:r>
          </w:p>
        </w:tc>
        <w:tc>
          <w:tcPr>
            <w:tcW w:w="631"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674</w:t>
            </w:r>
            <w:r w:rsidR="000346C2" w:rsidRPr="002E02DE">
              <w:rPr>
                <w:rFonts w:ascii="Arial Narrow" w:hAnsi="Arial Narrow"/>
                <w:sz w:val="15"/>
                <w:szCs w:val="15"/>
              </w:rPr>
              <w:t xml:space="preserve">  </w:t>
            </w:r>
          </w:p>
        </w:tc>
        <w:tc>
          <w:tcPr>
            <w:tcW w:w="55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10,72  </w:t>
            </w:r>
          </w:p>
        </w:tc>
        <w:tc>
          <w:tcPr>
            <w:tcW w:w="705"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605</w:t>
            </w:r>
          </w:p>
        </w:tc>
        <w:tc>
          <w:tcPr>
            <w:tcW w:w="57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7</w:t>
            </w:r>
          </w:p>
        </w:tc>
        <w:tc>
          <w:tcPr>
            <w:tcW w:w="60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612</w:t>
            </w:r>
          </w:p>
        </w:tc>
        <w:tc>
          <w:tcPr>
            <w:tcW w:w="57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9,07</w:t>
            </w:r>
          </w:p>
        </w:tc>
        <w:tc>
          <w:tcPr>
            <w:tcW w:w="70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690</w:t>
            </w:r>
          </w:p>
        </w:tc>
        <w:tc>
          <w:tcPr>
            <w:tcW w:w="60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w:t>
            </w:r>
          </w:p>
        </w:tc>
        <w:tc>
          <w:tcPr>
            <w:tcW w:w="660"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692</w:t>
            </w:r>
          </w:p>
        </w:tc>
        <w:tc>
          <w:tcPr>
            <w:tcW w:w="577" w:type="dxa"/>
            <w:tcBorders>
              <w:right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10,25</w:t>
            </w:r>
          </w:p>
        </w:tc>
      </w:tr>
      <w:tr w:rsidR="000346C2" w:rsidRPr="00221A99" w:rsidTr="00FF6C69">
        <w:trPr>
          <w:cantSplit/>
          <w:jc w:val="center"/>
        </w:trPr>
        <w:tc>
          <w:tcPr>
            <w:tcW w:w="2619" w:type="dxa"/>
            <w:tcBorders>
              <w:left w:val="single" w:sz="4" w:space="0" w:color="auto"/>
            </w:tcBorders>
            <w:shd w:val="clear" w:color="auto" w:fill="A6A6A6" w:themeFill="background1" w:themeFillShade="A6"/>
          </w:tcPr>
          <w:p w:rsidR="000346C2" w:rsidRPr="00221A99" w:rsidRDefault="000346C2" w:rsidP="000346C2">
            <w:pPr>
              <w:widowControl w:val="0"/>
              <w:rPr>
                <w:rFonts w:ascii="Arial Narrow" w:hAnsi="Arial Narrow"/>
                <w:sz w:val="15"/>
                <w:szCs w:val="15"/>
              </w:rPr>
            </w:pPr>
            <w:r w:rsidRPr="00221A99">
              <w:rPr>
                <w:rFonts w:ascii="Arial Narrow" w:hAnsi="Arial Narrow"/>
                <w:sz w:val="15"/>
                <w:szCs w:val="15"/>
              </w:rPr>
              <w:t>Δικαιοσύνης, Διαφάνειας και Ανθρωπίνων Δικαιωμάτων</w:t>
            </w:r>
          </w:p>
        </w:tc>
        <w:tc>
          <w:tcPr>
            <w:tcW w:w="681" w:type="dxa"/>
            <w:shd w:val="clear" w:color="auto" w:fill="A6A6A6" w:themeFill="background1" w:themeFillShade="A6"/>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7</w:t>
            </w:r>
            <w:r w:rsidR="000346C2" w:rsidRPr="002E02DE">
              <w:rPr>
                <w:rFonts w:ascii="Arial Narrow" w:hAnsi="Arial Narrow"/>
                <w:sz w:val="15"/>
                <w:szCs w:val="15"/>
              </w:rPr>
              <w:t xml:space="preserve">  </w:t>
            </w:r>
          </w:p>
        </w:tc>
        <w:tc>
          <w:tcPr>
            <w:tcW w:w="608"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0</w:t>
            </w:r>
            <w:r w:rsidR="000346C2" w:rsidRPr="002E02DE">
              <w:rPr>
                <w:rFonts w:ascii="Arial Narrow" w:hAnsi="Arial Narrow"/>
                <w:sz w:val="15"/>
                <w:szCs w:val="15"/>
              </w:rPr>
              <w:t xml:space="preserve">  </w:t>
            </w:r>
          </w:p>
        </w:tc>
        <w:tc>
          <w:tcPr>
            <w:tcW w:w="631"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7</w:t>
            </w:r>
            <w:r w:rsidR="000346C2" w:rsidRPr="002E02DE">
              <w:rPr>
                <w:rFonts w:ascii="Arial Narrow" w:hAnsi="Arial Narrow"/>
                <w:sz w:val="15"/>
                <w:szCs w:val="15"/>
              </w:rPr>
              <w:t xml:space="preserve">  </w:t>
            </w:r>
          </w:p>
        </w:tc>
        <w:tc>
          <w:tcPr>
            <w:tcW w:w="55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0,11  </w:t>
            </w:r>
          </w:p>
        </w:tc>
        <w:tc>
          <w:tcPr>
            <w:tcW w:w="705"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9</w:t>
            </w:r>
          </w:p>
        </w:tc>
        <w:tc>
          <w:tcPr>
            <w:tcW w:w="57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w:t>
            </w:r>
          </w:p>
        </w:tc>
        <w:tc>
          <w:tcPr>
            <w:tcW w:w="60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12</w:t>
            </w:r>
          </w:p>
        </w:tc>
        <w:tc>
          <w:tcPr>
            <w:tcW w:w="57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0,18</w:t>
            </w:r>
          </w:p>
        </w:tc>
        <w:tc>
          <w:tcPr>
            <w:tcW w:w="70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8</w:t>
            </w:r>
          </w:p>
        </w:tc>
        <w:tc>
          <w:tcPr>
            <w:tcW w:w="60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w:t>
            </w:r>
          </w:p>
        </w:tc>
        <w:tc>
          <w:tcPr>
            <w:tcW w:w="660"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11</w:t>
            </w:r>
          </w:p>
        </w:tc>
        <w:tc>
          <w:tcPr>
            <w:tcW w:w="577" w:type="dxa"/>
            <w:tcBorders>
              <w:right w:val="single" w:sz="4" w:space="0" w:color="auto"/>
            </w:tcBorders>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0,16</w:t>
            </w:r>
          </w:p>
        </w:tc>
      </w:tr>
      <w:tr w:rsidR="000346C2" w:rsidRPr="00221A99" w:rsidTr="00FF6C69">
        <w:trPr>
          <w:cantSplit/>
          <w:jc w:val="center"/>
        </w:trPr>
        <w:tc>
          <w:tcPr>
            <w:tcW w:w="2619" w:type="dxa"/>
            <w:tcBorders>
              <w:left w:val="single" w:sz="4" w:space="0" w:color="auto"/>
            </w:tcBorders>
            <w:shd w:val="clear" w:color="auto" w:fill="auto"/>
          </w:tcPr>
          <w:p w:rsidR="000346C2" w:rsidRPr="00221A99" w:rsidRDefault="000346C2" w:rsidP="000346C2">
            <w:pPr>
              <w:widowControl w:val="0"/>
              <w:rPr>
                <w:rFonts w:ascii="Arial Narrow" w:hAnsi="Arial Narrow"/>
                <w:sz w:val="15"/>
                <w:szCs w:val="15"/>
              </w:rPr>
            </w:pPr>
            <w:r>
              <w:rPr>
                <w:rFonts w:ascii="Arial Narrow" w:hAnsi="Arial Narrow"/>
                <w:sz w:val="15"/>
                <w:szCs w:val="15"/>
              </w:rPr>
              <w:t>Ναυτιλίας και Νησιωτικής Πολιτικής</w:t>
            </w:r>
          </w:p>
        </w:tc>
        <w:tc>
          <w:tcPr>
            <w:tcW w:w="681" w:type="dxa"/>
            <w:shd w:val="clear" w:color="auto" w:fill="auto"/>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7</w:t>
            </w:r>
            <w:r w:rsidR="000346C2" w:rsidRPr="002E02DE">
              <w:rPr>
                <w:rFonts w:ascii="Arial Narrow" w:hAnsi="Arial Narrow"/>
                <w:sz w:val="15"/>
                <w:szCs w:val="15"/>
              </w:rPr>
              <w:t xml:space="preserve">  </w:t>
            </w:r>
          </w:p>
        </w:tc>
        <w:tc>
          <w:tcPr>
            <w:tcW w:w="608"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12</w:t>
            </w:r>
            <w:r w:rsidR="000346C2" w:rsidRPr="002E02DE">
              <w:rPr>
                <w:rFonts w:ascii="Arial Narrow" w:hAnsi="Arial Narrow"/>
                <w:sz w:val="15"/>
                <w:szCs w:val="15"/>
              </w:rPr>
              <w:t xml:space="preserve">  </w:t>
            </w:r>
          </w:p>
        </w:tc>
        <w:tc>
          <w:tcPr>
            <w:tcW w:w="631"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19</w:t>
            </w:r>
            <w:r w:rsidR="000346C2" w:rsidRPr="002E02DE">
              <w:rPr>
                <w:rFonts w:ascii="Arial Narrow" w:hAnsi="Arial Narrow"/>
                <w:sz w:val="15"/>
                <w:szCs w:val="15"/>
              </w:rPr>
              <w:t xml:space="preserve">  </w:t>
            </w:r>
          </w:p>
        </w:tc>
        <w:tc>
          <w:tcPr>
            <w:tcW w:w="55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0,30  </w:t>
            </w:r>
          </w:p>
        </w:tc>
        <w:tc>
          <w:tcPr>
            <w:tcW w:w="705"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25</w:t>
            </w:r>
          </w:p>
        </w:tc>
        <w:tc>
          <w:tcPr>
            <w:tcW w:w="57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12</w:t>
            </w:r>
          </w:p>
        </w:tc>
        <w:tc>
          <w:tcPr>
            <w:tcW w:w="60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37</w:t>
            </w:r>
          </w:p>
        </w:tc>
        <w:tc>
          <w:tcPr>
            <w:tcW w:w="57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0,55</w:t>
            </w:r>
          </w:p>
        </w:tc>
        <w:tc>
          <w:tcPr>
            <w:tcW w:w="70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26</w:t>
            </w:r>
          </w:p>
        </w:tc>
        <w:tc>
          <w:tcPr>
            <w:tcW w:w="60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12</w:t>
            </w:r>
          </w:p>
        </w:tc>
        <w:tc>
          <w:tcPr>
            <w:tcW w:w="660"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38</w:t>
            </w:r>
          </w:p>
        </w:tc>
        <w:tc>
          <w:tcPr>
            <w:tcW w:w="577" w:type="dxa"/>
            <w:tcBorders>
              <w:right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0,56</w:t>
            </w:r>
          </w:p>
        </w:tc>
      </w:tr>
      <w:tr w:rsidR="000346C2" w:rsidRPr="00221A99" w:rsidTr="00FF6C69">
        <w:trPr>
          <w:cantSplit/>
          <w:jc w:val="center"/>
        </w:trPr>
        <w:tc>
          <w:tcPr>
            <w:tcW w:w="2619" w:type="dxa"/>
            <w:tcBorders>
              <w:left w:val="single" w:sz="4" w:space="0" w:color="auto"/>
            </w:tcBorders>
            <w:shd w:val="clear" w:color="auto" w:fill="A6A6A6" w:themeFill="background1" w:themeFillShade="A6"/>
          </w:tcPr>
          <w:p w:rsidR="000346C2" w:rsidRPr="00221A99" w:rsidRDefault="000346C2" w:rsidP="000346C2">
            <w:pPr>
              <w:widowControl w:val="0"/>
              <w:rPr>
                <w:rFonts w:ascii="Arial Narrow" w:hAnsi="Arial Narrow"/>
                <w:sz w:val="15"/>
                <w:szCs w:val="15"/>
              </w:rPr>
            </w:pPr>
            <w:r>
              <w:rPr>
                <w:rFonts w:ascii="Arial Narrow" w:hAnsi="Arial Narrow"/>
                <w:sz w:val="15"/>
                <w:szCs w:val="15"/>
              </w:rPr>
              <w:t>Διοικητικής Ανασυγκρότησης</w:t>
            </w:r>
          </w:p>
        </w:tc>
        <w:tc>
          <w:tcPr>
            <w:tcW w:w="681" w:type="dxa"/>
            <w:shd w:val="clear" w:color="auto" w:fill="A6A6A6" w:themeFill="background1" w:themeFillShade="A6"/>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38</w:t>
            </w:r>
            <w:r w:rsidR="000346C2" w:rsidRPr="002E02DE">
              <w:rPr>
                <w:rFonts w:ascii="Arial Narrow" w:hAnsi="Arial Narrow"/>
                <w:sz w:val="15"/>
                <w:szCs w:val="15"/>
              </w:rPr>
              <w:t xml:space="preserve">  </w:t>
            </w:r>
          </w:p>
        </w:tc>
        <w:tc>
          <w:tcPr>
            <w:tcW w:w="60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w:t>
            </w:r>
          </w:p>
        </w:tc>
        <w:tc>
          <w:tcPr>
            <w:tcW w:w="631"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38</w:t>
            </w:r>
            <w:r w:rsidR="000346C2" w:rsidRPr="002E02DE">
              <w:rPr>
                <w:rFonts w:ascii="Arial Narrow" w:hAnsi="Arial Narrow"/>
                <w:sz w:val="15"/>
                <w:szCs w:val="15"/>
              </w:rPr>
              <w:t xml:space="preserve">  </w:t>
            </w:r>
          </w:p>
        </w:tc>
        <w:tc>
          <w:tcPr>
            <w:tcW w:w="55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0,60  </w:t>
            </w:r>
          </w:p>
        </w:tc>
        <w:tc>
          <w:tcPr>
            <w:tcW w:w="705"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110</w:t>
            </w:r>
          </w:p>
        </w:tc>
        <w:tc>
          <w:tcPr>
            <w:tcW w:w="57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w:t>
            </w:r>
          </w:p>
        </w:tc>
        <w:tc>
          <w:tcPr>
            <w:tcW w:w="60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112</w:t>
            </w:r>
          </w:p>
        </w:tc>
        <w:tc>
          <w:tcPr>
            <w:tcW w:w="57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1,66</w:t>
            </w:r>
          </w:p>
        </w:tc>
        <w:tc>
          <w:tcPr>
            <w:tcW w:w="70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115</w:t>
            </w:r>
          </w:p>
        </w:tc>
        <w:tc>
          <w:tcPr>
            <w:tcW w:w="60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w:t>
            </w:r>
          </w:p>
        </w:tc>
        <w:tc>
          <w:tcPr>
            <w:tcW w:w="660"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118</w:t>
            </w:r>
          </w:p>
        </w:tc>
        <w:tc>
          <w:tcPr>
            <w:tcW w:w="577" w:type="dxa"/>
            <w:tcBorders>
              <w:right w:val="single" w:sz="4" w:space="0" w:color="auto"/>
            </w:tcBorders>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1,75</w:t>
            </w:r>
          </w:p>
        </w:tc>
      </w:tr>
      <w:tr w:rsidR="000346C2" w:rsidRPr="00221A99" w:rsidTr="00FF6C69">
        <w:trPr>
          <w:cantSplit/>
          <w:jc w:val="center"/>
        </w:trPr>
        <w:tc>
          <w:tcPr>
            <w:tcW w:w="2619" w:type="dxa"/>
            <w:tcBorders>
              <w:left w:val="single" w:sz="4" w:space="0" w:color="auto"/>
            </w:tcBorders>
            <w:shd w:val="clear" w:color="auto" w:fill="auto"/>
          </w:tcPr>
          <w:p w:rsidR="000346C2" w:rsidRPr="00221A99" w:rsidRDefault="000346C2" w:rsidP="000346C2">
            <w:pPr>
              <w:widowControl w:val="0"/>
              <w:rPr>
                <w:rFonts w:ascii="Arial Narrow" w:hAnsi="Arial Narrow"/>
                <w:sz w:val="15"/>
                <w:szCs w:val="15"/>
              </w:rPr>
            </w:pPr>
            <w:r>
              <w:rPr>
                <w:rFonts w:ascii="Arial Narrow" w:hAnsi="Arial Narrow"/>
                <w:sz w:val="15"/>
                <w:szCs w:val="15"/>
              </w:rPr>
              <w:t>Τουρισμού</w:t>
            </w:r>
          </w:p>
        </w:tc>
        <w:tc>
          <w:tcPr>
            <w:tcW w:w="681" w:type="dxa"/>
            <w:shd w:val="clear" w:color="auto" w:fill="auto"/>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13</w:t>
            </w:r>
            <w:r w:rsidR="000346C2" w:rsidRPr="002E02DE">
              <w:rPr>
                <w:rFonts w:ascii="Arial Narrow" w:hAnsi="Arial Narrow"/>
                <w:sz w:val="15"/>
                <w:szCs w:val="15"/>
              </w:rPr>
              <w:t xml:space="preserve">  </w:t>
            </w:r>
          </w:p>
        </w:tc>
        <w:tc>
          <w:tcPr>
            <w:tcW w:w="608"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10</w:t>
            </w:r>
            <w:r w:rsidR="000346C2" w:rsidRPr="002E02DE">
              <w:rPr>
                <w:rFonts w:ascii="Arial Narrow" w:hAnsi="Arial Narrow"/>
                <w:sz w:val="15"/>
                <w:szCs w:val="15"/>
              </w:rPr>
              <w:t xml:space="preserve">  </w:t>
            </w:r>
          </w:p>
        </w:tc>
        <w:tc>
          <w:tcPr>
            <w:tcW w:w="631"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23</w:t>
            </w:r>
            <w:r w:rsidR="000346C2" w:rsidRPr="002E02DE">
              <w:rPr>
                <w:rFonts w:ascii="Arial Narrow" w:hAnsi="Arial Narrow"/>
                <w:sz w:val="15"/>
                <w:szCs w:val="15"/>
              </w:rPr>
              <w:t xml:space="preserve">  </w:t>
            </w:r>
          </w:p>
        </w:tc>
        <w:tc>
          <w:tcPr>
            <w:tcW w:w="55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0,36  </w:t>
            </w:r>
          </w:p>
        </w:tc>
        <w:tc>
          <w:tcPr>
            <w:tcW w:w="705"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28</w:t>
            </w:r>
          </w:p>
        </w:tc>
        <w:tc>
          <w:tcPr>
            <w:tcW w:w="57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20</w:t>
            </w:r>
          </w:p>
        </w:tc>
        <w:tc>
          <w:tcPr>
            <w:tcW w:w="60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48</w:t>
            </w:r>
          </w:p>
        </w:tc>
        <w:tc>
          <w:tcPr>
            <w:tcW w:w="57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0,71</w:t>
            </w:r>
          </w:p>
        </w:tc>
        <w:tc>
          <w:tcPr>
            <w:tcW w:w="70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28</w:t>
            </w:r>
          </w:p>
        </w:tc>
        <w:tc>
          <w:tcPr>
            <w:tcW w:w="60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8</w:t>
            </w:r>
          </w:p>
        </w:tc>
        <w:tc>
          <w:tcPr>
            <w:tcW w:w="660"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36</w:t>
            </w:r>
          </w:p>
        </w:tc>
        <w:tc>
          <w:tcPr>
            <w:tcW w:w="577" w:type="dxa"/>
            <w:tcBorders>
              <w:right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0,53</w:t>
            </w:r>
          </w:p>
        </w:tc>
      </w:tr>
      <w:tr w:rsidR="000346C2" w:rsidRPr="00221A99" w:rsidTr="00FF6C69">
        <w:trPr>
          <w:cantSplit/>
          <w:jc w:val="center"/>
        </w:trPr>
        <w:tc>
          <w:tcPr>
            <w:tcW w:w="2619" w:type="dxa"/>
            <w:tcBorders>
              <w:left w:val="single" w:sz="4" w:space="0" w:color="auto"/>
            </w:tcBorders>
            <w:shd w:val="clear" w:color="auto" w:fill="A6A6A6" w:themeFill="background1" w:themeFillShade="A6"/>
          </w:tcPr>
          <w:p w:rsidR="000346C2" w:rsidRPr="00221A99" w:rsidRDefault="000346C2" w:rsidP="000346C2">
            <w:pPr>
              <w:widowControl w:val="0"/>
              <w:rPr>
                <w:rFonts w:ascii="Arial Narrow" w:hAnsi="Arial Narrow"/>
                <w:sz w:val="15"/>
                <w:szCs w:val="15"/>
              </w:rPr>
            </w:pPr>
            <w:r>
              <w:rPr>
                <w:rFonts w:ascii="Arial Narrow" w:hAnsi="Arial Narrow"/>
                <w:sz w:val="15"/>
                <w:szCs w:val="15"/>
              </w:rPr>
              <w:t>Ψηφιακής Πολιτικής, Τηλεπικοινωνιών και Ενημέρωσης</w:t>
            </w:r>
          </w:p>
        </w:tc>
        <w:tc>
          <w:tcPr>
            <w:tcW w:w="681" w:type="dxa"/>
            <w:shd w:val="clear" w:color="auto" w:fill="A6A6A6" w:themeFill="background1" w:themeFillShade="A6"/>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0</w:t>
            </w:r>
            <w:r w:rsidR="000346C2" w:rsidRPr="002E02DE">
              <w:rPr>
                <w:rFonts w:ascii="Arial Narrow" w:hAnsi="Arial Narrow"/>
                <w:sz w:val="15"/>
                <w:szCs w:val="15"/>
              </w:rPr>
              <w:t xml:space="preserve">  </w:t>
            </w:r>
          </w:p>
        </w:tc>
        <w:tc>
          <w:tcPr>
            <w:tcW w:w="60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w:t>
            </w:r>
          </w:p>
        </w:tc>
        <w:tc>
          <w:tcPr>
            <w:tcW w:w="631" w:type="dxa"/>
            <w:shd w:val="clear" w:color="auto" w:fill="A6A6A6" w:themeFill="background1" w:themeFillShade="A6"/>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0</w:t>
            </w:r>
            <w:r w:rsidR="000346C2" w:rsidRPr="002E02DE">
              <w:rPr>
                <w:rFonts w:ascii="Arial Narrow" w:hAnsi="Arial Narrow"/>
                <w:sz w:val="15"/>
                <w:szCs w:val="15"/>
              </w:rPr>
              <w:t xml:space="preserve">  </w:t>
            </w:r>
          </w:p>
        </w:tc>
        <w:tc>
          <w:tcPr>
            <w:tcW w:w="55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0,01  </w:t>
            </w:r>
          </w:p>
        </w:tc>
        <w:tc>
          <w:tcPr>
            <w:tcW w:w="705"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w:t>
            </w:r>
          </w:p>
        </w:tc>
        <w:tc>
          <w:tcPr>
            <w:tcW w:w="57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1</w:t>
            </w:r>
          </w:p>
        </w:tc>
        <w:tc>
          <w:tcPr>
            <w:tcW w:w="60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w:t>
            </w:r>
          </w:p>
        </w:tc>
        <w:tc>
          <w:tcPr>
            <w:tcW w:w="571"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0,04</w:t>
            </w:r>
          </w:p>
        </w:tc>
        <w:tc>
          <w:tcPr>
            <w:tcW w:w="708"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25</w:t>
            </w:r>
          </w:p>
        </w:tc>
        <w:tc>
          <w:tcPr>
            <w:tcW w:w="603"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3</w:t>
            </w:r>
          </w:p>
        </w:tc>
        <w:tc>
          <w:tcPr>
            <w:tcW w:w="660" w:type="dxa"/>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28</w:t>
            </w:r>
          </w:p>
        </w:tc>
        <w:tc>
          <w:tcPr>
            <w:tcW w:w="577" w:type="dxa"/>
            <w:tcBorders>
              <w:right w:val="single" w:sz="4" w:space="0" w:color="auto"/>
            </w:tcBorders>
            <w:shd w:val="clear" w:color="auto" w:fill="A6A6A6" w:themeFill="background1" w:themeFillShade="A6"/>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0,41</w:t>
            </w:r>
          </w:p>
        </w:tc>
      </w:tr>
      <w:tr w:rsidR="000346C2" w:rsidRPr="00221A99" w:rsidTr="00FF6C69">
        <w:trPr>
          <w:cantSplit/>
          <w:jc w:val="center"/>
        </w:trPr>
        <w:tc>
          <w:tcPr>
            <w:tcW w:w="2619" w:type="dxa"/>
            <w:tcBorders>
              <w:left w:val="single" w:sz="4" w:space="0" w:color="auto"/>
            </w:tcBorders>
            <w:shd w:val="clear" w:color="auto" w:fill="auto"/>
          </w:tcPr>
          <w:p w:rsidR="000346C2" w:rsidRPr="00221A99" w:rsidRDefault="000346C2" w:rsidP="000346C2">
            <w:pPr>
              <w:widowControl w:val="0"/>
              <w:rPr>
                <w:rFonts w:ascii="Arial Narrow" w:hAnsi="Arial Narrow"/>
                <w:sz w:val="15"/>
                <w:szCs w:val="15"/>
              </w:rPr>
            </w:pPr>
            <w:r>
              <w:rPr>
                <w:rFonts w:ascii="Arial Narrow" w:hAnsi="Arial Narrow"/>
                <w:sz w:val="15"/>
                <w:szCs w:val="15"/>
              </w:rPr>
              <w:t>Μεταναστευτικής Πολιτικής</w:t>
            </w:r>
          </w:p>
        </w:tc>
        <w:tc>
          <w:tcPr>
            <w:tcW w:w="681" w:type="dxa"/>
            <w:shd w:val="clear" w:color="auto" w:fill="auto"/>
            <w:vAlign w:val="center"/>
          </w:tcPr>
          <w:p w:rsidR="000346C2" w:rsidRPr="002E02DE" w:rsidRDefault="00AF3666" w:rsidP="000346C2">
            <w:pPr>
              <w:jc w:val="right"/>
              <w:rPr>
                <w:rFonts w:ascii="Arial Narrow" w:hAnsi="Arial Narrow"/>
                <w:sz w:val="15"/>
                <w:szCs w:val="15"/>
              </w:rPr>
            </w:pPr>
            <w:r>
              <w:rPr>
                <w:rFonts w:ascii="Arial Narrow" w:hAnsi="Arial Narrow"/>
                <w:sz w:val="15"/>
                <w:szCs w:val="15"/>
              </w:rPr>
              <w:t>15</w:t>
            </w:r>
            <w:r w:rsidR="000346C2" w:rsidRPr="002E02DE">
              <w:rPr>
                <w:rFonts w:ascii="Arial Narrow" w:hAnsi="Arial Narrow"/>
                <w:sz w:val="15"/>
                <w:szCs w:val="15"/>
              </w:rPr>
              <w:t xml:space="preserve">  </w:t>
            </w:r>
          </w:p>
        </w:tc>
        <w:tc>
          <w:tcPr>
            <w:tcW w:w="608" w:type="dxa"/>
            <w:shd w:val="clear" w:color="auto" w:fill="auto"/>
            <w:vAlign w:val="center"/>
          </w:tcPr>
          <w:p w:rsidR="000346C2" w:rsidRPr="002E02DE" w:rsidRDefault="000346C2" w:rsidP="000346C2">
            <w:pPr>
              <w:jc w:val="right"/>
              <w:rPr>
                <w:rFonts w:ascii="Arial Narrow" w:hAnsi="Arial Narrow"/>
                <w:sz w:val="15"/>
                <w:szCs w:val="15"/>
              </w:rPr>
            </w:pPr>
          </w:p>
        </w:tc>
        <w:tc>
          <w:tcPr>
            <w:tcW w:w="631" w:type="dxa"/>
            <w:shd w:val="clear" w:color="auto" w:fill="auto"/>
            <w:vAlign w:val="center"/>
          </w:tcPr>
          <w:p w:rsidR="000346C2" w:rsidRPr="002E02DE" w:rsidRDefault="00DE40F7" w:rsidP="000346C2">
            <w:pPr>
              <w:jc w:val="right"/>
              <w:rPr>
                <w:rFonts w:ascii="Arial Narrow" w:hAnsi="Arial Narrow"/>
                <w:sz w:val="15"/>
                <w:szCs w:val="15"/>
              </w:rPr>
            </w:pPr>
            <w:r>
              <w:rPr>
                <w:rFonts w:ascii="Arial Narrow" w:hAnsi="Arial Narrow"/>
                <w:sz w:val="15"/>
                <w:szCs w:val="15"/>
              </w:rPr>
              <w:t>15</w:t>
            </w:r>
            <w:r w:rsidR="000346C2" w:rsidRPr="002E02DE">
              <w:rPr>
                <w:rFonts w:ascii="Arial Narrow" w:hAnsi="Arial Narrow"/>
                <w:sz w:val="15"/>
                <w:szCs w:val="15"/>
              </w:rPr>
              <w:t xml:space="preserve">  </w:t>
            </w:r>
          </w:p>
        </w:tc>
        <w:tc>
          <w:tcPr>
            <w:tcW w:w="55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 xml:space="preserve">0,24  </w:t>
            </w:r>
          </w:p>
        </w:tc>
        <w:tc>
          <w:tcPr>
            <w:tcW w:w="705"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20</w:t>
            </w:r>
          </w:p>
        </w:tc>
        <w:tc>
          <w:tcPr>
            <w:tcW w:w="57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5</w:t>
            </w:r>
          </w:p>
        </w:tc>
        <w:tc>
          <w:tcPr>
            <w:tcW w:w="60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25</w:t>
            </w:r>
          </w:p>
        </w:tc>
        <w:tc>
          <w:tcPr>
            <w:tcW w:w="571"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0,37</w:t>
            </w:r>
          </w:p>
        </w:tc>
        <w:tc>
          <w:tcPr>
            <w:tcW w:w="708"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20</w:t>
            </w:r>
          </w:p>
        </w:tc>
        <w:tc>
          <w:tcPr>
            <w:tcW w:w="603"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5</w:t>
            </w:r>
          </w:p>
        </w:tc>
        <w:tc>
          <w:tcPr>
            <w:tcW w:w="660" w:type="dxa"/>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25</w:t>
            </w:r>
          </w:p>
        </w:tc>
        <w:tc>
          <w:tcPr>
            <w:tcW w:w="577" w:type="dxa"/>
            <w:tcBorders>
              <w:right w:val="single" w:sz="4" w:space="0" w:color="auto"/>
            </w:tcBorders>
            <w:shd w:val="clear" w:color="auto" w:fill="auto"/>
            <w:vAlign w:val="center"/>
          </w:tcPr>
          <w:p w:rsidR="000346C2" w:rsidRPr="002E02DE" w:rsidRDefault="000346C2" w:rsidP="000346C2">
            <w:pPr>
              <w:jc w:val="right"/>
              <w:rPr>
                <w:rFonts w:ascii="Arial Narrow" w:hAnsi="Arial Narrow"/>
                <w:sz w:val="15"/>
                <w:szCs w:val="15"/>
              </w:rPr>
            </w:pPr>
            <w:r w:rsidRPr="002E02DE">
              <w:rPr>
                <w:rFonts w:ascii="Arial Narrow" w:hAnsi="Arial Narrow"/>
                <w:sz w:val="15"/>
                <w:szCs w:val="15"/>
              </w:rPr>
              <w:t>0,37</w:t>
            </w:r>
          </w:p>
        </w:tc>
      </w:tr>
      <w:tr w:rsidR="000346C2" w:rsidRPr="00221A99" w:rsidTr="00FF6C69">
        <w:trPr>
          <w:cantSplit/>
          <w:jc w:val="center"/>
        </w:trPr>
        <w:tc>
          <w:tcPr>
            <w:tcW w:w="2619" w:type="dxa"/>
            <w:tcBorders>
              <w:left w:val="single" w:sz="4" w:space="0" w:color="auto"/>
              <w:bottom w:val="single" w:sz="4" w:space="0" w:color="auto"/>
            </w:tcBorders>
            <w:shd w:val="clear" w:color="auto" w:fill="A6A6A6"/>
          </w:tcPr>
          <w:p w:rsidR="000346C2" w:rsidRPr="00221A99" w:rsidRDefault="000346C2" w:rsidP="000346C2">
            <w:pPr>
              <w:widowControl w:val="0"/>
              <w:spacing w:before="120" w:after="120"/>
              <w:rPr>
                <w:rFonts w:ascii="Arial Narrow" w:hAnsi="Arial Narrow"/>
                <w:b/>
                <w:sz w:val="15"/>
                <w:szCs w:val="15"/>
              </w:rPr>
            </w:pPr>
            <w:r w:rsidRPr="00221A99">
              <w:rPr>
                <w:rFonts w:ascii="Arial Narrow" w:hAnsi="Arial Narrow"/>
                <w:b/>
                <w:sz w:val="15"/>
                <w:szCs w:val="15"/>
              </w:rPr>
              <w:t>Σύνολο</w:t>
            </w:r>
          </w:p>
        </w:tc>
        <w:tc>
          <w:tcPr>
            <w:tcW w:w="681" w:type="dxa"/>
            <w:tcBorders>
              <w:bottom w:val="single" w:sz="4" w:space="0" w:color="auto"/>
            </w:tcBorders>
            <w:shd w:val="clear" w:color="auto" w:fill="A6A6A6"/>
            <w:vAlign w:val="center"/>
          </w:tcPr>
          <w:p w:rsidR="000346C2" w:rsidRPr="002E02DE" w:rsidRDefault="00AF3666" w:rsidP="000346C2">
            <w:pPr>
              <w:jc w:val="right"/>
              <w:rPr>
                <w:rFonts w:ascii="Arial Narrow" w:hAnsi="Arial Narrow"/>
                <w:b/>
                <w:bCs/>
                <w:sz w:val="15"/>
                <w:szCs w:val="15"/>
              </w:rPr>
            </w:pPr>
            <w:r>
              <w:rPr>
                <w:rFonts w:ascii="Arial Narrow" w:hAnsi="Arial Narrow"/>
                <w:b/>
                <w:bCs/>
                <w:sz w:val="15"/>
                <w:szCs w:val="15"/>
              </w:rPr>
              <w:t>5.454</w:t>
            </w:r>
            <w:r w:rsidR="000346C2" w:rsidRPr="002E02DE">
              <w:rPr>
                <w:rFonts w:ascii="Arial Narrow" w:hAnsi="Arial Narrow"/>
                <w:b/>
                <w:bCs/>
                <w:sz w:val="15"/>
                <w:szCs w:val="15"/>
              </w:rPr>
              <w:t xml:space="preserve">  </w:t>
            </w:r>
          </w:p>
        </w:tc>
        <w:tc>
          <w:tcPr>
            <w:tcW w:w="608" w:type="dxa"/>
            <w:tcBorders>
              <w:bottom w:val="single" w:sz="4" w:space="0" w:color="auto"/>
            </w:tcBorders>
            <w:shd w:val="clear" w:color="auto" w:fill="A6A6A6"/>
            <w:vAlign w:val="center"/>
          </w:tcPr>
          <w:p w:rsidR="000346C2" w:rsidRPr="002E02DE" w:rsidRDefault="00DE40F7" w:rsidP="000346C2">
            <w:pPr>
              <w:jc w:val="right"/>
              <w:rPr>
                <w:rFonts w:ascii="Arial Narrow" w:hAnsi="Arial Narrow"/>
                <w:b/>
                <w:bCs/>
                <w:sz w:val="15"/>
                <w:szCs w:val="15"/>
              </w:rPr>
            </w:pPr>
            <w:r>
              <w:rPr>
                <w:rFonts w:ascii="Arial Narrow" w:hAnsi="Arial Narrow"/>
                <w:b/>
                <w:bCs/>
                <w:sz w:val="15"/>
                <w:szCs w:val="15"/>
              </w:rPr>
              <w:t>833</w:t>
            </w:r>
            <w:r w:rsidR="000346C2" w:rsidRPr="002E02DE">
              <w:rPr>
                <w:rFonts w:ascii="Arial Narrow" w:hAnsi="Arial Narrow"/>
                <w:b/>
                <w:bCs/>
                <w:sz w:val="15"/>
                <w:szCs w:val="15"/>
              </w:rPr>
              <w:t xml:space="preserve">  </w:t>
            </w:r>
          </w:p>
        </w:tc>
        <w:tc>
          <w:tcPr>
            <w:tcW w:w="631" w:type="dxa"/>
            <w:tcBorders>
              <w:bottom w:val="single" w:sz="4" w:space="0" w:color="auto"/>
            </w:tcBorders>
            <w:shd w:val="clear" w:color="auto" w:fill="A6A6A6"/>
            <w:vAlign w:val="center"/>
          </w:tcPr>
          <w:p w:rsidR="000346C2" w:rsidRPr="002E02DE" w:rsidRDefault="00DE40F7" w:rsidP="000346C2">
            <w:pPr>
              <w:jc w:val="right"/>
              <w:rPr>
                <w:rFonts w:ascii="Arial Narrow" w:hAnsi="Arial Narrow"/>
                <w:b/>
                <w:bCs/>
                <w:sz w:val="15"/>
                <w:szCs w:val="15"/>
              </w:rPr>
            </w:pPr>
            <w:r>
              <w:rPr>
                <w:rFonts w:ascii="Arial Narrow" w:hAnsi="Arial Narrow"/>
                <w:b/>
                <w:bCs/>
                <w:sz w:val="15"/>
                <w:szCs w:val="15"/>
              </w:rPr>
              <w:t>6.288</w:t>
            </w:r>
            <w:r w:rsidR="000346C2" w:rsidRPr="002E02DE">
              <w:rPr>
                <w:rFonts w:ascii="Arial Narrow" w:hAnsi="Arial Narrow"/>
                <w:b/>
                <w:bCs/>
                <w:sz w:val="15"/>
                <w:szCs w:val="15"/>
              </w:rPr>
              <w:t xml:space="preserve">  </w:t>
            </w:r>
          </w:p>
        </w:tc>
        <w:tc>
          <w:tcPr>
            <w:tcW w:w="553" w:type="dxa"/>
            <w:tcBorders>
              <w:bottom w:val="single" w:sz="4" w:space="0" w:color="auto"/>
            </w:tcBorders>
            <w:shd w:val="clear" w:color="auto" w:fill="A6A6A6"/>
            <w:vAlign w:val="center"/>
          </w:tcPr>
          <w:p w:rsidR="000346C2" w:rsidRPr="002E02DE" w:rsidRDefault="000346C2" w:rsidP="000346C2">
            <w:pPr>
              <w:jc w:val="right"/>
              <w:rPr>
                <w:rFonts w:ascii="Arial Narrow" w:hAnsi="Arial Narrow"/>
                <w:b/>
                <w:bCs/>
                <w:sz w:val="15"/>
                <w:szCs w:val="15"/>
              </w:rPr>
            </w:pPr>
            <w:r w:rsidRPr="002E02DE">
              <w:rPr>
                <w:rFonts w:ascii="Arial Narrow" w:hAnsi="Arial Narrow"/>
                <w:b/>
                <w:bCs/>
                <w:sz w:val="15"/>
                <w:szCs w:val="15"/>
              </w:rPr>
              <w:t xml:space="preserve">100,00  </w:t>
            </w:r>
          </w:p>
        </w:tc>
        <w:tc>
          <w:tcPr>
            <w:tcW w:w="705" w:type="dxa"/>
            <w:tcBorders>
              <w:bottom w:val="single" w:sz="4" w:space="0" w:color="auto"/>
            </w:tcBorders>
            <w:shd w:val="clear" w:color="auto" w:fill="A6A6A6"/>
            <w:vAlign w:val="center"/>
          </w:tcPr>
          <w:p w:rsidR="000346C2" w:rsidRPr="002E02DE" w:rsidRDefault="000346C2" w:rsidP="000346C2">
            <w:pPr>
              <w:jc w:val="right"/>
              <w:rPr>
                <w:rFonts w:ascii="Arial Narrow" w:hAnsi="Arial Narrow"/>
                <w:b/>
                <w:bCs/>
                <w:sz w:val="15"/>
                <w:szCs w:val="15"/>
              </w:rPr>
            </w:pPr>
            <w:r w:rsidRPr="002E02DE">
              <w:rPr>
                <w:rFonts w:ascii="Arial Narrow" w:hAnsi="Arial Narrow"/>
                <w:b/>
                <w:bCs/>
                <w:sz w:val="15"/>
                <w:szCs w:val="15"/>
              </w:rPr>
              <w:t>5.750</w:t>
            </w:r>
          </w:p>
        </w:tc>
        <w:tc>
          <w:tcPr>
            <w:tcW w:w="578" w:type="dxa"/>
            <w:tcBorders>
              <w:bottom w:val="single" w:sz="4" w:space="0" w:color="auto"/>
            </w:tcBorders>
            <w:shd w:val="clear" w:color="auto" w:fill="A6A6A6"/>
            <w:vAlign w:val="center"/>
          </w:tcPr>
          <w:p w:rsidR="000346C2" w:rsidRPr="002E02DE" w:rsidRDefault="000346C2" w:rsidP="000346C2">
            <w:pPr>
              <w:jc w:val="right"/>
              <w:rPr>
                <w:rFonts w:ascii="Arial Narrow" w:hAnsi="Arial Narrow"/>
                <w:b/>
                <w:bCs/>
                <w:sz w:val="15"/>
                <w:szCs w:val="15"/>
              </w:rPr>
            </w:pPr>
            <w:r w:rsidRPr="002E02DE">
              <w:rPr>
                <w:rFonts w:ascii="Arial Narrow" w:hAnsi="Arial Narrow"/>
                <w:b/>
                <w:bCs/>
                <w:sz w:val="15"/>
                <w:szCs w:val="15"/>
              </w:rPr>
              <w:t>1.000</w:t>
            </w:r>
          </w:p>
        </w:tc>
        <w:tc>
          <w:tcPr>
            <w:tcW w:w="601" w:type="dxa"/>
            <w:tcBorders>
              <w:bottom w:val="single" w:sz="4" w:space="0" w:color="auto"/>
            </w:tcBorders>
            <w:shd w:val="clear" w:color="auto" w:fill="A6A6A6"/>
            <w:vAlign w:val="center"/>
          </w:tcPr>
          <w:p w:rsidR="000346C2" w:rsidRPr="002E02DE" w:rsidRDefault="000346C2" w:rsidP="000346C2">
            <w:pPr>
              <w:jc w:val="right"/>
              <w:rPr>
                <w:rFonts w:ascii="Arial Narrow" w:hAnsi="Arial Narrow"/>
                <w:b/>
                <w:bCs/>
                <w:sz w:val="15"/>
                <w:szCs w:val="15"/>
              </w:rPr>
            </w:pPr>
            <w:r w:rsidRPr="002E02DE">
              <w:rPr>
                <w:rFonts w:ascii="Arial Narrow" w:hAnsi="Arial Narrow"/>
                <w:b/>
                <w:bCs/>
                <w:sz w:val="15"/>
                <w:szCs w:val="15"/>
              </w:rPr>
              <w:t>6.750</w:t>
            </w:r>
          </w:p>
        </w:tc>
        <w:tc>
          <w:tcPr>
            <w:tcW w:w="571" w:type="dxa"/>
            <w:tcBorders>
              <w:bottom w:val="single" w:sz="4" w:space="0" w:color="auto"/>
            </w:tcBorders>
            <w:shd w:val="clear" w:color="auto" w:fill="A6A6A6"/>
            <w:vAlign w:val="center"/>
          </w:tcPr>
          <w:p w:rsidR="000346C2" w:rsidRPr="002E02DE" w:rsidRDefault="000346C2" w:rsidP="000346C2">
            <w:pPr>
              <w:jc w:val="right"/>
              <w:rPr>
                <w:rFonts w:ascii="Arial Narrow" w:hAnsi="Arial Narrow"/>
                <w:b/>
                <w:bCs/>
                <w:sz w:val="15"/>
                <w:szCs w:val="15"/>
              </w:rPr>
            </w:pPr>
            <w:r w:rsidRPr="002E02DE">
              <w:rPr>
                <w:rFonts w:ascii="Arial Narrow" w:hAnsi="Arial Narrow"/>
                <w:b/>
                <w:bCs/>
                <w:sz w:val="15"/>
                <w:szCs w:val="15"/>
              </w:rPr>
              <w:t>100</w:t>
            </w:r>
            <w:r w:rsidR="00661309">
              <w:rPr>
                <w:rFonts w:ascii="Arial Narrow" w:hAnsi="Arial Narrow"/>
                <w:b/>
                <w:bCs/>
                <w:sz w:val="15"/>
                <w:szCs w:val="15"/>
              </w:rPr>
              <w:t>,00</w:t>
            </w:r>
          </w:p>
        </w:tc>
        <w:tc>
          <w:tcPr>
            <w:tcW w:w="708" w:type="dxa"/>
            <w:tcBorders>
              <w:bottom w:val="single" w:sz="4" w:space="0" w:color="auto"/>
            </w:tcBorders>
            <w:shd w:val="clear" w:color="auto" w:fill="A6A6A6"/>
            <w:vAlign w:val="center"/>
          </w:tcPr>
          <w:p w:rsidR="000346C2" w:rsidRPr="002E02DE" w:rsidRDefault="000346C2" w:rsidP="000346C2">
            <w:pPr>
              <w:jc w:val="right"/>
              <w:rPr>
                <w:rFonts w:ascii="Arial Narrow" w:hAnsi="Arial Narrow"/>
                <w:b/>
                <w:bCs/>
                <w:sz w:val="15"/>
                <w:szCs w:val="15"/>
              </w:rPr>
            </w:pPr>
            <w:r w:rsidRPr="002E02DE">
              <w:rPr>
                <w:rFonts w:ascii="Arial Narrow" w:hAnsi="Arial Narrow"/>
                <w:b/>
                <w:bCs/>
                <w:sz w:val="15"/>
                <w:szCs w:val="15"/>
              </w:rPr>
              <w:t>5.750</w:t>
            </w:r>
          </w:p>
        </w:tc>
        <w:tc>
          <w:tcPr>
            <w:tcW w:w="603" w:type="dxa"/>
            <w:tcBorders>
              <w:bottom w:val="single" w:sz="4" w:space="0" w:color="auto"/>
            </w:tcBorders>
            <w:shd w:val="clear" w:color="auto" w:fill="A6A6A6"/>
            <w:vAlign w:val="center"/>
          </w:tcPr>
          <w:p w:rsidR="000346C2" w:rsidRPr="002E02DE" w:rsidRDefault="000346C2" w:rsidP="000346C2">
            <w:pPr>
              <w:jc w:val="right"/>
              <w:rPr>
                <w:rFonts w:ascii="Arial Narrow" w:hAnsi="Arial Narrow"/>
                <w:b/>
                <w:bCs/>
                <w:sz w:val="15"/>
                <w:szCs w:val="15"/>
              </w:rPr>
            </w:pPr>
            <w:r w:rsidRPr="002E02DE">
              <w:rPr>
                <w:rFonts w:ascii="Arial Narrow" w:hAnsi="Arial Narrow"/>
                <w:b/>
                <w:bCs/>
                <w:sz w:val="15"/>
                <w:szCs w:val="15"/>
              </w:rPr>
              <w:t>1.000</w:t>
            </w:r>
          </w:p>
        </w:tc>
        <w:tc>
          <w:tcPr>
            <w:tcW w:w="660" w:type="dxa"/>
            <w:tcBorders>
              <w:bottom w:val="single" w:sz="4" w:space="0" w:color="auto"/>
            </w:tcBorders>
            <w:shd w:val="clear" w:color="auto" w:fill="A6A6A6"/>
            <w:vAlign w:val="center"/>
          </w:tcPr>
          <w:p w:rsidR="000346C2" w:rsidRPr="002E02DE" w:rsidRDefault="000346C2" w:rsidP="000346C2">
            <w:pPr>
              <w:jc w:val="right"/>
              <w:rPr>
                <w:rFonts w:ascii="Arial Narrow" w:hAnsi="Arial Narrow"/>
                <w:b/>
                <w:bCs/>
                <w:sz w:val="15"/>
                <w:szCs w:val="15"/>
              </w:rPr>
            </w:pPr>
            <w:r w:rsidRPr="002E02DE">
              <w:rPr>
                <w:rFonts w:ascii="Arial Narrow" w:hAnsi="Arial Narrow"/>
                <w:b/>
                <w:bCs/>
                <w:sz w:val="15"/>
                <w:szCs w:val="15"/>
              </w:rPr>
              <w:t>6.750</w:t>
            </w:r>
          </w:p>
        </w:tc>
        <w:tc>
          <w:tcPr>
            <w:tcW w:w="577" w:type="dxa"/>
            <w:tcBorders>
              <w:bottom w:val="single" w:sz="4" w:space="0" w:color="auto"/>
              <w:right w:val="single" w:sz="4" w:space="0" w:color="auto"/>
            </w:tcBorders>
            <w:shd w:val="clear" w:color="auto" w:fill="A6A6A6"/>
            <w:vAlign w:val="center"/>
          </w:tcPr>
          <w:p w:rsidR="000346C2" w:rsidRPr="002E02DE" w:rsidRDefault="000346C2" w:rsidP="000346C2">
            <w:pPr>
              <w:jc w:val="right"/>
              <w:rPr>
                <w:rFonts w:ascii="Arial Narrow" w:hAnsi="Arial Narrow"/>
                <w:b/>
                <w:bCs/>
                <w:sz w:val="15"/>
                <w:szCs w:val="15"/>
              </w:rPr>
            </w:pPr>
            <w:r w:rsidRPr="002E02DE">
              <w:rPr>
                <w:rFonts w:ascii="Arial Narrow" w:hAnsi="Arial Narrow"/>
                <w:b/>
                <w:bCs/>
                <w:sz w:val="15"/>
                <w:szCs w:val="15"/>
              </w:rPr>
              <w:t>100</w:t>
            </w:r>
            <w:r w:rsidR="00661309">
              <w:rPr>
                <w:rFonts w:ascii="Arial Narrow" w:hAnsi="Arial Narrow"/>
                <w:b/>
                <w:bCs/>
                <w:sz w:val="15"/>
                <w:szCs w:val="15"/>
              </w:rPr>
              <w:t>,00</w:t>
            </w:r>
          </w:p>
        </w:tc>
      </w:tr>
    </w:tbl>
    <w:p w:rsidR="00AF3666" w:rsidRPr="005E50B2" w:rsidRDefault="005E50B2" w:rsidP="005E50B2">
      <w:pPr>
        <w:ind w:left="-426" w:right="-427"/>
        <w:jc w:val="both"/>
        <w:rPr>
          <w:rFonts w:ascii="Arial Narrow" w:hAnsi="Arial Narrow"/>
          <w:sz w:val="16"/>
          <w:szCs w:val="16"/>
        </w:rPr>
      </w:pPr>
      <w:r w:rsidRPr="005E50B2">
        <w:rPr>
          <w:rFonts w:ascii="Arial Narrow" w:hAnsi="Arial Narrow"/>
          <w:sz w:val="16"/>
          <w:szCs w:val="16"/>
        </w:rPr>
        <w:t>* Οι δαπάνες για το 2016 έχουν περιληφθεί με βάση τα στοιχεία το</w:t>
      </w:r>
      <w:r w:rsidR="00F47CF3">
        <w:rPr>
          <w:rFonts w:ascii="Arial Narrow" w:hAnsi="Arial Narrow"/>
          <w:sz w:val="16"/>
          <w:szCs w:val="16"/>
        </w:rPr>
        <w:t>υ</w:t>
      </w:r>
      <w:r w:rsidRPr="005E50B2">
        <w:rPr>
          <w:rFonts w:ascii="Arial Narrow" w:hAnsi="Arial Narrow"/>
          <w:sz w:val="16"/>
          <w:szCs w:val="16"/>
        </w:rPr>
        <w:t xml:space="preserve"> Υπουργείο</w:t>
      </w:r>
      <w:r w:rsidR="00F47CF3">
        <w:rPr>
          <w:rFonts w:ascii="Arial Narrow" w:hAnsi="Arial Narrow"/>
          <w:sz w:val="16"/>
          <w:szCs w:val="16"/>
        </w:rPr>
        <w:t>υ</w:t>
      </w:r>
      <w:r w:rsidRPr="005E50B2">
        <w:rPr>
          <w:rFonts w:ascii="Arial Narrow" w:hAnsi="Arial Narrow"/>
          <w:sz w:val="16"/>
          <w:szCs w:val="16"/>
        </w:rPr>
        <w:t xml:space="preserve"> Οικονομίας και Ανάπτυξης</w:t>
      </w:r>
    </w:p>
    <w:p w:rsidR="005E50B2" w:rsidRDefault="005E50B2" w:rsidP="00AF3666">
      <w:pPr>
        <w:jc w:val="both"/>
        <w:rPr>
          <w:sz w:val="22"/>
          <w:szCs w:val="22"/>
        </w:rPr>
      </w:pPr>
    </w:p>
    <w:p w:rsidR="005E50B2" w:rsidRPr="0022482F" w:rsidRDefault="005E50B2" w:rsidP="00AF3666">
      <w:pPr>
        <w:jc w:val="both"/>
        <w:rPr>
          <w:sz w:val="22"/>
          <w:szCs w:val="22"/>
        </w:rPr>
      </w:pPr>
    </w:p>
    <w:p w:rsidR="00AF3666" w:rsidRPr="0022482F" w:rsidRDefault="00AF3666" w:rsidP="00AF3666">
      <w:pPr>
        <w:jc w:val="both"/>
        <w:rPr>
          <w:rFonts w:ascii="Arial Narrow" w:hAnsi="Arial Narrow"/>
          <w:b/>
          <w:i/>
          <w:sz w:val="22"/>
          <w:szCs w:val="22"/>
        </w:rPr>
      </w:pPr>
      <w:bookmarkStart w:id="20" w:name="_Toc497857006"/>
      <w:r w:rsidRPr="0022482F">
        <w:rPr>
          <w:rFonts w:ascii="Arial Narrow" w:hAnsi="Arial Narrow"/>
          <w:b/>
          <w:i/>
          <w:sz w:val="22"/>
          <w:szCs w:val="22"/>
        </w:rPr>
        <w:t>Δράσεις λοιπών Φορέων</w:t>
      </w:r>
      <w:bookmarkEnd w:id="20"/>
    </w:p>
    <w:p w:rsidR="00AF3666" w:rsidRPr="0022482F" w:rsidRDefault="00AF3666" w:rsidP="00AF3666">
      <w:pPr>
        <w:jc w:val="both"/>
        <w:rPr>
          <w:b/>
          <w:sz w:val="22"/>
          <w:szCs w:val="22"/>
        </w:rPr>
      </w:pPr>
    </w:p>
    <w:p w:rsidR="00AF3666" w:rsidRPr="0022482F" w:rsidRDefault="00AF3666" w:rsidP="00AF3666">
      <w:pPr>
        <w:jc w:val="both"/>
        <w:rPr>
          <w:sz w:val="22"/>
          <w:szCs w:val="22"/>
        </w:rPr>
      </w:pPr>
      <w:r w:rsidRPr="0022482F">
        <w:rPr>
          <w:sz w:val="22"/>
          <w:szCs w:val="22"/>
        </w:rPr>
        <w:t>Τέλος, το ΠΔΕ χρηματοδοτεί δράσ</w:t>
      </w:r>
      <w:r>
        <w:rPr>
          <w:sz w:val="22"/>
          <w:szCs w:val="22"/>
        </w:rPr>
        <w:t>εις αρμοδιότητας των Υπουργείων</w:t>
      </w:r>
      <w:r w:rsidRPr="0022482F">
        <w:rPr>
          <w:sz w:val="22"/>
          <w:szCs w:val="22"/>
        </w:rPr>
        <w:t xml:space="preserve"> Εξωτερικών, Δικαιοσύνης, Δι</w:t>
      </w:r>
      <w:r w:rsidRPr="0022482F">
        <w:rPr>
          <w:sz w:val="22"/>
          <w:szCs w:val="22"/>
        </w:rPr>
        <w:t>α</w:t>
      </w:r>
      <w:r w:rsidRPr="0022482F">
        <w:rPr>
          <w:sz w:val="22"/>
          <w:szCs w:val="22"/>
        </w:rPr>
        <w:t>φάνειας και Ανθρωπίνων Δικαιωμάτων, Εθνικής Άμυνας, Οικονομικών, Μεταναστευτικής Πολιτικής, Ναυτιλίας και Νησιωτικής Πολιτικής, Τουρισμού, καθώς και της Βουλής των Ελλήνων, για τις οποίες προβλέπονται να δαπανηθούν συνολικά 132 εκατ. ευρώ, ποσό που αντιστοιχεί στο 2% περίπου του συνόλου του ΠΔΕ 2018.</w:t>
      </w:r>
    </w:p>
    <w:p w:rsidR="0044549D" w:rsidRPr="004F26BD" w:rsidRDefault="0044549D" w:rsidP="00F54EA6">
      <w:pPr>
        <w:jc w:val="both"/>
        <w:rPr>
          <w:sz w:val="22"/>
          <w:szCs w:val="22"/>
        </w:rPr>
      </w:pPr>
    </w:p>
    <w:p w:rsidR="005725EE" w:rsidRPr="008822E2" w:rsidRDefault="005725EE" w:rsidP="00F54EA6">
      <w:pPr>
        <w:jc w:val="both"/>
        <w:rPr>
          <w:rFonts w:ascii="Arial Narrow" w:hAnsi="Arial Narrow"/>
          <w:b/>
          <w:color w:val="000080"/>
        </w:rPr>
      </w:pPr>
      <w:r w:rsidRPr="008822E2">
        <w:rPr>
          <w:rFonts w:ascii="Arial Narrow" w:hAnsi="Arial Narrow"/>
          <w:b/>
          <w:color w:val="000080"/>
        </w:rPr>
        <w:t>Χρηματοδότηση Έργων Περιφερειακών Προγραμμάτων</w:t>
      </w:r>
      <w:bookmarkEnd w:id="9"/>
      <w:bookmarkEnd w:id="10"/>
      <w:bookmarkEnd w:id="11"/>
      <w:bookmarkEnd w:id="12"/>
      <w:bookmarkEnd w:id="13"/>
      <w:bookmarkEnd w:id="14"/>
    </w:p>
    <w:p w:rsidR="008B4158" w:rsidRDefault="008B4158" w:rsidP="008B4158">
      <w:pPr>
        <w:jc w:val="both"/>
        <w:rPr>
          <w:sz w:val="22"/>
          <w:szCs w:val="22"/>
        </w:rPr>
      </w:pPr>
      <w:bookmarkStart w:id="21" w:name="_Toc338847696"/>
      <w:bookmarkStart w:id="22" w:name="_Toc371539175"/>
      <w:bookmarkStart w:id="23" w:name="_Toc371539293"/>
      <w:bookmarkStart w:id="24" w:name="_Toc371539344"/>
      <w:bookmarkStart w:id="25" w:name="_Toc371539470"/>
      <w:bookmarkStart w:id="26" w:name="_Toc434909242"/>
      <w:bookmarkStart w:id="27" w:name="OLE_LINK1"/>
      <w:bookmarkStart w:id="28" w:name="OLE_LINK2"/>
    </w:p>
    <w:p w:rsidR="008B4158" w:rsidRPr="008B4158" w:rsidRDefault="008B4158" w:rsidP="008B4158">
      <w:pPr>
        <w:jc w:val="both"/>
        <w:rPr>
          <w:sz w:val="22"/>
          <w:szCs w:val="22"/>
        </w:rPr>
      </w:pPr>
      <w:r w:rsidRPr="008B4158">
        <w:rPr>
          <w:sz w:val="22"/>
          <w:szCs w:val="22"/>
        </w:rPr>
        <w:t>Σύμφωνα με το σχετικό θεσμικό πλαίσιο (ν. 4270/2014), η διοχέτευση των πόρων για τη χρηματοδ</w:t>
      </w:r>
      <w:r w:rsidRPr="008B4158">
        <w:rPr>
          <w:sz w:val="22"/>
          <w:szCs w:val="22"/>
        </w:rPr>
        <w:t>ό</w:t>
      </w:r>
      <w:r w:rsidRPr="008B4158">
        <w:rPr>
          <w:sz w:val="22"/>
          <w:szCs w:val="22"/>
        </w:rPr>
        <w:t>τηση των περιφερειακών προγραμμάτων πραγματοποιείται μέσω του Υπουργείου Οικονομίας και Ανάπτυξης, τόσο για συγχρηματοδοτούμενα όσο και για τα έργα που χρηματοδοτούνται από αμιγώς εθνικούς πόρους.</w:t>
      </w:r>
    </w:p>
    <w:p w:rsidR="008B4158" w:rsidRPr="008B4158" w:rsidRDefault="008B4158" w:rsidP="008B4158">
      <w:pPr>
        <w:jc w:val="both"/>
        <w:rPr>
          <w:sz w:val="22"/>
          <w:szCs w:val="22"/>
        </w:rPr>
      </w:pPr>
    </w:p>
    <w:p w:rsidR="008B4158" w:rsidRPr="008B4158" w:rsidRDefault="008B4158" w:rsidP="008B4158">
      <w:pPr>
        <w:jc w:val="both"/>
        <w:rPr>
          <w:sz w:val="22"/>
          <w:szCs w:val="22"/>
        </w:rPr>
      </w:pPr>
      <w:r w:rsidRPr="008B4158">
        <w:rPr>
          <w:sz w:val="22"/>
          <w:szCs w:val="22"/>
        </w:rPr>
        <w:t>Οι πιστώσεις που προβλέπονται</w:t>
      </w:r>
      <w:r w:rsidR="008967F1">
        <w:rPr>
          <w:sz w:val="22"/>
          <w:szCs w:val="22"/>
        </w:rPr>
        <w:t xml:space="preserve"> </w:t>
      </w:r>
      <w:r w:rsidRPr="008B4158">
        <w:rPr>
          <w:sz w:val="22"/>
          <w:szCs w:val="22"/>
        </w:rPr>
        <w:t>στο 2018 για έργα περιφερειακών προγραμμάτων ανέρχονται στο π</w:t>
      </w:r>
      <w:r w:rsidRPr="008B4158">
        <w:rPr>
          <w:sz w:val="22"/>
          <w:szCs w:val="22"/>
        </w:rPr>
        <w:t>ο</w:t>
      </w:r>
      <w:r w:rsidRPr="008B4158">
        <w:rPr>
          <w:sz w:val="22"/>
          <w:szCs w:val="22"/>
        </w:rPr>
        <w:t>σό των 1.180 εκατ. ευρώ (1.020 εκατ. ευρώ για έργα συγχρηματοδοτούμενα από την ΕΕ και 160 εκατ. ευρώ για έργα χρηματοδοτούμενα αμιγώς από εθνικούς πόρους).</w:t>
      </w:r>
    </w:p>
    <w:p w:rsidR="008B4158" w:rsidRPr="008B4158" w:rsidRDefault="008B4158" w:rsidP="008B4158">
      <w:pPr>
        <w:jc w:val="both"/>
        <w:rPr>
          <w:sz w:val="22"/>
          <w:szCs w:val="22"/>
        </w:rPr>
      </w:pPr>
    </w:p>
    <w:p w:rsidR="008B4158" w:rsidRPr="008B4158" w:rsidRDefault="008B4158" w:rsidP="008B4158">
      <w:pPr>
        <w:jc w:val="both"/>
        <w:rPr>
          <w:sz w:val="22"/>
          <w:szCs w:val="22"/>
        </w:rPr>
      </w:pPr>
      <w:r w:rsidRPr="008B4158">
        <w:rPr>
          <w:sz w:val="22"/>
          <w:szCs w:val="22"/>
        </w:rPr>
        <w:t>Στον πίνακα που ακολουθεί παρουσιάζονται στοιχεία για τη χρηματοδότηση από το ΠΔΕ των έργων των περιφερειακών προγραμμάτων για την περίοδο 2016 -2018.</w:t>
      </w:r>
    </w:p>
    <w:p w:rsidR="008B4158" w:rsidRDefault="008B4158" w:rsidP="008B4158">
      <w:pPr>
        <w:jc w:val="both"/>
        <w:rPr>
          <w:sz w:val="22"/>
          <w:szCs w:val="22"/>
        </w:rPr>
      </w:pPr>
    </w:p>
    <w:p w:rsidR="00945745" w:rsidRDefault="00945745" w:rsidP="008B4158">
      <w:pPr>
        <w:jc w:val="both"/>
        <w:rPr>
          <w:sz w:val="22"/>
          <w:szCs w:val="22"/>
        </w:rPr>
      </w:pPr>
    </w:p>
    <w:p w:rsidR="00945745" w:rsidRDefault="00945745" w:rsidP="008B4158">
      <w:pPr>
        <w:jc w:val="both"/>
        <w:rPr>
          <w:sz w:val="22"/>
          <w:szCs w:val="22"/>
        </w:rPr>
      </w:pPr>
    </w:p>
    <w:p w:rsidR="00945745" w:rsidRDefault="00945745" w:rsidP="008B4158">
      <w:pPr>
        <w:jc w:val="both"/>
        <w:rPr>
          <w:sz w:val="22"/>
          <w:szCs w:val="22"/>
        </w:rPr>
      </w:pPr>
    </w:p>
    <w:tbl>
      <w:tblPr>
        <w:tblW w:w="859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4495"/>
        <w:gridCol w:w="1320"/>
        <w:gridCol w:w="1600"/>
        <w:gridCol w:w="1180"/>
      </w:tblGrid>
      <w:tr w:rsidR="008B4158" w:rsidRPr="00B512A3" w:rsidTr="00F11A3F">
        <w:trPr>
          <w:trHeight w:val="645"/>
          <w:jc w:val="center"/>
        </w:trPr>
        <w:tc>
          <w:tcPr>
            <w:tcW w:w="8595" w:type="dxa"/>
            <w:gridSpan w:val="4"/>
            <w:shd w:val="clear" w:color="000000" w:fill="404040"/>
            <w:vAlign w:val="center"/>
            <w:hideMark/>
          </w:tcPr>
          <w:p w:rsidR="008B4158" w:rsidRPr="00B512A3" w:rsidRDefault="008B4158" w:rsidP="00F11A3F">
            <w:pPr>
              <w:jc w:val="center"/>
              <w:rPr>
                <w:rFonts w:ascii="Arial Narrow" w:hAnsi="Arial Narrow"/>
                <w:b/>
                <w:bCs/>
                <w:color w:val="FFFFFF"/>
              </w:rPr>
            </w:pPr>
            <w:r w:rsidRPr="00B512A3">
              <w:rPr>
                <w:rFonts w:ascii="Arial Narrow" w:hAnsi="Arial Narrow"/>
                <w:b/>
                <w:bCs/>
                <w:color w:val="FFFFFF"/>
              </w:rPr>
              <w:t>Πίνακας 3</w:t>
            </w:r>
            <w:r w:rsidR="00185230">
              <w:rPr>
                <w:rFonts w:ascii="Arial Narrow" w:hAnsi="Arial Narrow"/>
                <w:b/>
                <w:bCs/>
                <w:color w:val="FFFFFF"/>
              </w:rPr>
              <w:t>.12</w:t>
            </w:r>
            <w:r w:rsidRPr="00B512A3">
              <w:rPr>
                <w:rFonts w:ascii="Arial Narrow" w:hAnsi="Arial Narrow"/>
                <w:b/>
                <w:bCs/>
                <w:color w:val="FFFFFF"/>
              </w:rPr>
              <w:t xml:space="preserve">  Χρηματοδότηση έργων ΠΔΕ Περιφερειακών Προγραμμάτων</w:t>
            </w:r>
          </w:p>
          <w:p w:rsidR="008B4158" w:rsidRPr="00B512A3" w:rsidRDefault="008B4158" w:rsidP="00F11A3F">
            <w:pPr>
              <w:jc w:val="center"/>
              <w:rPr>
                <w:rFonts w:ascii="Arial Narrow" w:hAnsi="Arial Narrow"/>
                <w:b/>
                <w:bCs/>
                <w:color w:val="FFFFFF"/>
              </w:rPr>
            </w:pPr>
            <w:r w:rsidRPr="00B512A3">
              <w:rPr>
                <w:rFonts w:ascii="Arial Narrow" w:hAnsi="Arial Narrow"/>
                <w:b/>
                <w:bCs/>
                <w:color w:val="FFFFFF"/>
              </w:rPr>
              <w:t>(σε εκατ. ευρώ)</w:t>
            </w:r>
          </w:p>
        </w:tc>
      </w:tr>
      <w:tr w:rsidR="008B4158" w:rsidRPr="00691700" w:rsidTr="00F11A3F">
        <w:trPr>
          <w:trHeight w:val="227"/>
          <w:jc w:val="center"/>
        </w:trPr>
        <w:tc>
          <w:tcPr>
            <w:tcW w:w="4495" w:type="dxa"/>
            <w:tcBorders>
              <w:bottom w:val="single" w:sz="4" w:space="0" w:color="auto"/>
            </w:tcBorders>
            <w:shd w:val="clear" w:color="auto" w:fill="auto"/>
            <w:hideMark/>
          </w:tcPr>
          <w:p w:rsidR="008B4158" w:rsidRPr="00691700" w:rsidRDefault="008B4158" w:rsidP="00FF6C69">
            <w:pPr>
              <w:jc w:val="both"/>
              <w:rPr>
                <w:rFonts w:ascii="Arial Narrow" w:hAnsi="Arial Narrow"/>
                <w:sz w:val="10"/>
                <w:szCs w:val="10"/>
              </w:rPr>
            </w:pPr>
            <w:r w:rsidRPr="00691700">
              <w:rPr>
                <w:rFonts w:ascii="Arial Narrow" w:hAnsi="Arial Narrow"/>
                <w:sz w:val="10"/>
                <w:szCs w:val="10"/>
              </w:rPr>
              <w:t> </w:t>
            </w:r>
          </w:p>
        </w:tc>
        <w:tc>
          <w:tcPr>
            <w:tcW w:w="1320" w:type="dxa"/>
            <w:tcBorders>
              <w:bottom w:val="single" w:sz="4" w:space="0" w:color="auto"/>
            </w:tcBorders>
            <w:shd w:val="clear" w:color="auto" w:fill="auto"/>
            <w:vAlign w:val="bottom"/>
            <w:hideMark/>
          </w:tcPr>
          <w:p w:rsidR="008B4158" w:rsidRPr="00691700" w:rsidRDefault="008B4158" w:rsidP="00FF6C69">
            <w:pPr>
              <w:jc w:val="center"/>
              <w:rPr>
                <w:rFonts w:ascii="Arial Narrow" w:hAnsi="Arial Narrow"/>
                <w:b/>
                <w:bCs/>
                <w:sz w:val="10"/>
                <w:szCs w:val="10"/>
              </w:rPr>
            </w:pPr>
            <w:r w:rsidRPr="00691700">
              <w:rPr>
                <w:rFonts w:ascii="Arial Narrow" w:hAnsi="Arial Narrow"/>
                <w:b/>
                <w:bCs/>
                <w:sz w:val="10"/>
                <w:szCs w:val="10"/>
              </w:rPr>
              <w:t> </w:t>
            </w:r>
          </w:p>
        </w:tc>
        <w:tc>
          <w:tcPr>
            <w:tcW w:w="1600" w:type="dxa"/>
            <w:tcBorders>
              <w:bottom w:val="single" w:sz="4" w:space="0" w:color="auto"/>
            </w:tcBorders>
            <w:shd w:val="clear" w:color="auto" w:fill="auto"/>
            <w:vAlign w:val="bottom"/>
            <w:hideMark/>
          </w:tcPr>
          <w:p w:rsidR="008B4158" w:rsidRPr="00691700" w:rsidRDefault="008B4158" w:rsidP="00FF6C69">
            <w:pPr>
              <w:jc w:val="center"/>
              <w:rPr>
                <w:rFonts w:ascii="Arial Narrow" w:hAnsi="Arial Narrow"/>
                <w:b/>
                <w:bCs/>
                <w:sz w:val="10"/>
                <w:szCs w:val="10"/>
              </w:rPr>
            </w:pPr>
            <w:r w:rsidRPr="00691700">
              <w:rPr>
                <w:rFonts w:ascii="Arial Narrow" w:hAnsi="Arial Narrow"/>
                <w:b/>
                <w:bCs/>
                <w:sz w:val="10"/>
                <w:szCs w:val="10"/>
              </w:rPr>
              <w:t> </w:t>
            </w:r>
          </w:p>
        </w:tc>
        <w:tc>
          <w:tcPr>
            <w:tcW w:w="1180" w:type="dxa"/>
            <w:tcBorders>
              <w:bottom w:val="single" w:sz="4" w:space="0" w:color="auto"/>
            </w:tcBorders>
            <w:shd w:val="clear" w:color="auto" w:fill="auto"/>
            <w:vAlign w:val="bottom"/>
            <w:hideMark/>
          </w:tcPr>
          <w:p w:rsidR="008B4158" w:rsidRPr="00691700" w:rsidRDefault="008B4158" w:rsidP="00FF6C69">
            <w:pPr>
              <w:jc w:val="center"/>
              <w:rPr>
                <w:rFonts w:ascii="Arial Narrow" w:hAnsi="Arial Narrow"/>
                <w:b/>
                <w:bCs/>
                <w:sz w:val="10"/>
                <w:szCs w:val="10"/>
              </w:rPr>
            </w:pPr>
            <w:r w:rsidRPr="00691700">
              <w:rPr>
                <w:rFonts w:ascii="Arial Narrow" w:hAnsi="Arial Narrow"/>
                <w:b/>
                <w:bCs/>
                <w:sz w:val="10"/>
                <w:szCs w:val="10"/>
              </w:rPr>
              <w:t> </w:t>
            </w:r>
          </w:p>
        </w:tc>
      </w:tr>
      <w:tr w:rsidR="00F11A3F" w:rsidRPr="00691700" w:rsidTr="004F26BD">
        <w:trPr>
          <w:trHeight w:val="227"/>
          <w:jc w:val="center"/>
        </w:trPr>
        <w:tc>
          <w:tcPr>
            <w:tcW w:w="4495" w:type="dxa"/>
            <w:vMerge w:val="restart"/>
            <w:tcBorders>
              <w:top w:val="single" w:sz="4" w:space="0" w:color="auto"/>
              <w:bottom w:val="single" w:sz="4" w:space="0" w:color="auto"/>
              <w:right w:val="single" w:sz="4" w:space="0" w:color="auto"/>
            </w:tcBorders>
            <w:shd w:val="clear" w:color="auto" w:fill="auto"/>
            <w:hideMark/>
          </w:tcPr>
          <w:p w:rsidR="00F11A3F" w:rsidRPr="00691700" w:rsidRDefault="00F11A3F" w:rsidP="00FF6C69">
            <w:pPr>
              <w:jc w:val="both"/>
              <w:rPr>
                <w:rFonts w:ascii="Arial Narrow" w:hAnsi="Arial Narrow"/>
                <w:sz w:val="16"/>
                <w:szCs w:val="16"/>
              </w:rPr>
            </w:pPr>
            <w:r w:rsidRPr="00691700">
              <w:rPr>
                <w:rFonts w:ascii="Arial Narrow" w:hAnsi="Arial Narrow"/>
                <w:sz w:val="16"/>
                <w:szCs w:val="16"/>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A3F" w:rsidRPr="00691700" w:rsidRDefault="00F11A3F" w:rsidP="00F11A3F">
            <w:pPr>
              <w:jc w:val="center"/>
              <w:rPr>
                <w:rFonts w:ascii="Arial Narrow" w:hAnsi="Arial Narrow"/>
                <w:b/>
                <w:bCs/>
                <w:sz w:val="16"/>
                <w:szCs w:val="16"/>
              </w:rPr>
            </w:pPr>
            <w:r w:rsidRPr="00691700">
              <w:rPr>
                <w:rFonts w:ascii="Arial Narrow" w:hAnsi="Arial Narrow"/>
                <w:b/>
                <w:bCs/>
                <w:sz w:val="16"/>
                <w:szCs w:val="16"/>
              </w:rPr>
              <w:t>2016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A3F" w:rsidRPr="00691700" w:rsidRDefault="00F11A3F" w:rsidP="00F11A3F">
            <w:pPr>
              <w:jc w:val="center"/>
              <w:rPr>
                <w:rFonts w:ascii="Arial Narrow" w:hAnsi="Arial Narrow"/>
                <w:b/>
                <w:bCs/>
                <w:sz w:val="16"/>
                <w:szCs w:val="16"/>
              </w:rPr>
            </w:pPr>
            <w:r w:rsidRPr="00691700">
              <w:rPr>
                <w:rFonts w:ascii="Arial Narrow" w:hAnsi="Arial Narrow"/>
                <w:b/>
                <w:bCs/>
                <w:sz w:val="16"/>
                <w:szCs w:val="16"/>
              </w:rPr>
              <w:t>2017</w:t>
            </w:r>
          </w:p>
        </w:tc>
        <w:tc>
          <w:tcPr>
            <w:tcW w:w="1180" w:type="dxa"/>
            <w:tcBorders>
              <w:top w:val="single" w:sz="4" w:space="0" w:color="auto"/>
              <w:left w:val="single" w:sz="4" w:space="0" w:color="auto"/>
              <w:bottom w:val="single" w:sz="4" w:space="0" w:color="auto"/>
            </w:tcBorders>
            <w:shd w:val="clear" w:color="auto" w:fill="auto"/>
            <w:vAlign w:val="center"/>
            <w:hideMark/>
          </w:tcPr>
          <w:p w:rsidR="00F11A3F" w:rsidRPr="00691700" w:rsidRDefault="00F11A3F" w:rsidP="00F11A3F">
            <w:pPr>
              <w:jc w:val="center"/>
              <w:rPr>
                <w:rFonts w:ascii="Arial Narrow" w:hAnsi="Arial Narrow"/>
                <w:b/>
                <w:bCs/>
                <w:sz w:val="16"/>
                <w:szCs w:val="16"/>
              </w:rPr>
            </w:pPr>
            <w:r w:rsidRPr="00691700">
              <w:rPr>
                <w:rFonts w:ascii="Arial Narrow" w:hAnsi="Arial Narrow"/>
                <w:b/>
                <w:bCs/>
                <w:sz w:val="16"/>
                <w:szCs w:val="16"/>
              </w:rPr>
              <w:t>2018</w:t>
            </w:r>
          </w:p>
        </w:tc>
      </w:tr>
      <w:tr w:rsidR="00F11A3F" w:rsidRPr="00691700" w:rsidTr="004F26BD">
        <w:trPr>
          <w:trHeight w:val="227"/>
          <w:jc w:val="center"/>
        </w:trPr>
        <w:tc>
          <w:tcPr>
            <w:tcW w:w="4495" w:type="dxa"/>
            <w:vMerge/>
            <w:tcBorders>
              <w:top w:val="single" w:sz="4" w:space="0" w:color="auto"/>
              <w:bottom w:val="single" w:sz="4" w:space="0" w:color="auto"/>
              <w:right w:val="single" w:sz="4" w:space="0" w:color="auto"/>
            </w:tcBorders>
            <w:shd w:val="clear" w:color="auto" w:fill="auto"/>
            <w:vAlign w:val="center"/>
            <w:hideMark/>
          </w:tcPr>
          <w:p w:rsidR="00F11A3F" w:rsidRPr="00691700" w:rsidRDefault="00F11A3F" w:rsidP="00FF6C69">
            <w:pPr>
              <w:rPr>
                <w:rFonts w:ascii="Arial Narrow" w:hAnsi="Arial Narrow"/>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A3F" w:rsidRPr="00691700" w:rsidRDefault="00F11A3F" w:rsidP="00F11A3F">
            <w:pPr>
              <w:jc w:val="center"/>
              <w:rPr>
                <w:rFonts w:ascii="Arial Narrow" w:hAnsi="Arial Narrow"/>
                <w:b/>
                <w:bCs/>
                <w:sz w:val="16"/>
                <w:szCs w:val="16"/>
              </w:rPr>
            </w:pPr>
            <w:r w:rsidRPr="00691700">
              <w:rPr>
                <w:rFonts w:ascii="Arial Narrow" w:hAnsi="Arial Narrow"/>
                <w:b/>
                <w:bCs/>
                <w:sz w:val="16"/>
                <w:szCs w:val="16"/>
              </w:rPr>
              <w:t>Πληρωμές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A3F" w:rsidRPr="00691700" w:rsidRDefault="00F11A3F" w:rsidP="00F11A3F">
            <w:pPr>
              <w:jc w:val="center"/>
              <w:rPr>
                <w:rFonts w:ascii="Arial Narrow" w:hAnsi="Arial Narrow"/>
                <w:b/>
                <w:bCs/>
                <w:sz w:val="16"/>
                <w:szCs w:val="16"/>
              </w:rPr>
            </w:pPr>
            <w:r w:rsidRPr="00691700">
              <w:rPr>
                <w:rFonts w:ascii="Arial Narrow" w:hAnsi="Arial Narrow"/>
                <w:b/>
                <w:bCs/>
                <w:sz w:val="16"/>
                <w:szCs w:val="16"/>
              </w:rPr>
              <w:t>Εκτιμήσεις</w:t>
            </w:r>
          </w:p>
        </w:tc>
        <w:tc>
          <w:tcPr>
            <w:tcW w:w="1180" w:type="dxa"/>
            <w:tcBorders>
              <w:top w:val="single" w:sz="4" w:space="0" w:color="auto"/>
              <w:left w:val="single" w:sz="4" w:space="0" w:color="auto"/>
              <w:bottom w:val="single" w:sz="4" w:space="0" w:color="auto"/>
            </w:tcBorders>
            <w:shd w:val="clear" w:color="auto" w:fill="auto"/>
            <w:vAlign w:val="center"/>
            <w:hideMark/>
          </w:tcPr>
          <w:p w:rsidR="00F11A3F" w:rsidRPr="00691700" w:rsidRDefault="00F11A3F" w:rsidP="00F11A3F">
            <w:pPr>
              <w:jc w:val="center"/>
              <w:rPr>
                <w:rFonts w:ascii="Arial Narrow" w:hAnsi="Arial Narrow"/>
                <w:b/>
                <w:bCs/>
                <w:sz w:val="16"/>
                <w:szCs w:val="16"/>
              </w:rPr>
            </w:pPr>
            <w:r w:rsidRPr="00691700">
              <w:rPr>
                <w:rFonts w:ascii="Arial Narrow" w:hAnsi="Arial Narrow"/>
                <w:b/>
                <w:bCs/>
                <w:sz w:val="16"/>
                <w:szCs w:val="16"/>
              </w:rPr>
              <w:t>Προβλέψεις</w:t>
            </w:r>
          </w:p>
        </w:tc>
      </w:tr>
      <w:tr w:rsidR="008B4158" w:rsidRPr="00691700" w:rsidTr="004F26BD">
        <w:trPr>
          <w:trHeight w:val="227"/>
          <w:jc w:val="center"/>
        </w:trPr>
        <w:tc>
          <w:tcPr>
            <w:tcW w:w="4495" w:type="dxa"/>
            <w:tcBorders>
              <w:top w:val="single" w:sz="4" w:space="0" w:color="auto"/>
            </w:tcBorders>
            <w:shd w:val="clear" w:color="auto" w:fill="auto"/>
            <w:hideMark/>
          </w:tcPr>
          <w:p w:rsidR="008B4158" w:rsidRPr="00691700" w:rsidRDefault="008B4158" w:rsidP="00FF6C69">
            <w:pPr>
              <w:jc w:val="both"/>
              <w:rPr>
                <w:rFonts w:ascii="Arial Narrow" w:hAnsi="Arial Narrow"/>
                <w:sz w:val="6"/>
                <w:szCs w:val="6"/>
              </w:rPr>
            </w:pPr>
            <w:r w:rsidRPr="00691700">
              <w:rPr>
                <w:rFonts w:ascii="Arial Narrow" w:hAnsi="Arial Narrow"/>
                <w:sz w:val="6"/>
                <w:szCs w:val="6"/>
              </w:rPr>
              <w:t> </w:t>
            </w:r>
          </w:p>
        </w:tc>
        <w:tc>
          <w:tcPr>
            <w:tcW w:w="1320" w:type="dxa"/>
            <w:tcBorders>
              <w:top w:val="single" w:sz="4" w:space="0" w:color="auto"/>
            </w:tcBorders>
            <w:shd w:val="clear" w:color="auto" w:fill="auto"/>
            <w:hideMark/>
          </w:tcPr>
          <w:p w:rsidR="008B4158" w:rsidRPr="00691700" w:rsidRDefault="008B4158" w:rsidP="00FF6C69">
            <w:pPr>
              <w:jc w:val="both"/>
              <w:rPr>
                <w:rFonts w:ascii="Arial Narrow" w:hAnsi="Arial Narrow"/>
                <w:sz w:val="6"/>
                <w:szCs w:val="6"/>
              </w:rPr>
            </w:pPr>
          </w:p>
        </w:tc>
        <w:tc>
          <w:tcPr>
            <w:tcW w:w="1600" w:type="dxa"/>
            <w:tcBorders>
              <w:top w:val="single" w:sz="4" w:space="0" w:color="auto"/>
            </w:tcBorders>
            <w:shd w:val="clear" w:color="auto" w:fill="auto"/>
            <w:hideMark/>
          </w:tcPr>
          <w:p w:rsidR="008B4158" w:rsidRPr="00691700" w:rsidRDefault="008B4158" w:rsidP="00FF6C69">
            <w:pPr>
              <w:jc w:val="both"/>
              <w:rPr>
                <w:rFonts w:ascii="Arial Narrow" w:hAnsi="Arial Narrow"/>
                <w:sz w:val="6"/>
                <w:szCs w:val="6"/>
              </w:rPr>
            </w:pPr>
          </w:p>
        </w:tc>
        <w:tc>
          <w:tcPr>
            <w:tcW w:w="1180" w:type="dxa"/>
            <w:tcBorders>
              <w:top w:val="single" w:sz="4" w:space="0" w:color="auto"/>
            </w:tcBorders>
            <w:shd w:val="clear" w:color="auto" w:fill="auto"/>
            <w:hideMark/>
          </w:tcPr>
          <w:p w:rsidR="008B4158" w:rsidRPr="00691700" w:rsidRDefault="008B4158" w:rsidP="00FF6C69">
            <w:pPr>
              <w:jc w:val="both"/>
              <w:rPr>
                <w:rFonts w:ascii="Arial Narrow" w:hAnsi="Arial Narrow"/>
                <w:sz w:val="6"/>
                <w:szCs w:val="6"/>
              </w:rPr>
            </w:pPr>
          </w:p>
        </w:tc>
      </w:tr>
      <w:tr w:rsidR="008B4158" w:rsidRPr="00F11A3F" w:rsidTr="004F26BD">
        <w:trPr>
          <w:trHeight w:val="227"/>
          <w:jc w:val="center"/>
        </w:trPr>
        <w:tc>
          <w:tcPr>
            <w:tcW w:w="4495" w:type="dxa"/>
            <w:shd w:val="clear" w:color="auto" w:fill="auto"/>
            <w:vAlign w:val="center"/>
            <w:hideMark/>
          </w:tcPr>
          <w:p w:rsidR="008B4158" w:rsidRPr="00F11A3F" w:rsidRDefault="008B4158" w:rsidP="00F11A3F">
            <w:pPr>
              <w:rPr>
                <w:rFonts w:ascii="Arial Narrow" w:hAnsi="Arial Narrow"/>
                <w:bCs/>
                <w:sz w:val="16"/>
                <w:szCs w:val="16"/>
              </w:rPr>
            </w:pPr>
            <w:r w:rsidRPr="00F11A3F">
              <w:rPr>
                <w:rFonts w:ascii="Arial Narrow" w:hAnsi="Arial Narrow"/>
                <w:bCs/>
                <w:sz w:val="16"/>
                <w:szCs w:val="16"/>
              </w:rPr>
              <w:t>Χρηματοδοτήσεις έργων περιφέρειας με κοινοτική συμμετοχή</w:t>
            </w:r>
          </w:p>
        </w:tc>
        <w:tc>
          <w:tcPr>
            <w:tcW w:w="1320" w:type="dxa"/>
            <w:shd w:val="clear" w:color="auto" w:fill="auto"/>
            <w:vAlign w:val="center"/>
            <w:hideMark/>
          </w:tcPr>
          <w:p w:rsidR="008B4158" w:rsidRPr="00F11A3F" w:rsidRDefault="008B4158" w:rsidP="00F11A3F">
            <w:pPr>
              <w:tabs>
                <w:tab w:val="decimal" w:pos="765"/>
              </w:tabs>
              <w:rPr>
                <w:rFonts w:ascii="Arial Narrow" w:hAnsi="Arial Narrow"/>
                <w:bCs/>
                <w:sz w:val="16"/>
                <w:szCs w:val="16"/>
              </w:rPr>
            </w:pPr>
            <w:r w:rsidRPr="00F11A3F">
              <w:rPr>
                <w:rFonts w:ascii="Arial Narrow" w:hAnsi="Arial Narrow"/>
                <w:bCs/>
                <w:sz w:val="16"/>
                <w:szCs w:val="16"/>
              </w:rPr>
              <w:t>501</w:t>
            </w:r>
          </w:p>
        </w:tc>
        <w:tc>
          <w:tcPr>
            <w:tcW w:w="1600" w:type="dxa"/>
            <w:shd w:val="clear" w:color="auto" w:fill="auto"/>
            <w:vAlign w:val="center"/>
            <w:hideMark/>
          </w:tcPr>
          <w:p w:rsidR="008B4158" w:rsidRPr="00F11A3F" w:rsidRDefault="008B4158" w:rsidP="00F11A3F">
            <w:pPr>
              <w:tabs>
                <w:tab w:val="decimal" w:pos="765"/>
              </w:tabs>
              <w:rPr>
                <w:rFonts w:ascii="Arial Narrow" w:hAnsi="Arial Narrow"/>
                <w:bCs/>
                <w:sz w:val="16"/>
                <w:szCs w:val="16"/>
              </w:rPr>
            </w:pPr>
            <w:r w:rsidRPr="00F11A3F">
              <w:rPr>
                <w:rFonts w:ascii="Arial Narrow" w:hAnsi="Arial Narrow"/>
                <w:bCs/>
                <w:sz w:val="16"/>
                <w:szCs w:val="16"/>
              </w:rPr>
              <w:t>1.020</w:t>
            </w:r>
          </w:p>
        </w:tc>
        <w:tc>
          <w:tcPr>
            <w:tcW w:w="1180" w:type="dxa"/>
            <w:shd w:val="clear" w:color="auto" w:fill="auto"/>
            <w:vAlign w:val="center"/>
            <w:hideMark/>
          </w:tcPr>
          <w:p w:rsidR="008B4158" w:rsidRPr="00F11A3F" w:rsidRDefault="008B4158" w:rsidP="00F11A3F">
            <w:pPr>
              <w:tabs>
                <w:tab w:val="decimal" w:pos="765"/>
              </w:tabs>
              <w:rPr>
                <w:rFonts w:ascii="Arial Narrow" w:hAnsi="Arial Narrow"/>
                <w:bCs/>
                <w:sz w:val="16"/>
                <w:szCs w:val="16"/>
              </w:rPr>
            </w:pPr>
            <w:r w:rsidRPr="00F11A3F">
              <w:rPr>
                <w:rFonts w:ascii="Arial Narrow" w:hAnsi="Arial Narrow"/>
                <w:bCs/>
                <w:sz w:val="16"/>
                <w:szCs w:val="16"/>
              </w:rPr>
              <w:t>1.020</w:t>
            </w:r>
          </w:p>
        </w:tc>
      </w:tr>
      <w:tr w:rsidR="008B4158" w:rsidRPr="00F11A3F" w:rsidTr="004F26BD">
        <w:trPr>
          <w:trHeight w:val="227"/>
          <w:jc w:val="center"/>
        </w:trPr>
        <w:tc>
          <w:tcPr>
            <w:tcW w:w="4495" w:type="dxa"/>
            <w:shd w:val="clear" w:color="auto" w:fill="auto"/>
            <w:vAlign w:val="center"/>
            <w:hideMark/>
          </w:tcPr>
          <w:p w:rsidR="008B4158" w:rsidRPr="00F11A3F" w:rsidRDefault="008B4158" w:rsidP="00F11A3F">
            <w:pPr>
              <w:rPr>
                <w:rFonts w:ascii="Arial Narrow" w:hAnsi="Arial Narrow"/>
                <w:bCs/>
                <w:sz w:val="16"/>
                <w:szCs w:val="16"/>
              </w:rPr>
            </w:pPr>
          </w:p>
        </w:tc>
        <w:tc>
          <w:tcPr>
            <w:tcW w:w="1320" w:type="dxa"/>
            <w:shd w:val="clear" w:color="auto" w:fill="auto"/>
            <w:vAlign w:val="center"/>
            <w:hideMark/>
          </w:tcPr>
          <w:p w:rsidR="008B4158" w:rsidRPr="00F11A3F" w:rsidRDefault="008B4158" w:rsidP="00F11A3F">
            <w:pPr>
              <w:tabs>
                <w:tab w:val="decimal" w:pos="765"/>
              </w:tabs>
              <w:rPr>
                <w:rFonts w:ascii="Arial Narrow" w:hAnsi="Arial Narrow"/>
                <w:bCs/>
                <w:sz w:val="16"/>
                <w:szCs w:val="16"/>
              </w:rPr>
            </w:pPr>
          </w:p>
        </w:tc>
        <w:tc>
          <w:tcPr>
            <w:tcW w:w="1600" w:type="dxa"/>
            <w:shd w:val="clear" w:color="auto" w:fill="auto"/>
            <w:vAlign w:val="center"/>
            <w:hideMark/>
          </w:tcPr>
          <w:p w:rsidR="008B4158" w:rsidRPr="00F11A3F" w:rsidRDefault="008B4158" w:rsidP="00F11A3F">
            <w:pPr>
              <w:tabs>
                <w:tab w:val="decimal" w:pos="765"/>
              </w:tabs>
              <w:rPr>
                <w:rFonts w:ascii="Arial Narrow" w:hAnsi="Arial Narrow"/>
                <w:bCs/>
                <w:sz w:val="16"/>
                <w:szCs w:val="16"/>
              </w:rPr>
            </w:pPr>
          </w:p>
        </w:tc>
        <w:tc>
          <w:tcPr>
            <w:tcW w:w="1180" w:type="dxa"/>
            <w:shd w:val="clear" w:color="auto" w:fill="auto"/>
            <w:vAlign w:val="center"/>
            <w:hideMark/>
          </w:tcPr>
          <w:p w:rsidR="008B4158" w:rsidRPr="00F11A3F" w:rsidRDefault="008B4158" w:rsidP="00F11A3F">
            <w:pPr>
              <w:tabs>
                <w:tab w:val="decimal" w:pos="765"/>
              </w:tabs>
              <w:rPr>
                <w:rFonts w:ascii="Arial Narrow" w:hAnsi="Arial Narrow"/>
                <w:bCs/>
                <w:sz w:val="16"/>
                <w:szCs w:val="16"/>
              </w:rPr>
            </w:pPr>
          </w:p>
        </w:tc>
      </w:tr>
      <w:tr w:rsidR="008B4158" w:rsidRPr="00F11A3F" w:rsidTr="004F26BD">
        <w:trPr>
          <w:trHeight w:val="227"/>
          <w:jc w:val="center"/>
        </w:trPr>
        <w:tc>
          <w:tcPr>
            <w:tcW w:w="4495" w:type="dxa"/>
            <w:shd w:val="clear" w:color="auto" w:fill="auto"/>
            <w:vAlign w:val="center"/>
            <w:hideMark/>
          </w:tcPr>
          <w:p w:rsidR="008B4158" w:rsidRPr="00F11A3F" w:rsidRDefault="008B4158" w:rsidP="00F11A3F">
            <w:pPr>
              <w:rPr>
                <w:rFonts w:ascii="Arial Narrow" w:hAnsi="Arial Narrow"/>
                <w:bCs/>
                <w:sz w:val="16"/>
                <w:szCs w:val="16"/>
              </w:rPr>
            </w:pPr>
            <w:r w:rsidRPr="00F11A3F">
              <w:rPr>
                <w:rFonts w:ascii="Arial Narrow" w:hAnsi="Arial Narrow"/>
                <w:bCs/>
                <w:sz w:val="16"/>
                <w:szCs w:val="16"/>
              </w:rPr>
              <w:t>Χρηματοδοτήσεις έργων περιφέρειας από εθνικούς πόρους</w:t>
            </w:r>
          </w:p>
        </w:tc>
        <w:tc>
          <w:tcPr>
            <w:tcW w:w="1320" w:type="dxa"/>
            <w:shd w:val="clear" w:color="auto" w:fill="auto"/>
            <w:vAlign w:val="center"/>
            <w:hideMark/>
          </w:tcPr>
          <w:p w:rsidR="008B4158" w:rsidRPr="00F11A3F" w:rsidRDefault="008B4158" w:rsidP="00F11A3F">
            <w:pPr>
              <w:tabs>
                <w:tab w:val="decimal" w:pos="765"/>
              </w:tabs>
              <w:rPr>
                <w:rFonts w:ascii="Arial Narrow" w:hAnsi="Arial Narrow"/>
                <w:bCs/>
                <w:sz w:val="16"/>
                <w:szCs w:val="16"/>
              </w:rPr>
            </w:pPr>
            <w:r w:rsidRPr="00F11A3F">
              <w:rPr>
                <w:rFonts w:ascii="Arial Narrow" w:hAnsi="Arial Narrow"/>
                <w:bCs/>
                <w:sz w:val="16"/>
                <w:szCs w:val="16"/>
              </w:rPr>
              <w:t>288</w:t>
            </w:r>
          </w:p>
        </w:tc>
        <w:tc>
          <w:tcPr>
            <w:tcW w:w="1600" w:type="dxa"/>
            <w:shd w:val="clear" w:color="auto" w:fill="auto"/>
            <w:vAlign w:val="center"/>
            <w:hideMark/>
          </w:tcPr>
          <w:p w:rsidR="008B4158" w:rsidRPr="00F11A3F" w:rsidRDefault="008B4158" w:rsidP="00F11A3F">
            <w:pPr>
              <w:tabs>
                <w:tab w:val="decimal" w:pos="765"/>
              </w:tabs>
              <w:rPr>
                <w:rFonts w:ascii="Arial Narrow" w:hAnsi="Arial Narrow"/>
                <w:bCs/>
                <w:sz w:val="16"/>
                <w:szCs w:val="16"/>
              </w:rPr>
            </w:pPr>
            <w:r w:rsidRPr="00F11A3F">
              <w:rPr>
                <w:rFonts w:ascii="Arial Narrow" w:hAnsi="Arial Narrow"/>
                <w:bCs/>
                <w:sz w:val="16"/>
                <w:szCs w:val="16"/>
              </w:rPr>
              <w:t>200</w:t>
            </w:r>
          </w:p>
        </w:tc>
        <w:tc>
          <w:tcPr>
            <w:tcW w:w="1180" w:type="dxa"/>
            <w:shd w:val="clear" w:color="auto" w:fill="auto"/>
            <w:vAlign w:val="center"/>
            <w:hideMark/>
          </w:tcPr>
          <w:p w:rsidR="008B4158" w:rsidRPr="00F11A3F" w:rsidRDefault="008B4158" w:rsidP="00F11A3F">
            <w:pPr>
              <w:tabs>
                <w:tab w:val="decimal" w:pos="765"/>
              </w:tabs>
              <w:rPr>
                <w:rFonts w:ascii="Arial Narrow" w:hAnsi="Arial Narrow"/>
                <w:bCs/>
                <w:sz w:val="16"/>
                <w:szCs w:val="16"/>
              </w:rPr>
            </w:pPr>
            <w:r w:rsidRPr="00F11A3F">
              <w:rPr>
                <w:rFonts w:ascii="Arial Narrow" w:hAnsi="Arial Narrow"/>
                <w:bCs/>
                <w:sz w:val="16"/>
                <w:szCs w:val="16"/>
              </w:rPr>
              <w:t>160</w:t>
            </w:r>
          </w:p>
        </w:tc>
      </w:tr>
      <w:tr w:rsidR="008B4158" w:rsidRPr="00691700" w:rsidTr="004F26BD">
        <w:trPr>
          <w:trHeight w:val="227"/>
          <w:jc w:val="center"/>
        </w:trPr>
        <w:tc>
          <w:tcPr>
            <w:tcW w:w="4495" w:type="dxa"/>
            <w:shd w:val="clear" w:color="auto" w:fill="auto"/>
            <w:hideMark/>
          </w:tcPr>
          <w:p w:rsidR="008B4158" w:rsidRPr="00691700" w:rsidRDefault="008B4158" w:rsidP="00FF6C69">
            <w:pPr>
              <w:jc w:val="both"/>
              <w:rPr>
                <w:rFonts w:ascii="Arial Narrow" w:hAnsi="Arial Narrow"/>
                <w:sz w:val="6"/>
                <w:szCs w:val="6"/>
              </w:rPr>
            </w:pPr>
            <w:r w:rsidRPr="00691700">
              <w:rPr>
                <w:rFonts w:ascii="Arial Narrow" w:hAnsi="Arial Narrow"/>
                <w:sz w:val="6"/>
                <w:szCs w:val="6"/>
              </w:rPr>
              <w:t> </w:t>
            </w:r>
          </w:p>
        </w:tc>
        <w:tc>
          <w:tcPr>
            <w:tcW w:w="1320" w:type="dxa"/>
            <w:shd w:val="clear" w:color="auto" w:fill="auto"/>
            <w:vAlign w:val="bottom"/>
            <w:hideMark/>
          </w:tcPr>
          <w:p w:rsidR="008B4158" w:rsidRPr="00691700" w:rsidRDefault="008B4158" w:rsidP="00F11A3F">
            <w:pPr>
              <w:tabs>
                <w:tab w:val="decimal" w:pos="765"/>
              </w:tabs>
              <w:jc w:val="center"/>
              <w:rPr>
                <w:rFonts w:ascii="Arial Narrow" w:hAnsi="Arial Narrow"/>
                <w:sz w:val="6"/>
                <w:szCs w:val="6"/>
              </w:rPr>
            </w:pPr>
          </w:p>
        </w:tc>
        <w:tc>
          <w:tcPr>
            <w:tcW w:w="1600" w:type="dxa"/>
            <w:shd w:val="clear" w:color="auto" w:fill="auto"/>
            <w:vAlign w:val="bottom"/>
            <w:hideMark/>
          </w:tcPr>
          <w:p w:rsidR="008B4158" w:rsidRPr="00691700" w:rsidRDefault="008B4158" w:rsidP="00F11A3F">
            <w:pPr>
              <w:tabs>
                <w:tab w:val="decimal" w:pos="765"/>
              </w:tabs>
              <w:jc w:val="center"/>
              <w:rPr>
                <w:rFonts w:ascii="Arial Narrow" w:hAnsi="Arial Narrow"/>
                <w:sz w:val="6"/>
                <w:szCs w:val="6"/>
              </w:rPr>
            </w:pPr>
          </w:p>
        </w:tc>
        <w:tc>
          <w:tcPr>
            <w:tcW w:w="1180" w:type="dxa"/>
            <w:shd w:val="clear" w:color="auto" w:fill="auto"/>
            <w:vAlign w:val="bottom"/>
            <w:hideMark/>
          </w:tcPr>
          <w:p w:rsidR="008B4158" w:rsidRPr="00691700" w:rsidRDefault="008B4158" w:rsidP="00F11A3F">
            <w:pPr>
              <w:tabs>
                <w:tab w:val="decimal" w:pos="765"/>
              </w:tabs>
              <w:jc w:val="center"/>
              <w:rPr>
                <w:rFonts w:ascii="Arial Narrow" w:hAnsi="Arial Narrow"/>
                <w:sz w:val="6"/>
                <w:szCs w:val="6"/>
              </w:rPr>
            </w:pPr>
          </w:p>
        </w:tc>
      </w:tr>
      <w:tr w:rsidR="008B4158" w:rsidRPr="00F11A3F" w:rsidTr="004F26BD">
        <w:trPr>
          <w:trHeight w:val="227"/>
          <w:jc w:val="center"/>
        </w:trPr>
        <w:tc>
          <w:tcPr>
            <w:tcW w:w="4495" w:type="dxa"/>
            <w:shd w:val="clear" w:color="000000" w:fill="A6A6A6"/>
            <w:vAlign w:val="center"/>
            <w:hideMark/>
          </w:tcPr>
          <w:p w:rsidR="008B4158" w:rsidRPr="00691700" w:rsidRDefault="008B4158" w:rsidP="00FF6C69">
            <w:pPr>
              <w:rPr>
                <w:rFonts w:ascii="Arial Narrow" w:hAnsi="Arial Narrow"/>
                <w:b/>
                <w:bCs/>
                <w:sz w:val="16"/>
                <w:szCs w:val="16"/>
              </w:rPr>
            </w:pPr>
            <w:r w:rsidRPr="00691700">
              <w:rPr>
                <w:rFonts w:ascii="Arial Narrow" w:hAnsi="Arial Narrow"/>
                <w:b/>
                <w:bCs/>
                <w:sz w:val="16"/>
                <w:szCs w:val="16"/>
              </w:rPr>
              <w:t>Σύνολο</w:t>
            </w:r>
          </w:p>
        </w:tc>
        <w:tc>
          <w:tcPr>
            <w:tcW w:w="1320" w:type="dxa"/>
            <w:shd w:val="clear" w:color="000000" w:fill="A6A6A6"/>
            <w:vAlign w:val="center"/>
            <w:hideMark/>
          </w:tcPr>
          <w:p w:rsidR="008B4158" w:rsidRPr="00691700" w:rsidRDefault="00A2265A" w:rsidP="00F11A3F">
            <w:pPr>
              <w:tabs>
                <w:tab w:val="decimal" w:pos="765"/>
              </w:tabs>
              <w:rPr>
                <w:rFonts w:ascii="Arial Narrow" w:hAnsi="Arial Narrow"/>
                <w:b/>
                <w:bCs/>
                <w:sz w:val="16"/>
                <w:szCs w:val="16"/>
              </w:rPr>
            </w:pPr>
            <w:r>
              <w:rPr>
                <w:rFonts w:ascii="Arial Narrow" w:hAnsi="Arial Narrow"/>
                <w:b/>
                <w:bCs/>
                <w:sz w:val="16"/>
                <w:szCs w:val="16"/>
              </w:rPr>
              <w:t>7</w:t>
            </w:r>
            <w:r w:rsidR="008B4158" w:rsidRPr="00691700">
              <w:rPr>
                <w:rFonts w:ascii="Arial Narrow" w:hAnsi="Arial Narrow"/>
                <w:b/>
                <w:bCs/>
                <w:sz w:val="16"/>
                <w:szCs w:val="16"/>
              </w:rPr>
              <w:t>8</w:t>
            </w:r>
            <w:r>
              <w:rPr>
                <w:rFonts w:ascii="Arial Narrow" w:hAnsi="Arial Narrow"/>
                <w:b/>
                <w:bCs/>
                <w:sz w:val="16"/>
                <w:szCs w:val="16"/>
              </w:rPr>
              <w:t>9</w:t>
            </w:r>
          </w:p>
        </w:tc>
        <w:tc>
          <w:tcPr>
            <w:tcW w:w="1600" w:type="dxa"/>
            <w:shd w:val="clear" w:color="000000" w:fill="A6A6A6"/>
            <w:vAlign w:val="center"/>
            <w:hideMark/>
          </w:tcPr>
          <w:p w:rsidR="008B4158" w:rsidRPr="00691700" w:rsidRDefault="008B4158" w:rsidP="00F11A3F">
            <w:pPr>
              <w:tabs>
                <w:tab w:val="decimal" w:pos="765"/>
              </w:tabs>
              <w:rPr>
                <w:rFonts w:ascii="Arial Narrow" w:hAnsi="Arial Narrow"/>
                <w:b/>
                <w:bCs/>
                <w:sz w:val="16"/>
                <w:szCs w:val="16"/>
              </w:rPr>
            </w:pPr>
            <w:r w:rsidRPr="00691700">
              <w:rPr>
                <w:rFonts w:ascii="Arial Narrow" w:hAnsi="Arial Narrow"/>
                <w:b/>
                <w:bCs/>
                <w:sz w:val="16"/>
                <w:szCs w:val="16"/>
              </w:rPr>
              <w:t>1.220</w:t>
            </w:r>
          </w:p>
        </w:tc>
        <w:tc>
          <w:tcPr>
            <w:tcW w:w="1180" w:type="dxa"/>
            <w:shd w:val="clear" w:color="000000" w:fill="A6A6A6"/>
            <w:vAlign w:val="center"/>
            <w:hideMark/>
          </w:tcPr>
          <w:p w:rsidR="008B4158" w:rsidRPr="00691700" w:rsidRDefault="008B4158" w:rsidP="00F11A3F">
            <w:pPr>
              <w:tabs>
                <w:tab w:val="decimal" w:pos="765"/>
              </w:tabs>
              <w:rPr>
                <w:rFonts w:ascii="Arial Narrow" w:hAnsi="Arial Narrow"/>
                <w:b/>
                <w:bCs/>
                <w:sz w:val="16"/>
                <w:szCs w:val="16"/>
              </w:rPr>
            </w:pPr>
            <w:r w:rsidRPr="00691700">
              <w:rPr>
                <w:rFonts w:ascii="Arial Narrow" w:hAnsi="Arial Narrow"/>
                <w:b/>
                <w:bCs/>
                <w:sz w:val="16"/>
                <w:szCs w:val="16"/>
              </w:rPr>
              <w:t>1.180</w:t>
            </w:r>
          </w:p>
        </w:tc>
      </w:tr>
    </w:tbl>
    <w:p w:rsidR="008B4158" w:rsidRPr="00691700" w:rsidRDefault="008B4158" w:rsidP="008B4158">
      <w:pPr>
        <w:tabs>
          <w:tab w:val="left" w:pos="1276"/>
        </w:tabs>
        <w:rPr>
          <w:rFonts w:ascii="Arial Narrow" w:hAnsi="Arial Narrow"/>
          <w:sz w:val="16"/>
          <w:szCs w:val="18"/>
        </w:rPr>
      </w:pPr>
      <w:r w:rsidRPr="00691700">
        <w:rPr>
          <w:rFonts w:ascii="Arial Narrow" w:hAnsi="Arial Narrow"/>
          <w:sz w:val="16"/>
          <w:szCs w:val="18"/>
        </w:rPr>
        <w:t xml:space="preserve">  </w:t>
      </w:r>
      <w:r w:rsidR="00FA11EF">
        <w:rPr>
          <w:rFonts w:ascii="Arial Narrow" w:hAnsi="Arial Narrow"/>
          <w:sz w:val="16"/>
          <w:szCs w:val="18"/>
        </w:rPr>
        <w:t xml:space="preserve">    </w:t>
      </w:r>
      <w:r w:rsidRPr="00691700">
        <w:rPr>
          <w:rFonts w:ascii="Arial Narrow" w:hAnsi="Arial Narrow"/>
          <w:sz w:val="16"/>
          <w:szCs w:val="18"/>
        </w:rPr>
        <w:t xml:space="preserve"> Πηγή: Διεύθυνση Δημοσίων Επενδύσεων, Υπουργείο Οικονομίας και Ανάπτυξης</w:t>
      </w:r>
    </w:p>
    <w:p w:rsidR="008B4158" w:rsidRDefault="008B4158" w:rsidP="008B4158">
      <w:pPr>
        <w:jc w:val="both"/>
        <w:rPr>
          <w:sz w:val="22"/>
          <w:szCs w:val="22"/>
        </w:rPr>
      </w:pPr>
    </w:p>
    <w:p w:rsidR="005725EE" w:rsidRPr="008822E2" w:rsidRDefault="005725EE" w:rsidP="00F54EA6">
      <w:pPr>
        <w:jc w:val="both"/>
        <w:rPr>
          <w:rFonts w:ascii="Arial Narrow" w:hAnsi="Arial Narrow"/>
          <w:b/>
          <w:color w:val="000080"/>
        </w:rPr>
      </w:pPr>
      <w:r w:rsidRPr="008822E2">
        <w:rPr>
          <w:rFonts w:ascii="Arial Narrow" w:hAnsi="Arial Narrow"/>
          <w:b/>
          <w:color w:val="000080"/>
        </w:rPr>
        <w:t>Πηγές Χρηματοδότησης του ΠΔΕ</w:t>
      </w:r>
      <w:bookmarkEnd w:id="21"/>
      <w:bookmarkEnd w:id="22"/>
      <w:bookmarkEnd w:id="23"/>
      <w:bookmarkEnd w:id="24"/>
      <w:bookmarkEnd w:id="25"/>
      <w:bookmarkEnd w:id="26"/>
    </w:p>
    <w:bookmarkEnd w:id="27"/>
    <w:bookmarkEnd w:id="28"/>
    <w:p w:rsidR="008F195D" w:rsidRDefault="008F195D" w:rsidP="008F195D">
      <w:pPr>
        <w:tabs>
          <w:tab w:val="left" w:pos="720"/>
        </w:tabs>
        <w:jc w:val="both"/>
        <w:rPr>
          <w:sz w:val="22"/>
          <w:szCs w:val="22"/>
        </w:rPr>
      </w:pPr>
    </w:p>
    <w:p w:rsidR="008F195D" w:rsidRPr="008F195D" w:rsidRDefault="008F195D" w:rsidP="008F195D">
      <w:pPr>
        <w:tabs>
          <w:tab w:val="left" w:pos="720"/>
        </w:tabs>
        <w:jc w:val="both"/>
        <w:rPr>
          <w:sz w:val="22"/>
          <w:szCs w:val="22"/>
        </w:rPr>
      </w:pPr>
      <w:r w:rsidRPr="008F195D">
        <w:rPr>
          <w:sz w:val="22"/>
          <w:szCs w:val="22"/>
        </w:rPr>
        <w:t>Βασική πηγή εσόδων για την χρηματοδότηση των έργων του ΠΔΕ αποτελούν οι εισροές από την Ε</w:t>
      </w:r>
      <w:r w:rsidRPr="008F195D">
        <w:rPr>
          <w:sz w:val="22"/>
          <w:szCs w:val="22"/>
        </w:rPr>
        <w:t>υ</w:t>
      </w:r>
      <w:r w:rsidRPr="008F195D">
        <w:rPr>
          <w:sz w:val="22"/>
          <w:szCs w:val="22"/>
        </w:rPr>
        <w:t>ρωπαϊκή Ένωση και ειδικότερα από το Ευρωπαϊκό Ταμείο Περιφερειακής Ανάπτυξης (ΕΤΠΑ), το Ευρωπαϊκό Γεωργικό Ταμείο Εγγυήσεων (ΕΓΤΕ), το Ευρωπαϊκό Κοινωνικό Ταμείο (ΕΚΤ), το Ταμείο Συνοχής, το Ευρωπαϊκό Γεωργικό Ταμείο Αγροτικής Ανάπτυξης (ΕΓΤΑΑ), το Ευρωπαϊκό Ταμείο Θάλασσας και Αλιείας, καθώς και τα ταμεία για τη μετανάστευση.</w:t>
      </w:r>
    </w:p>
    <w:p w:rsidR="008F195D" w:rsidRPr="008F195D" w:rsidRDefault="008F195D" w:rsidP="008F195D">
      <w:pPr>
        <w:tabs>
          <w:tab w:val="left" w:pos="720"/>
        </w:tabs>
        <w:jc w:val="both"/>
        <w:rPr>
          <w:sz w:val="22"/>
          <w:szCs w:val="22"/>
        </w:rPr>
      </w:pPr>
    </w:p>
    <w:p w:rsidR="008F195D" w:rsidRPr="008F195D" w:rsidRDefault="008F195D" w:rsidP="008F195D">
      <w:pPr>
        <w:tabs>
          <w:tab w:val="left" w:pos="720"/>
        </w:tabs>
        <w:jc w:val="both"/>
        <w:rPr>
          <w:sz w:val="22"/>
          <w:szCs w:val="22"/>
        </w:rPr>
      </w:pPr>
      <w:r w:rsidRPr="008F195D">
        <w:rPr>
          <w:sz w:val="22"/>
          <w:szCs w:val="22"/>
        </w:rPr>
        <w:t>Οι πηγές χρηματοδότησης του ΠΔΕ κατά ταμείο για τα έτη 2016, 2017 και 2018 με τα αντίστοιχα π</w:t>
      </w:r>
      <w:r w:rsidRPr="008F195D">
        <w:rPr>
          <w:sz w:val="22"/>
          <w:szCs w:val="22"/>
        </w:rPr>
        <w:t>ο</w:t>
      </w:r>
      <w:r w:rsidRPr="008F195D">
        <w:rPr>
          <w:sz w:val="22"/>
          <w:szCs w:val="22"/>
        </w:rPr>
        <w:t>σά, παρουσιάζονται στον κατωτέρω πίνακα.</w:t>
      </w:r>
    </w:p>
    <w:p w:rsidR="00823076" w:rsidRDefault="00823076" w:rsidP="0028079A">
      <w:pPr>
        <w:tabs>
          <w:tab w:val="left" w:pos="720"/>
        </w:tabs>
        <w:jc w:val="both"/>
        <w:rPr>
          <w:rFonts w:ascii="Arial Narrow" w:hAnsi="Arial Narrow"/>
          <w:sz w:val="16"/>
          <w:szCs w:val="16"/>
        </w:rPr>
      </w:pPr>
    </w:p>
    <w:p w:rsidR="00EC191C" w:rsidRDefault="00EC191C" w:rsidP="0028079A">
      <w:pPr>
        <w:tabs>
          <w:tab w:val="left" w:pos="720"/>
        </w:tabs>
        <w:jc w:val="both"/>
        <w:rPr>
          <w:rFonts w:ascii="Arial Narrow" w:hAnsi="Arial Narrow"/>
          <w:sz w:val="16"/>
          <w:szCs w:val="16"/>
        </w:rPr>
      </w:pPr>
    </w:p>
    <w:tbl>
      <w:tblPr>
        <w:tblW w:w="7905"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976"/>
        <w:gridCol w:w="1346"/>
        <w:gridCol w:w="1307"/>
        <w:gridCol w:w="1276"/>
      </w:tblGrid>
      <w:tr w:rsidR="008F195D" w:rsidRPr="00AE1E60" w:rsidTr="00FF6C69">
        <w:trPr>
          <w:trHeight w:val="675"/>
          <w:jc w:val="center"/>
        </w:trPr>
        <w:tc>
          <w:tcPr>
            <w:tcW w:w="7905" w:type="dxa"/>
            <w:gridSpan w:val="4"/>
            <w:tcBorders>
              <w:right w:val="single" w:sz="6" w:space="0" w:color="auto"/>
            </w:tcBorders>
            <w:shd w:val="clear" w:color="000000" w:fill="404040"/>
            <w:vAlign w:val="bottom"/>
            <w:hideMark/>
          </w:tcPr>
          <w:p w:rsidR="008F195D" w:rsidRPr="00AE1E60" w:rsidRDefault="008F195D" w:rsidP="00FF6C69">
            <w:pPr>
              <w:jc w:val="center"/>
              <w:rPr>
                <w:rFonts w:ascii="Arial Narrow" w:hAnsi="Arial Narrow"/>
                <w:b/>
                <w:bCs/>
                <w:color w:val="FFFFFF"/>
                <w:szCs w:val="22"/>
              </w:rPr>
            </w:pPr>
            <w:r w:rsidRPr="00AE1E60">
              <w:rPr>
                <w:rFonts w:ascii="Arial Narrow" w:hAnsi="Arial Narrow"/>
                <w:b/>
                <w:bCs/>
                <w:color w:val="FFFFFF"/>
                <w:szCs w:val="22"/>
              </w:rPr>
              <w:t>Πίνακας 3</w:t>
            </w:r>
            <w:r w:rsidR="00185230">
              <w:rPr>
                <w:rFonts w:ascii="Arial Narrow" w:hAnsi="Arial Narrow"/>
                <w:b/>
                <w:bCs/>
                <w:color w:val="FFFFFF"/>
                <w:szCs w:val="22"/>
              </w:rPr>
              <w:t>.13</w:t>
            </w:r>
            <w:r w:rsidRPr="00AE1E60">
              <w:rPr>
                <w:rFonts w:ascii="Arial Narrow" w:hAnsi="Arial Narrow"/>
                <w:b/>
                <w:bCs/>
                <w:color w:val="FFFFFF"/>
                <w:szCs w:val="22"/>
              </w:rPr>
              <w:t xml:space="preserve"> Πηγές χρηματοδότησης ΠΔΕ</w:t>
            </w:r>
          </w:p>
          <w:p w:rsidR="008F195D" w:rsidRPr="00AE1E60" w:rsidRDefault="008F195D" w:rsidP="00FF6C69">
            <w:pPr>
              <w:jc w:val="center"/>
              <w:rPr>
                <w:rFonts w:ascii="Arial Narrow" w:hAnsi="Arial Narrow"/>
                <w:b/>
                <w:bCs/>
                <w:color w:val="FFFFFF"/>
                <w:szCs w:val="22"/>
              </w:rPr>
            </w:pPr>
            <w:r w:rsidRPr="00AE1E60">
              <w:rPr>
                <w:rFonts w:ascii="Arial Narrow" w:hAnsi="Arial Narrow"/>
                <w:b/>
                <w:bCs/>
                <w:color w:val="FFFFFF"/>
                <w:szCs w:val="22"/>
              </w:rPr>
              <w:t>(σε εκατ. ευρώ)</w:t>
            </w:r>
          </w:p>
        </w:tc>
      </w:tr>
      <w:tr w:rsidR="008F195D" w:rsidRPr="00AE1E60" w:rsidTr="00FF6C69">
        <w:trPr>
          <w:trHeight w:val="330"/>
          <w:jc w:val="center"/>
        </w:trPr>
        <w:tc>
          <w:tcPr>
            <w:tcW w:w="7905" w:type="dxa"/>
            <w:gridSpan w:val="4"/>
            <w:tcBorders>
              <w:bottom w:val="single" w:sz="6" w:space="0" w:color="auto"/>
              <w:right w:val="single" w:sz="6" w:space="0" w:color="auto"/>
            </w:tcBorders>
            <w:shd w:val="clear" w:color="auto" w:fill="auto"/>
            <w:vAlign w:val="bottom"/>
            <w:hideMark/>
          </w:tcPr>
          <w:p w:rsidR="008F195D" w:rsidRPr="00AE1E60" w:rsidRDefault="008F195D" w:rsidP="00FF6C69">
            <w:pPr>
              <w:jc w:val="center"/>
              <w:rPr>
                <w:rFonts w:ascii="Arial Narrow" w:hAnsi="Arial Narrow"/>
                <w:b/>
                <w:bCs/>
                <w:color w:val="000000"/>
                <w:sz w:val="12"/>
                <w:szCs w:val="12"/>
              </w:rPr>
            </w:pPr>
            <w:r w:rsidRPr="00AE1E60">
              <w:rPr>
                <w:rFonts w:ascii="Arial Narrow" w:hAnsi="Arial Narrow"/>
                <w:b/>
                <w:bCs/>
                <w:color w:val="000000"/>
                <w:sz w:val="12"/>
                <w:szCs w:val="12"/>
              </w:rPr>
              <w:t> </w:t>
            </w:r>
          </w:p>
        </w:tc>
      </w:tr>
      <w:tr w:rsidR="008F195D" w:rsidRPr="00AE1E60" w:rsidTr="00FF6C69">
        <w:trPr>
          <w:trHeight w:val="20"/>
          <w:jc w:val="center"/>
        </w:trPr>
        <w:tc>
          <w:tcPr>
            <w:tcW w:w="3976" w:type="dxa"/>
            <w:vMerge w:val="restart"/>
            <w:tcBorders>
              <w:top w:val="single" w:sz="6" w:space="0" w:color="auto"/>
              <w:bottom w:val="single" w:sz="6" w:space="0" w:color="auto"/>
              <w:right w:val="single" w:sz="6" w:space="0" w:color="auto"/>
            </w:tcBorders>
            <w:shd w:val="clear" w:color="auto" w:fill="auto"/>
            <w:vAlign w:val="center"/>
            <w:hideMark/>
          </w:tcPr>
          <w:p w:rsidR="008F195D" w:rsidRPr="00AE1E60" w:rsidRDefault="008F195D" w:rsidP="00FF6C69">
            <w:pPr>
              <w:jc w:val="center"/>
              <w:rPr>
                <w:rFonts w:ascii="Arial Narrow" w:hAnsi="Arial Narrow"/>
                <w:b/>
                <w:bCs/>
                <w:color w:val="000000"/>
                <w:sz w:val="16"/>
                <w:szCs w:val="16"/>
              </w:rPr>
            </w:pPr>
            <w:r w:rsidRPr="00AE1E60">
              <w:rPr>
                <w:rFonts w:ascii="Arial Narrow" w:hAnsi="Arial Narrow"/>
                <w:b/>
                <w:bCs/>
                <w:color w:val="000000"/>
                <w:sz w:val="16"/>
                <w:szCs w:val="16"/>
              </w:rPr>
              <w:t>Πηγές εσόδων</w:t>
            </w:r>
          </w:p>
        </w:tc>
        <w:tc>
          <w:tcPr>
            <w:tcW w:w="134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8F195D" w:rsidRPr="00AE1E60" w:rsidRDefault="008F195D" w:rsidP="00FF6C69">
            <w:pPr>
              <w:jc w:val="center"/>
              <w:rPr>
                <w:rFonts w:ascii="Arial Narrow" w:hAnsi="Arial Narrow"/>
                <w:b/>
                <w:bCs/>
                <w:color w:val="000000"/>
                <w:sz w:val="16"/>
                <w:szCs w:val="16"/>
              </w:rPr>
            </w:pPr>
            <w:r>
              <w:rPr>
                <w:rFonts w:ascii="Arial Narrow" w:hAnsi="Arial Narrow"/>
                <w:b/>
                <w:bCs/>
                <w:color w:val="000000"/>
                <w:sz w:val="16"/>
                <w:szCs w:val="16"/>
              </w:rPr>
              <w:t>2016</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8F195D" w:rsidRPr="00AE1E60" w:rsidRDefault="008F195D" w:rsidP="00FF6C69">
            <w:pPr>
              <w:jc w:val="center"/>
              <w:rPr>
                <w:rFonts w:ascii="Arial Narrow" w:hAnsi="Arial Narrow"/>
                <w:b/>
                <w:bCs/>
                <w:sz w:val="16"/>
                <w:szCs w:val="16"/>
              </w:rPr>
            </w:pPr>
            <w:r w:rsidRPr="00AE1E60">
              <w:rPr>
                <w:rFonts w:ascii="Arial Narrow" w:hAnsi="Arial Narrow"/>
                <w:b/>
                <w:bCs/>
                <w:sz w:val="16"/>
                <w:szCs w:val="16"/>
              </w:rPr>
              <w:t>201</w:t>
            </w:r>
            <w:r>
              <w:rPr>
                <w:rFonts w:ascii="Arial Narrow" w:hAnsi="Arial Narrow"/>
                <w:b/>
                <w:bCs/>
                <w:sz w:val="16"/>
                <w:szCs w:val="16"/>
              </w:rPr>
              <w:t>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8F195D" w:rsidRPr="00AE1E60" w:rsidRDefault="008F195D" w:rsidP="00FF6C69">
            <w:pPr>
              <w:jc w:val="center"/>
              <w:rPr>
                <w:rFonts w:ascii="Arial Narrow" w:hAnsi="Arial Narrow"/>
                <w:b/>
                <w:bCs/>
                <w:color w:val="000000"/>
                <w:sz w:val="16"/>
                <w:szCs w:val="16"/>
              </w:rPr>
            </w:pPr>
            <w:r>
              <w:rPr>
                <w:rFonts w:ascii="Arial Narrow" w:hAnsi="Arial Narrow"/>
                <w:b/>
                <w:bCs/>
                <w:color w:val="000000"/>
                <w:sz w:val="16"/>
                <w:szCs w:val="16"/>
              </w:rPr>
              <w:t>2018</w:t>
            </w:r>
          </w:p>
        </w:tc>
      </w:tr>
      <w:tr w:rsidR="008F195D" w:rsidRPr="00AE1E60" w:rsidTr="00FF6C69">
        <w:trPr>
          <w:trHeight w:val="20"/>
          <w:jc w:val="center"/>
        </w:trPr>
        <w:tc>
          <w:tcPr>
            <w:tcW w:w="3976" w:type="dxa"/>
            <w:vMerge/>
            <w:tcBorders>
              <w:top w:val="single" w:sz="6" w:space="0" w:color="auto"/>
              <w:bottom w:val="single" w:sz="6" w:space="0" w:color="auto"/>
              <w:right w:val="single" w:sz="6" w:space="0" w:color="auto"/>
            </w:tcBorders>
            <w:vAlign w:val="center"/>
            <w:hideMark/>
          </w:tcPr>
          <w:p w:rsidR="008F195D" w:rsidRPr="00AE1E60" w:rsidRDefault="008F195D" w:rsidP="00FF6C69">
            <w:pPr>
              <w:rPr>
                <w:rFonts w:ascii="Arial Narrow" w:hAnsi="Arial Narrow"/>
                <w:b/>
                <w:bCs/>
                <w:color w:val="000000"/>
                <w:sz w:val="16"/>
                <w:szCs w:val="16"/>
              </w:rPr>
            </w:pPr>
          </w:p>
        </w:tc>
        <w:tc>
          <w:tcPr>
            <w:tcW w:w="134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8F195D" w:rsidRPr="00AE1E60" w:rsidRDefault="008F195D" w:rsidP="00FF6C69">
            <w:pPr>
              <w:jc w:val="center"/>
              <w:rPr>
                <w:rFonts w:ascii="Arial Narrow" w:hAnsi="Arial Narrow"/>
                <w:b/>
                <w:bCs/>
                <w:color w:val="000000"/>
                <w:sz w:val="16"/>
                <w:szCs w:val="16"/>
              </w:rPr>
            </w:pPr>
            <w:r w:rsidRPr="00AE1E60">
              <w:rPr>
                <w:rFonts w:ascii="Arial Narrow" w:hAnsi="Arial Narrow"/>
                <w:b/>
                <w:bCs/>
                <w:color w:val="000000"/>
                <w:sz w:val="16"/>
                <w:szCs w:val="16"/>
              </w:rPr>
              <w:t>Πραγματ/σεις</w:t>
            </w:r>
          </w:p>
        </w:tc>
        <w:tc>
          <w:tcPr>
            <w:tcW w:w="1307"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8F195D" w:rsidRPr="00AE1E60" w:rsidRDefault="008F195D" w:rsidP="00FF6C69">
            <w:pPr>
              <w:jc w:val="center"/>
              <w:rPr>
                <w:rFonts w:ascii="Arial Narrow" w:hAnsi="Arial Narrow"/>
                <w:b/>
                <w:bCs/>
                <w:sz w:val="16"/>
                <w:szCs w:val="16"/>
              </w:rPr>
            </w:pPr>
            <w:r w:rsidRPr="00AE1E60">
              <w:rPr>
                <w:rFonts w:ascii="Arial Narrow" w:hAnsi="Arial Narrow"/>
                <w:b/>
                <w:bCs/>
                <w:sz w:val="16"/>
                <w:szCs w:val="16"/>
              </w:rPr>
              <w:t>Εκτιμήσεις</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8F195D" w:rsidRPr="00AE1E60" w:rsidRDefault="008F195D" w:rsidP="00FF6C69">
            <w:pPr>
              <w:jc w:val="center"/>
              <w:rPr>
                <w:rFonts w:ascii="Arial Narrow" w:hAnsi="Arial Narrow"/>
                <w:b/>
                <w:bCs/>
                <w:color w:val="000000"/>
                <w:sz w:val="16"/>
                <w:szCs w:val="16"/>
              </w:rPr>
            </w:pPr>
            <w:r w:rsidRPr="00AE1E60">
              <w:rPr>
                <w:rFonts w:ascii="Arial Narrow" w:hAnsi="Arial Narrow"/>
                <w:b/>
                <w:bCs/>
                <w:color w:val="000000"/>
                <w:sz w:val="16"/>
                <w:szCs w:val="16"/>
              </w:rPr>
              <w:t>Προβλέψεις</w:t>
            </w:r>
          </w:p>
        </w:tc>
      </w:tr>
      <w:tr w:rsidR="008F195D" w:rsidRPr="00AE1E60" w:rsidTr="00FF6C69">
        <w:trPr>
          <w:trHeight w:val="20"/>
          <w:jc w:val="center"/>
        </w:trPr>
        <w:tc>
          <w:tcPr>
            <w:tcW w:w="3976" w:type="dxa"/>
            <w:tcBorders>
              <w:top w:val="single" w:sz="6" w:space="0" w:color="auto"/>
            </w:tcBorders>
            <w:shd w:val="clear" w:color="auto" w:fill="auto"/>
            <w:hideMark/>
          </w:tcPr>
          <w:p w:rsidR="008F195D" w:rsidRPr="00AE1E60" w:rsidRDefault="008F195D" w:rsidP="00FF6C69">
            <w:pPr>
              <w:jc w:val="right"/>
              <w:rPr>
                <w:rFonts w:ascii="Arial Narrow" w:hAnsi="Arial Narrow"/>
                <w:color w:val="000000"/>
                <w:sz w:val="16"/>
                <w:szCs w:val="16"/>
              </w:rPr>
            </w:pPr>
            <w:r w:rsidRPr="00AE1E60">
              <w:rPr>
                <w:rFonts w:ascii="Arial Narrow" w:hAnsi="Arial Narrow"/>
                <w:color w:val="000000"/>
                <w:sz w:val="16"/>
                <w:szCs w:val="16"/>
              </w:rPr>
              <w:t> </w:t>
            </w:r>
          </w:p>
        </w:tc>
        <w:tc>
          <w:tcPr>
            <w:tcW w:w="1346" w:type="dxa"/>
            <w:tcBorders>
              <w:top w:val="single" w:sz="6" w:space="0" w:color="auto"/>
            </w:tcBorders>
            <w:shd w:val="clear" w:color="auto" w:fill="auto"/>
            <w:hideMark/>
          </w:tcPr>
          <w:p w:rsidR="008F195D" w:rsidRPr="00AE1E60" w:rsidRDefault="008F195D" w:rsidP="00FF6C69">
            <w:pPr>
              <w:jc w:val="right"/>
              <w:rPr>
                <w:rFonts w:ascii="Arial Narrow" w:hAnsi="Arial Narrow"/>
                <w:color w:val="000000"/>
                <w:sz w:val="16"/>
                <w:szCs w:val="16"/>
              </w:rPr>
            </w:pPr>
          </w:p>
        </w:tc>
        <w:tc>
          <w:tcPr>
            <w:tcW w:w="1307" w:type="dxa"/>
            <w:tcBorders>
              <w:top w:val="single" w:sz="6" w:space="0" w:color="auto"/>
            </w:tcBorders>
            <w:shd w:val="clear" w:color="auto" w:fill="auto"/>
            <w:hideMark/>
          </w:tcPr>
          <w:p w:rsidR="008F195D" w:rsidRPr="00AE1E60" w:rsidRDefault="008F195D" w:rsidP="00FF6C69">
            <w:pPr>
              <w:jc w:val="right"/>
              <w:rPr>
                <w:rFonts w:ascii="Arial Narrow" w:hAnsi="Arial Narrow"/>
                <w:sz w:val="16"/>
                <w:szCs w:val="16"/>
              </w:rPr>
            </w:pPr>
          </w:p>
        </w:tc>
        <w:tc>
          <w:tcPr>
            <w:tcW w:w="1276" w:type="dxa"/>
            <w:tcBorders>
              <w:top w:val="single" w:sz="6" w:space="0" w:color="auto"/>
            </w:tcBorders>
            <w:shd w:val="clear" w:color="auto" w:fill="auto"/>
            <w:hideMark/>
          </w:tcPr>
          <w:p w:rsidR="008F195D" w:rsidRPr="00AE1E60" w:rsidRDefault="008F195D" w:rsidP="00FF6C69">
            <w:pPr>
              <w:jc w:val="right"/>
              <w:rPr>
                <w:rFonts w:ascii="Arial Narrow" w:hAnsi="Arial Narrow"/>
                <w:color w:val="000000"/>
                <w:sz w:val="16"/>
                <w:szCs w:val="16"/>
              </w:rPr>
            </w:pPr>
          </w:p>
        </w:tc>
      </w:tr>
      <w:tr w:rsidR="008F195D" w:rsidRPr="00AE1E60" w:rsidTr="00FF6C69">
        <w:trPr>
          <w:trHeight w:val="20"/>
          <w:jc w:val="center"/>
        </w:trPr>
        <w:tc>
          <w:tcPr>
            <w:tcW w:w="3976" w:type="dxa"/>
            <w:shd w:val="clear" w:color="auto" w:fill="BFBFBF" w:themeFill="background1" w:themeFillShade="BF"/>
            <w:hideMark/>
          </w:tcPr>
          <w:p w:rsidR="008F195D" w:rsidRPr="00AE1E60" w:rsidRDefault="008F195D" w:rsidP="00FF6C69">
            <w:pPr>
              <w:rPr>
                <w:rFonts w:ascii="Arial Narrow" w:hAnsi="Arial Narrow"/>
                <w:b/>
                <w:bCs/>
                <w:color w:val="000000"/>
                <w:sz w:val="16"/>
                <w:szCs w:val="16"/>
              </w:rPr>
            </w:pPr>
            <w:r w:rsidRPr="00AE1E60">
              <w:rPr>
                <w:rFonts w:ascii="Arial Narrow" w:hAnsi="Arial Narrow"/>
                <w:b/>
                <w:bCs/>
                <w:color w:val="000000"/>
                <w:sz w:val="16"/>
                <w:szCs w:val="16"/>
              </w:rPr>
              <w:t>Έσοδα δημόσιων επενδύσεων</w:t>
            </w:r>
          </w:p>
        </w:tc>
        <w:tc>
          <w:tcPr>
            <w:tcW w:w="1346" w:type="dxa"/>
            <w:shd w:val="clear" w:color="auto" w:fill="BFBFBF" w:themeFill="background1" w:themeFillShade="BF"/>
            <w:vAlign w:val="center"/>
            <w:hideMark/>
          </w:tcPr>
          <w:p w:rsidR="008F195D" w:rsidRPr="00691700" w:rsidRDefault="008F195D" w:rsidP="008F195D">
            <w:pPr>
              <w:tabs>
                <w:tab w:val="decimal" w:pos="720"/>
              </w:tabs>
              <w:jc w:val="both"/>
              <w:rPr>
                <w:rFonts w:ascii="Arial Narrow" w:hAnsi="Arial Narrow"/>
                <w:b/>
                <w:bCs/>
                <w:sz w:val="16"/>
                <w:szCs w:val="16"/>
              </w:rPr>
            </w:pPr>
            <w:r w:rsidRPr="00691700">
              <w:rPr>
                <w:rFonts w:ascii="Arial Narrow" w:hAnsi="Arial Narrow"/>
                <w:b/>
                <w:bCs/>
                <w:sz w:val="16"/>
                <w:szCs w:val="16"/>
              </w:rPr>
              <w:t>4.17</w:t>
            </w:r>
            <w:r w:rsidR="00934943">
              <w:rPr>
                <w:rFonts w:ascii="Arial Narrow" w:hAnsi="Arial Narrow"/>
                <w:b/>
                <w:bCs/>
                <w:sz w:val="16"/>
                <w:szCs w:val="16"/>
              </w:rPr>
              <w:t>2</w:t>
            </w:r>
          </w:p>
        </w:tc>
        <w:tc>
          <w:tcPr>
            <w:tcW w:w="1307" w:type="dxa"/>
            <w:shd w:val="clear" w:color="auto" w:fill="BFBFBF" w:themeFill="background1" w:themeFillShade="BF"/>
            <w:vAlign w:val="center"/>
            <w:hideMark/>
          </w:tcPr>
          <w:p w:rsidR="008F195D" w:rsidRPr="00691700" w:rsidRDefault="008F195D" w:rsidP="008F195D">
            <w:pPr>
              <w:tabs>
                <w:tab w:val="decimal" w:pos="720"/>
              </w:tabs>
              <w:jc w:val="both"/>
              <w:rPr>
                <w:rFonts w:ascii="Arial Narrow" w:hAnsi="Arial Narrow"/>
                <w:b/>
                <w:bCs/>
                <w:sz w:val="16"/>
                <w:szCs w:val="16"/>
              </w:rPr>
            </w:pPr>
            <w:r w:rsidRPr="00691700">
              <w:rPr>
                <w:rFonts w:ascii="Arial Narrow" w:hAnsi="Arial Narrow"/>
                <w:b/>
                <w:bCs/>
                <w:sz w:val="16"/>
                <w:szCs w:val="16"/>
              </w:rPr>
              <w:t>3.427</w:t>
            </w:r>
          </w:p>
        </w:tc>
        <w:tc>
          <w:tcPr>
            <w:tcW w:w="1276" w:type="dxa"/>
            <w:shd w:val="clear" w:color="auto" w:fill="BFBFBF" w:themeFill="background1" w:themeFillShade="BF"/>
            <w:vAlign w:val="center"/>
            <w:hideMark/>
          </w:tcPr>
          <w:p w:rsidR="008F195D" w:rsidRPr="00691700" w:rsidRDefault="008F195D" w:rsidP="008F195D">
            <w:pPr>
              <w:tabs>
                <w:tab w:val="decimal" w:pos="720"/>
              </w:tabs>
              <w:jc w:val="both"/>
              <w:rPr>
                <w:rFonts w:ascii="Arial Narrow" w:hAnsi="Arial Narrow"/>
                <w:b/>
                <w:bCs/>
                <w:sz w:val="16"/>
                <w:szCs w:val="16"/>
              </w:rPr>
            </w:pPr>
            <w:r w:rsidRPr="00691700">
              <w:rPr>
                <w:rFonts w:ascii="Arial Narrow" w:hAnsi="Arial Narrow"/>
                <w:b/>
                <w:bCs/>
                <w:sz w:val="16"/>
                <w:szCs w:val="16"/>
              </w:rPr>
              <w:t>3.735</w:t>
            </w:r>
          </w:p>
        </w:tc>
      </w:tr>
      <w:tr w:rsidR="008F195D" w:rsidRPr="004F26BD" w:rsidTr="00FF6C69">
        <w:trPr>
          <w:trHeight w:val="20"/>
          <w:jc w:val="center"/>
        </w:trPr>
        <w:tc>
          <w:tcPr>
            <w:tcW w:w="3976" w:type="dxa"/>
            <w:shd w:val="clear" w:color="auto" w:fill="auto"/>
            <w:hideMark/>
          </w:tcPr>
          <w:p w:rsidR="008F195D" w:rsidRPr="004F26BD" w:rsidRDefault="008F195D" w:rsidP="00FF6C69">
            <w:pPr>
              <w:rPr>
                <w:rFonts w:ascii="Arial Narrow" w:hAnsi="Arial Narrow"/>
                <w:b/>
                <w:bCs/>
                <w:color w:val="000000"/>
                <w:sz w:val="14"/>
                <w:szCs w:val="16"/>
              </w:rPr>
            </w:pPr>
            <w:r w:rsidRPr="004F26BD">
              <w:rPr>
                <w:rFonts w:ascii="Arial Narrow" w:hAnsi="Arial Narrow"/>
                <w:b/>
                <w:bCs/>
                <w:color w:val="000000"/>
                <w:sz w:val="14"/>
                <w:szCs w:val="16"/>
              </w:rPr>
              <w:t> </w:t>
            </w:r>
          </w:p>
        </w:tc>
        <w:tc>
          <w:tcPr>
            <w:tcW w:w="1346" w:type="dxa"/>
            <w:shd w:val="clear" w:color="auto" w:fill="auto"/>
            <w:vAlign w:val="center"/>
            <w:hideMark/>
          </w:tcPr>
          <w:p w:rsidR="008F195D" w:rsidRPr="004F26BD" w:rsidRDefault="008F195D" w:rsidP="008F195D">
            <w:pPr>
              <w:tabs>
                <w:tab w:val="decimal" w:pos="720"/>
              </w:tabs>
              <w:jc w:val="both"/>
              <w:outlineLvl w:val="0"/>
              <w:rPr>
                <w:rFonts w:ascii="Calibri" w:hAnsi="Calibri"/>
                <w:sz w:val="14"/>
                <w:szCs w:val="22"/>
              </w:rPr>
            </w:pPr>
          </w:p>
        </w:tc>
        <w:tc>
          <w:tcPr>
            <w:tcW w:w="1307" w:type="dxa"/>
            <w:shd w:val="clear" w:color="auto" w:fill="auto"/>
            <w:vAlign w:val="center"/>
            <w:hideMark/>
          </w:tcPr>
          <w:p w:rsidR="008F195D" w:rsidRPr="004F26BD" w:rsidRDefault="008F195D" w:rsidP="008F195D">
            <w:pPr>
              <w:tabs>
                <w:tab w:val="decimal" w:pos="720"/>
              </w:tabs>
              <w:jc w:val="both"/>
              <w:outlineLvl w:val="0"/>
              <w:rPr>
                <w:rFonts w:ascii="Calibri" w:hAnsi="Calibri"/>
                <w:sz w:val="14"/>
                <w:szCs w:val="22"/>
              </w:rPr>
            </w:pPr>
          </w:p>
        </w:tc>
        <w:tc>
          <w:tcPr>
            <w:tcW w:w="1276" w:type="dxa"/>
            <w:shd w:val="clear" w:color="auto" w:fill="auto"/>
            <w:vAlign w:val="center"/>
            <w:hideMark/>
          </w:tcPr>
          <w:p w:rsidR="008F195D" w:rsidRPr="004F26BD" w:rsidRDefault="008F195D" w:rsidP="008F195D">
            <w:pPr>
              <w:tabs>
                <w:tab w:val="decimal" w:pos="720"/>
              </w:tabs>
              <w:jc w:val="both"/>
              <w:outlineLvl w:val="0"/>
              <w:rPr>
                <w:rFonts w:ascii="Calibri" w:hAnsi="Calibri"/>
                <w:sz w:val="14"/>
                <w:szCs w:val="22"/>
              </w:rPr>
            </w:pPr>
            <w:r w:rsidRPr="004F26BD">
              <w:rPr>
                <w:rFonts w:ascii="Calibri" w:hAnsi="Calibri"/>
                <w:sz w:val="14"/>
                <w:szCs w:val="22"/>
              </w:rPr>
              <w:t> </w:t>
            </w:r>
          </w:p>
        </w:tc>
      </w:tr>
      <w:tr w:rsidR="008F195D" w:rsidRPr="00AE1E60" w:rsidTr="00FF6C69">
        <w:trPr>
          <w:trHeight w:val="20"/>
          <w:jc w:val="center"/>
        </w:trPr>
        <w:tc>
          <w:tcPr>
            <w:tcW w:w="3976" w:type="dxa"/>
            <w:shd w:val="clear" w:color="auto" w:fill="auto"/>
            <w:hideMark/>
          </w:tcPr>
          <w:p w:rsidR="008F195D" w:rsidRPr="00AE1E60" w:rsidRDefault="008F195D" w:rsidP="00FF6C69">
            <w:pPr>
              <w:rPr>
                <w:rFonts w:ascii="Arial Narrow" w:hAnsi="Arial Narrow"/>
                <w:b/>
                <w:bCs/>
                <w:color w:val="000000"/>
                <w:sz w:val="16"/>
                <w:szCs w:val="16"/>
              </w:rPr>
            </w:pPr>
            <w:r w:rsidRPr="00AE1E60">
              <w:rPr>
                <w:rFonts w:ascii="Arial Narrow" w:hAnsi="Arial Narrow"/>
                <w:b/>
                <w:bCs/>
                <w:color w:val="000000"/>
                <w:sz w:val="16"/>
                <w:szCs w:val="16"/>
              </w:rPr>
              <w:t>Ίδια έσοδα</w:t>
            </w:r>
          </w:p>
        </w:tc>
        <w:tc>
          <w:tcPr>
            <w:tcW w:w="1346" w:type="dxa"/>
            <w:shd w:val="clear" w:color="auto" w:fill="auto"/>
            <w:vAlign w:val="center"/>
            <w:hideMark/>
          </w:tcPr>
          <w:p w:rsidR="008F195D" w:rsidRPr="00691700" w:rsidRDefault="008F195D" w:rsidP="008F195D">
            <w:pPr>
              <w:tabs>
                <w:tab w:val="decimal" w:pos="720"/>
              </w:tabs>
              <w:jc w:val="both"/>
              <w:outlineLvl w:val="0"/>
              <w:rPr>
                <w:rFonts w:ascii="Arial Narrow" w:hAnsi="Arial Narrow"/>
                <w:b/>
                <w:bCs/>
                <w:sz w:val="16"/>
                <w:szCs w:val="16"/>
              </w:rPr>
            </w:pPr>
            <w:r w:rsidRPr="00691700">
              <w:rPr>
                <w:rFonts w:ascii="Arial Narrow" w:hAnsi="Arial Narrow"/>
                <w:b/>
                <w:bCs/>
                <w:sz w:val="16"/>
                <w:szCs w:val="16"/>
              </w:rPr>
              <w:t>31</w:t>
            </w:r>
            <w:r w:rsidR="00934943">
              <w:rPr>
                <w:rFonts w:ascii="Arial Narrow" w:hAnsi="Arial Narrow"/>
                <w:b/>
                <w:bCs/>
                <w:sz w:val="16"/>
                <w:szCs w:val="16"/>
              </w:rPr>
              <w:t>1</w:t>
            </w:r>
          </w:p>
        </w:tc>
        <w:tc>
          <w:tcPr>
            <w:tcW w:w="1307" w:type="dxa"/>
            <w:shd w:val="clear" w:color="auto" w:fill="auto"/>
            <w:vAlign w:val="center"/>
            <w:hideMark/>
          </w:tcPr>
          <w:p w:rsidR="008F195D" w:rsidRPr="00691700" w:rsidRDefault="008F195D" w:rsidP="008F195D">
            <w:pPr>
              <w:tabs>
                <w:tab w:val="decimal" w:pos="720"/>
              </w:tabs>
              <w:jc w:val="both"/>
              <w:outlineLvl w:val="0"/>
              <w:rPr>
                <w:rFonts w:ascii="Arial Narrow" w:hAnsi="Arial Narrow"/>
                <w:b/>
                <w:bCs/>
                <w:sz w:val="16"/>
                <w:szCs w:val="16"/>
              </w:rPr>
            </w:pPr>
            <w:r w:rsidRPr="00691700">
              <w:rPr>
                <w:rFonts w:ascii="Arial Narrow" w:hAnsi="Arial Narrow"/>
                <w:b/>
                <w:bCs/>
                <w:sz w:val="16"/>
                <w:szCs w:val="16"/>
              </w:rPr>
              <w:t>250</w:t>
            </w:r>
          </w:p>
        </w:tc>
        <w:tc>
          <w:tcPr>
            <w:tcW w:w="1276" w:type="dxa"/>
            <w:shd w:val="clear" w:color="auto" w:fill="auto"/>
            <w:vAlign w:val="center"/>
            <w:hideMark/>
          </w:tcPr>
          <w:p w:rsidR="008F195D" w:rsidRPr="00691700" w:rsidRDefault="008F195D" w:rsidP="008F195D">
            <w:pPr>
              <w:tabs>
                <w:tab w:val="decimal" w:pos="720"/>
              </w:tabs>
              <w:jc w:val="both"/>
              <w:outlineLvl w:val="0"/>
              <w:rPr>
                <w:rFonts w:ascii="Arial Narrow" w:hAnsi="Arial Narrow"/>
                <w:b/>
                <w:bCs/>
                <w:sz w:val="16"/>
                <w:szCs w:val="16"/>
              </w:rPr>
            </w:pPr>
            <w:r w:rsidRPr="00691700">
              <w:rPr>
                <w:rFonts w:ascii="Arial Narrow" w:hAnsi="Arial Narrow"/>
                <w:b/>
                <w:bCs/>
                <w:sz w:val="16"/>
                <w:szCs w:val="16"/>
              </w:rPr>
              <w:t>180</w:t>
            </w:r>
          </w:p>
        </w:tc>
      </w:tr>
      <w:tr w:rsidR="008F195D" w:rsidRPr="004F26BD" w:rsidTr="00FF6C69">
        <w:trPr>
          <w:trHeight w:val="20"/>
          <w:jc w:val="center"/>
        </w:trPr>
        <w:tc>
          <w:tcPr>
            <w:tcW w:w="3976" w:type="dxa"/>
            <w:shd w:val="clear" w:color="auto" w:fill="auto"/>
            <w:hideMark/>
          </w:tcPr>
          <w:p w:rsidR="008F195D" w:rsidRPr="004F26BD" w:rsidRDefault="008F195D" w:rsidP="00FF6C69">
            <w:pPr>
              <w:jc w:val="right"/>
              <w:rPr>
                <w:rFonts w:ascii="Arial Narrow" w:hAnsi="Arial Narrow"/>
                <w:color w:val="000000"/>
                <w:sz w:val="14"/>
                <w:szCs w:val="16"/>
              </w:rPr>
            </w:pPr>
            <w:r w:rsidRPr="004F26BD">
              <w:rPr>
                <w:rFonts w:ascii="Arial Narrow" w:hAnsi="Arial Narrow"/>
                <w:color w:val="000000"/>
                <w:sz w:val="14"/>
                <w:szCs w:val="16"/>
              </w:rPr>
              <w:t> </w:t>
            </w:r>
          </w:p>
        </w:tc>
        <w:tc>
          <w:tcPr>
            <w:tcW w:w="1346" w:type="dxa"/>
            <w:shd w:val="clear" w:color="auto" w:fill="auto"/>
            <w:vAlign w:val="center"/>
            <w:hideMark/>
          </w:tcPr>
          <w:p w:rsidR="008F195D" w:rsidRPr="004F26BD" w:rsidRDefault="008F195D" w:rsidP="008F195D">
            <w:pPr>
              <w:tabs>
                <w:tab w:val="decimal" w:pos="720"/>
              </w:tabs>
              <w:jc w:val="both"/>
              <w:outlineLvl w:val="0"/>
              <w:rPr>
                <w:rFonts w:ascii="Calibri" w:hAnsi="Calibri"/>
                <w:sz w:val="14"/>
                <w:szCs w:val="22"/>
              </w:rPr>
            </w:pPr>
          </w:p>
        </w:tc>
        <w:tc>
          <w:tcPr>
            <w:tcW w:w="1307" w:type="dxa"/>
            <w:shd w:val="clear" w:color="auto" w:fill="auto"/>
            <w:vAlign w:val="center"/>
            <w:hideMark/>
          </w:tcPr>
          <w:p w:rsidR="008F195D" w:rsidRPr="004F26BD" w:rsidRDefault="008F195D" w:rsidP="008F195D">
            <w:pPr>
              <w:tabs>
                <w:tab w:val="decimal" w:pos="720"/>
              </w:tabs>
              <w:jc w:val="both"/>
              <w:outlineLvl w:val="0"/>
              <w:rPr>
                <w:rFonts w:ascii="Calibri" w:hAnsi="Calibri"/>
                <w:sz w:val="14"/>
                <w:szCs w:val="22"/>
              </w:rPr>
            </w:pPr>
          </w:p>
        </w:tc>
        <w:tc>
          <w:tcPr>
            <w:tcW w:w="1276" w:type="dxa"/>
            <w:shd w:val="clear" w:color="auto" w:fill="auto"/>
            <w:vAlign w:val="center"/>
            <w:hideMark/>
          </w:tcPr>
          <w:p w:rsidR="008F195D" w:rsidRPr="004F26BD" w:rsidRDefault="008F195D" w:rsidP="008F195D">
            <w:pPr>
              <w:tabs>
                <w:tab w:val="decimal" w:pos="720"/>
              </w:tabs>
              <w:jc w:val="both"/>
              <w:outlineLvl w:val="0"/>
              <w:rPr>
                <w:rFonts w:ascii="Calibri" w:hAnsi="Calibri"/>
                <w:sz w:val="14"/>
                <w:szCs w:val="22"/>
              </w:rPr>
            </w:pPr>
            <w:r w:rsidRPr="004F26BD">
              <w:rPr>
                <w:rFonts w:ascii="Calibri" w:hAnsi="Calibri"/>
                <w:sz w:val="14"/>
                <w:szCs w:val="22"/>
              </w:rPr>
              <w:t> </w:t>
            </w:r>
          </w:p>
        </w:tc>
      </w:tr>
      <w:tr w:rsidR="008F195D" w:rsidRPr="00AE1E60" w:rsidTr="00FF6C69">
        <w:trPr>
          <w:trHeight w:val="20"/>
          <w:jc w:val="center"/>
        </w:trPr>
        <w:tc>
          <w:tcPr>
            <w:tcW w:w="3976" w:type="dxa"/>
            <w:shd w:val="clear" w:color="auto" w:fill="auto"/>
            <w:hideMark/>
          </w:tcPr>
          <w:p w:rsidR="008F195D" w:rsidRPr="00AE1E60" w:rsidRDefault="008F195D" w:rsidP="00FF6C69">
            <w:pPr>
              <w:rPr>
                <w:rFonts w:ascii="Arial Narrow" w:hAnsi="Arial Narrow"/>
                <w:b/>
                <w:bCs/>
                <w:color w:val="000000"/>
                <w:sz w:val="16"/>
                <w:szCs w:val="16"/>
              </w:rPr>
            </w:pPr>
            <w:r w:rsidRPr="00AE1E60">
              <w:rPr>
                <w:rFonts w:ascii="Arial Narrow" w:hAnsi="Arial Narrow"/>
                <w:b/>
                <w:bCs/>
                <w:color w:val="000000"/>
                <w:sz w:val="16"/>
                <w:szCs w:val="16"/>
              </w:rPr>
              <w:t>Επιχορηγήσεις ΕΕ</w:t>
            </w:r>
          </w:p>
        </w:tc>
        <w:tc>
          <w:tcPr>
            <w:tcW w:w="1346" w:type="dxa"/>
            <w:shd w:val="clear" w:color="auto" w:fill="auto"/>
            <w:vAlign w:val="center"/>
            <w:hideMark/>
          </w:tcPr>
          <w:p w:rsidR="008F195D" w:rsidRPr="00691700" w:rsidRDefault="008F195D" w:rsidP="008F195D">
            <w:pPr>
              <w:tabs>
                <w:tab w:val="decimal" w:pos="720"/>
              </w:tabs>
              <w:jc w:val="both"/>
              <w:outlineLvl w:val="0"/>
              <w:rPr>
                <w:rFonts w:ascii="Arial Narrow" w:hAnsi="Arial Narrow"/>
                <w:b/>
                <w:bCs/>
                <w:sz w:val="16"/>
                <w:szCs w:val="16"/>
              </w:rPr>
            </w:pPr>
            <w:r w:rsidRPr="00691700">
              <w:rPr>
                <w:rFonts w:ascii="Arial Narrow" w:hAnsi="Arial Narrow"/>
                <w:b/>
                <w:bCs/>
                <w:sz w:val="16"/>
                <w:szCs w:val="16"/>
              </w:rPr>
              <w:t>3.861</w:t>
            </w:r>
          </w:p>
        </w:tc>
        <w:tc>
          <w:tcPr>
            <w:tcW w:w="1307" w:type="dxa"/>
            <w:shd w:val="clear" w:color="auto" w:fill="auto"/>
            <w:vAlign w:val="center"/>
            <w:hideMark/>
          </w:tcPr>
          <w:p w:rsidR="008F195D" w:rsidRPr="00691700" w:rsidRDefault="008F195D" w:rsidP="008F195D">
            <w:pPr>
              <w:tabs>
                <w:tab w:val="decimal" w:pos="720"/>
              </w:tabs>
              <w:jc w:val="both"/>
              <w:outlineLvl w:val="0"/>
              <w:rPr>
                <w:rFonts w:ascii="Arial Narrow" w:hAnsi="Arial Narrow"/>
                <w:b/>
                <w:bCs/>
                <w:sz w:val="16"/>
                <w:szCs w:val="16"/>
              </w:rPr>
            </w:pPr>
            <w:r w:rsidRPr="00691700">
              <w:rPr>
                <w:rFonts w:ascii="Arial Narrow" w:hAnsi="Arial Narrow"/>
                <w:b/>
                <w:bCs/>
                <w:sz w:val="16"/>
                <w:szCs w:val="16"/>
              </w:rPr>
              <w:t>3.177</w:t>
            </w:r>
          </w:p>
        </w:tc>
        <w:tc>
          <w:tcPr>
            <w:tcW w:w="1276" w:type="dxa"/>
            <w:shd w:val="clear" w:color="auto" w:fill="auto"/>
            <w:vAlign w:val="center"/>
            <w:hideMark/>
          </w:tcPr>
          <w:p w:rsidR="008F195D" w:rsidRPr="00691700" w:rsidRDefault="008F195D" w:rsidP="008F195D">
            <w:pPr>
              <w:tabs>
                <w:tab w:val="decimal" w:pos="720"/>
              </w:tabs>
              <w:jc w:val="both"/>
              <w:outlineLvl w:val="0"/>
              <w:rPr>
                <w:rFonts w:ascii="Arial Narrow" w:hAnsi="Arial Narrow"/>
                <w:b/>
                <w:bCs/>
                <w:sz w:val="16"/>
                <w:szCs w:val="16"/>
              </w:rPr>
            </w:pPr>
            <w:r w:rsidRPr="00691700">
              <w:rPr>
                <w:rFonts w:ascii="Arial Narrow" w:hAnsi="Arial Narrow"/>
                <w:b/>
                <w:bCs/>
                <w:sz w:val="16"/>
                <w:szCs w:val="16"/>
              </w:rPr>
              <w:t>3.555</w:t>
            </w:r>
          </w:p>
        </w:tc>
      </w:tr>
      <w:tr w:rsidR="008F195D" w:rsidRPr="00AE1E60" w:rsidTr="00FF6C69">
        <w:trPr>
          <w:trHeight w:val="20"/>
          <w:jc w:val="center"/>
        </w:trPr>
        <w:tc>
          <w:tcPr>
            <w:tcW w:w="3976" w:type="dxa"/>
            <w:shd w:val="clear" w:color="auto" w:fill="auto"/>
            <w:hideMark/>
          </w:tcPr>
          <w:p w:rsidR="008F195D" w:rsidRPr="00AE1E60" w:rsidRDefault="008F195D" w:rsidP="00FF6C69">
            <w:pPr>
              <w:rPr>
                <w:rFonts w:ascii="Arial Narrow" w:hAnsi="Arial Narrow"/>
                <w:color w:val="000000"/>
                <w:sz w:val="16"/>
                <w:szCs w:val="16"/>
              </w:rPr>
            </w:pPr>
            <w:r w:rsidRPr="00AE1E60">
              <w:rPr>
                <w:rFonts w:ascii="Arial Narrow" w:hAnsi="Arial Narrow"/>
                <w:color w:val="000000"/>
                <w:sz w:val="16"/>
                <w:szCs w:val="16"/>
              </w:rPr>
              <w:t>- ΕΤΠΑ</w:t>
            </w:r>
          </w:p>
        </w:tc>
        <w:tc>
          <w:tcPr>
            <w:tcW w:w="134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(1.608)</w:t>
            </w:r>
          </w:p>
        </w:tc>
        <w:tc>
          <w:tcPr>
            <w:tcW w:w="1307"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(1.160)</w:t>
            </w:r>
          </w:p>
        </w:tc>
        <w:tc>
          <w:tcPr>
            <w:tcW w:w="127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(1.315)</w:t>
            </w:r>
          </w:p>
        </w:tc>
      </w:tr>
      <w:tr w:rsidR="008F195D" w:rsidRPr="00AE1E60" w:rsidTr="00FF6C69">
        <w:trPr>
          <w:trHeight w:val="20"/>
          <w:jc w:val="center"/>
        </w:trPr>
        <w:tc>
          <w:tcPr>
            <w:tcW w:w="3976" w:type="dxa"/>
            <w:shd w:val="clear" w:color="auto" w:fill="auto"/>
            <w:hideMark/>
          </w:tcPr>
          <w:p w:rsidR="008F195D" w:rsidRPr="00AE1E60" w:rsidRDefault="008F195D" w:rsidP="00FF6C69">
            <w:pPr>
              <w:rPr>
                <w:rFonts w:ascii="Arial Narrow" w:hAnsi="Arial Narrow"/>
                <w:color w:val="000000"/>
                <w:sz w:val="16"/>
                <w:szCs w:val="16"/>
              </w:rPr>
            </w:pPr>
            <w:r w:rsidRPr="00AE1E60">
              <w:rPr>
                <w:rFonts w:ascii="Arial Narrow" w:hAnsi="Arial Narrow"/>
                <w:color w:val="000000"/>
                <w:sz w:val="16"/>
                <w:szCs w:val="16"/>
              </w:rPr>
              <w:t>- Ταμείο Συνοχής</w:t>
            </w:r>
          </w:p>
        </w:tc>
        <w:tc>
          <w:tcPr>
            <w:tcW w:w="1346" w:type="dxa"/>
            <w:shd w:val="clear" w:color="auto" w:fill="auto"/>
            <w:vAlign w:val="center"/>
            <w:hideMark/>
          </w:tcPr>
          <w:p w:rsidR="008F195D" w:rsidRPr="00691700" w:rsidRDefault="00A2265A" w:rsidP="008F195D">
            <w:pPr>
              <w:tabs>
                <w:tab w:val="decimal" w:pos="720"/>
              </w:tabs>
              <w:jc w:val="both"/>
              <w:outlineLvl w:val="1"/>
              <w:rPr>
                <w:rFonts w:ascii="Arial Narrow" w:hAnsi="Arial Narrow"/>
                <w:i/>
                <w:iCs/>
                <w:sz w:val="16"/>
                <w:szCs w:val="16"/>
              </w:rPr>
            </w:pPr>
            <w:r>
              <w:rPr>
                <w:rFonts w:ascii="Arial Narrow" w:hAnsi="Arial Narrow"/>
                <w:i/>
                <w:iCs/>
                <w:sz w:val="16"/>
                <w:szCs w:val="16"/>
              </w:rPr>
              <w:t>(315</w:t>
            </w:r>
            <w:r w:rsidR="008F195D" w:rsidRPr="00691700">
              <w:rPr>
                <w:rFonts w:ascii="Arial Narrow" w:hAnsi="Arial Narrow"/>
                <w:i/>
                <w:iCs/>
                <w:sz w:val="16"/>
                <w:szCs w:val="16"/>
              </w:rPr>
              <w:t>)</w:t>
            </w:r>
          </w:p>
        </w:tc>
        <w:tc>
          <w:tcPr>
            <w:tcW w:w="1307"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(544)</w:t>
            </w:r>
          </w:p>
        </w:tc>
        <w:tc>
          <w:tcPr>
            <w:tcW w:w="127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(692)</w:t>
            </w:r>
          </w:p>
        </w:tc>
      </w:tr>
      <w:tr w:rsidR="008F195D" w:rsidRPr="00AE1E60" w:rsidTr="00FF6C69">
        <w:trPr>
          <w:trHeight w:val="20"/>
          <w:jc w:val="center"/>
        </w:trPr>
        <w:tc>
          <w:tcPr>
            <w:tcW w:w="3976" w:type="dxa"/>
            <w:shd w:val="clear" w:color="auto" w:fill="auto"/>
            <w:hideMark/>
          </w:tcPr>
          <w:p w:rsidR="008F195D" w:rsidRPr="00AE1E60" w:rsidRDefault="008F195D" w:rsidP="00FF6C69">
            <w:pPr>
              <w:rPr>
                <w:rFonts w:ascii="Arial Narrow" w:hAnsi="Arial Narrow"/>
                <w:color w:val="000000"/>
                <w:sz w:val="16"/>
                <w:szCs w:val="16"/>
              </w:rPr>
            </w:pPr>
            <w:r w:rsidRPr="00AE1E60">
              <w:rPr>
                <w:rFonts w:ascii="Arial Narrow" w:hAnsi="Arial Narrow"/>
                <w:color w:val="000000"/>
                <w:sz w:val="16"/>
                <w:szCs w:val="16"/>
              </w:rPr>
              <w:t>- ΕΚΤ</w:t>
            </w:r>
          </w:p>
        </w:tc>
        <w:tc>
          <w:tcPr>
            <w:tcW w:w="134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(1.120)</w:t>
            </w:r>
          </w:p>
        </w:tc>
        <w:tc>
          <w:tcPr>
            <w:tcW w:w="1307"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(775)</w:t>
            </w:r>
          </w:p>
        </w:tc>
        <w:tc>
          <w:tcPr>
            <w:tcW w:w="127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(868)</w:t>
            </w:r>
          </w:p>
        </w:tc>
      </w:tr>
      <w:tr w:rsidR="008F195D" w:rsidRPr="00AE1E60" w:rsidTr="00FF6C69">
        <w:trPr>
          <w:trHeight w:val="20"/>
          <w:jc w:val="center"/>
        </w:trPr>
        <w:tc>
          <w:tcPr>
            <w:tcW w:w="3976" w:type="dxa"/>
            <w:shd w:val="clear" w:color="auto" w:fill="auto"/>
            <w:hideMark/>
          </w:tcPr>
          <w:p w:rsidR="008F195D" w:rsidRPr="00AE1E60" w:rsidRDefault="008F195D" w:rsidP="00FF6C69">
            <w:pPr>
              <w:rPr>
                <w:rFonts w:ascii="Arial Narrow" w:hAnsi="Arial Narrow"/>
                <w:color w:val="000000"/>
                <w:sz w:val="16"/>
                <w:szCs w:val="16"/>
              </w:rPr>
            </w:pPr>
            <w:r w:rsidRPr="00AE1E60">
              <w:rPr>
                <w:rFonts w:ascii="Arial Narrow" w:hAnsi="Arial Narrow"/>
                <w:color w:val="000000"/>
                <w:sz w:val="16"/>
                <w:szCs w:val="16"/>
              </w:rPr>
              <w:t xml:space="preserve">- Λοιπά </w:t>
            </w:r>
          </w:p>
        </w:tc>
        <w:tc>
          <w:tcPr>
            <w:tcW w:w="134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(69)</w:t>
            </w:r>
          </w:p>
        </w:tc>
        <w:tc>
          <w:tcPr>
            <w:tcW w:w="1307"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(53)</w:t>
            </w:r>
          </w:p>
        </w:tc>
        <w:tc>
          <w:tcPr>
            <w:tcW w:w="127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(66)</w:t>
            </w:r>
          </w:p>
        </w:tc>
      </w:tr>
      <w:tr w:rsidR="008F195D" w:rsidRPr="00AE1E60" w:rsidTr="00FF6C69">
        <w:trPr>
          <w:trHeight w:val="20"/>
          <w:jc w:val="center"/>
        </w:trPr>
        <w:tc>
          <w:tcPr>
            <w:tcW w:w="3976" w:type="dxa"/>
            <w:shd w:val="clear" w:color="auto" w:fill="auto"/>
            <w:hideMark/>
          </w:tcPr>
          <w:p w:rsidR="008F195D" w:rsidRPr="00AE1E60" w:rsidRDefault="008F195D" w:rsidP="00BA356E">
            <w:pPr>
              <w:rPr>
                <w:rFonts w:ascii="Arial Narrow" w:hAnsi="Arial Narrow"/>
                <w:color w:val="000000"/>
                <w:sz w:val="16"/>
                <w:szCs w:val="16"/>
              </w:rPr>
            </w:pPr>
            <w:r w:rsidRPr="00AE1E60">
              <w:rPr>
                <w:rFonts w:ascii="Arial Narrow" w:hAnsi="Arial Narrow"/>
                <w:color w:val="000000"/>
                <w:sz w:val="16"/>
                <w:szCs w:val="16"/>
              </w:rPr>
              <w:t xml:space="preserve">- </w:t>
            </w:r>
            <w:r w:rsidR="00BA356E">
              <w:rPr>
                <w:rFonts w:ascii="Arial Narrow" w:hAnsi="Arial Narrow"/>
                <w:color w:val="000000"/>
                <w:sz w:val="16"/>
                <w:szCs w:val="16"/>
              </w:rPr>
              <w:t>Μεταναστευτικά</w:t>
            </w:r>
          </w:p>
        </w:tc>
        <w:tc>
          <w:tcPr>
            <w:tcW w:w="134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(39)</w:t>
            </w:r>
          </w:p>
        </w:tc>
        <w:tc>
          <w:tcPr>
            <w:tcW w:w="1307"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(114)</w:t>
            </w:r>
          </w:p>
        </w:tc>
        <w:tc>
          <w:tcPr>
            <w:tcW w:w="127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(84)</w:t>
            </w:r>
          </w:p>
        </w:tc>
      </w:tr>
      <w:tr w:rsidR="008F195D" w:rsidRPr="00AE1E60" w:rsidTr="00FF6C69">
        <w:trPr>
          <w:trHeight w:val="20"/>
          <w:jc w:val="center"/>
        </w:trPr>
        <w:tc>
          <w:tcPr>
            <w:tcW w:w="3976" w:type="dxa"/>
            <w:shd w:val="clear" w:color="auto" w:fill="auto"/>
            <w:hideMark/>
          </w:tcPr>
          <w:p w:rsidR="008F195D" w:rsidRPr="00AE1E60" w:rsidRDefault="008F195D" w:rsidP="00BA356E">
            <w:pPr>
              <w:rPr>
                <w:rFonts w:ascii="Arial Narrow" w:hAnsi="Arial Narrow"/>
                <w:color w:val="000000"/>
                <w:sz w:val="16"/>
                <w:szCs w:val="16"/>
              </w:rPr>
            </w:pPr>
            <w:r w:rsidRPr="00AE1E60">
              <w:rPr>
                <w:rFonts w:ascii="Arial Narrow" w:hAnsi="Arial Narrow"/>
                <w:color w:val="000000"/>
                <w:sz w:val="16"/>
                <w:szCs w:val="16"/>
              </w:rPr>
              <w:t xml:space="preserve">- ΕΓΤΕ </w:t>
            </w:r>
          </w:p>
        </w:tc>
        <w:tc>
          <w:tcPr>
            <w:tcW w:w="134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(12)</w:t>
            </w:r>
          </w:p>
        </w:tc>
        <w:tc>
          <w:tcPr>
            <w:tcW w:w="1307"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(11)</w:t>
            </w:r>
          </w:p>
        </w:tc>
        <w:tc>
          <w:tcPr>
            <w:tcW w:w="127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(15)</w:t>
            </w:r>
          </w:p>
        </w:tc>
      </w:tr>
      <w:tr w:rsidR="008F195D" w:rsidRPr="00AE1E60" w:rsidTr="00FF6C69">
        <w:trPr>
          <w:trHeight w:val="20"/>
          <w:jc w:val="center"/>
        </w:trPr>
        <w:tc>
          <w:tcPr>
            <w:tcW w:w="3976" w:type="dxa"/>
            <w:shd w:val="clear" w:color="auto" w:fill="auto"/>
            <w:hideMark/>
          </w:tcPr>
          <w:p w:rsidR="008F195D" w:rsidRPr="00AE1E60" w:rsidRDefault="008F195D" w:rsidP="00BA356E">
            <w:pPr>
              <w:rPr>
                <w:rFonts w:ascii="Arial Narrow" w:hAnsi="Arial Narrow"/>
                <w:color w:val="000000"/>
                <w:sz w:val="16"/>
                <w:szCs w:val="16"/>
              </w:rPr>
            </w:pPr>
            <w:r>
              <w:rPr>
                <w:rFonts w:ascii="Arial Narrow" w:hAnsi="Arial Narrow"/>
                <w:color w:val="000000"/>
                <w:sz w:val="16"/>
                <w:szCs w:val="16"/>
              </w:rPr>
              <w:t xml:space="preserve">- ΕΓΤΑΑ </w:t>
            </w:r>
            <w:r w:rsidR="00BA356E">
              <w:rPr>
                <w:rFonts w:ascii="Arial Narrow" w:hAnsi="Arial Narrow"/>
                <w:color w:val="000000"/>
                <w:sz w:val="16"/>
                <w:szCs w:val="16"/>
              </w:rPr>
              <w:t>2014-2020</w:t>
            </w:r>
          </w:p>
        </w:tc>
        <w:tc>
          <w:tcPr>
            <w:tcW w:w="134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(675)</w:t>
            </w:r>
          </w:p>
        </w:tc>
        <w:tc>
          <w:tcPr>
            <w:tcW w:w="1307"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(509)</w:t>
            </w:r>
          </w:p>
        </w:tc>
        <w:tc>
          <w:tcPr>
            <w:tcW w:w="127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(500)</w:t>
            </w:r>
          </w:p>
        </w:tc>
      </w:tr>
      <w:tr w:rsidR="008F195D" w:rsidRPr="00AE1E60" w:rsidTr="00FF6C69">
        <w:trPr>
          <w:trHeight w:val="20"/>
          <w:jc w:val="center"/>
        </w:trPr>
        <w:tc>
          <w:tcPr>
            <w:tcW w:w="3976" w:type="dxa"/>
            <w:shd w:val="clear" w:color="auto" w:fill="auto"/>
            <w:hideMark/>
          </w:tcPr>
          <w:p w:rsidR="008F195D" w:rsidRPr="00AE1E60" w:rsidRDefault="008F195D" w:rsidP="00BA356E">
            <w:pPr>
              <w:rPr>
                <w:rFonts w:ascii="Arial Narrow" w:hAnsi="Arial Narrow"/>
                <w:color w:val="000000"/>
                <w:sz w:val="16"/>
                <w:szCs w:val="16"/>
              </w:rPr>
            </w:pPr>
            <w:r w:rsidRPr="00AE1E60">
              <w:rPr>
                <w:rFonts w:ascii="Arial Narrow" w:hAnsi="Arial Narrow"/>
                <w:color w:val="000000"/>
                <w:sz w:val="16"/>
                <w:szCs w:val="16"/>
              </w:rPr>
              <w:t>- ΕΤΘΑ και ΧΜΠΑ</w:t>
            </w:r>
          </w:p>
        </w:tc>
        <w:tc>
          <w:tcPr>
            <w:tcW w:w="134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(24)</w:t>
            </w:r>
          </w:p>
        </w:tc>
        <w:tc>
          <w:tcPr>
            <w:tcW w:w="1307"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(12)</w:t>
            </w:r>
          </w:p>
        </w:tc>
        <w:tc>
          <w:tcPr>
            <w:tcW w:w="1276" w:type="dxa"/>
            <w:shd w:val="clear" w:color="auto" w:fill="auto"/>
            <w:vAlign w:val="center"/>
            <w:hideMark/>
          </w:tcPr>
          <w:p w:rsidR="008F195D" w:rsidRPr="00691700" w:rsidRDefault="008F195D" w:rsidP="008F195D">
            <w:pPr>
              <w:tabs>
                <w:tab w:val="decimal" w:pos="720"/>
              </w:tabs>
              <w:jc w:val="both"/>
              <w:outlineLvl w:val="1"/>
              <w:rPr>
                <w:rFonts w:ascii="Arial Narrow" w:hAnsi="Arial Narrow"/>
                <w:i/>
                <w:iCs/>
                <w:sz w:val="16"/>
                <w:szCs w:val="16"/>
              </w:rPr>
            </w:pPr>
            <w:r w:rsidRPr="00691700">
              <w:rPr>
                <w:rFonts w:ascii="Arial Narrow" w:hAnsi="Arial Narrow"/>
                <w:i/>
                <w:iCs/>
                <w:sz w:val="16"/>
                <w:szCs w:val="16"/>
              </w:rPr>
              <w:t>(15)</w:t>
            </w:r>
          </w:p>
        </w:tc>
      </w:tr>
      <w:tr w:rsidR="008F195D" w:rsidRPr="00AE1E60" w:rsidTr="00FF6C69">
        <w:trPr>
          <w:trHeight w:val="20"/>
          <w:jc w:val="center"/>
        </w:trPr>
        <w:tc>
          <w:tcPr>
            <w:tcW w:w="3976" w:type="dxa"/>
            <w:shd w:val="clear" w:color="auto" w:fill="auto"/>
            <w:hideMark/>
          </w:tcPr>
          <w:p w:rsidR="008F195D" w:rsidRPr="00AE1E60" w:rsidRDefault="008F195D" w:rsidP="00FF6C69">
            <w:pPr>
              <w:rPr>
                <w:rFonts w:ascii="Arial Narrow" w:hAnsi="Arial Narrow"/>
                <w:color w:val="000000"/>
                <w:sz w:val="16"/>
                <w:szCs w:val="16"/>
              </w:rPr>
            </w:pPr>
            <w:r w:rsidRPr="00AE1E60">
              <w:rPr>
                <w:rFonts w:ascii="Arial Narrow" w:hAnsi="Arial Narrow"/>
                <w:color w:val="000000"/>
                <w:sz w:val="16"/>
                <w:szCs w:val="16"/>
              </w:rPr>
              <w:t> </w:t>
            </w:r>
          </w:p>
        </w:tc>
        <w:tc>
          <w:tcPr>
            <w:tcW w:w="1346" w:type="dxa"/>
            <w:shd w:val="clear" w:color="auto" w:fill="auto"/>
            <w:vAlign w:val="center"/>
            <w:hideMark/>
          </w:tcPr>
          <w:p w:rsidR="008F195D" w:rsidRPr="00691700" w:rsidRDefault="008F195D" w:rsidP="008F195D">
            <w:pPr>
              <w:tabs>
                <w:tab w:val="decimal" w:pos="720"/>
              </w:tabs>
              <w:jc w:val="both"/>
              <w:outlineLvl w:val="1"/>
              <w:rPr>
                <w:rFonts w:ascii="Calibri" w:hAnsi="Calibri"/>
                <w:szCs w:val="22"/>
              </w:rPr>
            </w:pPr>
          </w:p>
        </w:tc>
        <w:tc>
          <w:tcPr>
            <w:tcW w:w="1307" w:type="dxa"/>
            <w:shd w:val="clear" w:color="auto" w:fill="auto"/>
            <w:vAlign w:val="center"/>
            <w:hideMark/>
          </w:tcPr>
          <w:p w:rsidR="008F195D" w:rsidRPr="00691700" w:rsidRDefault="008F195D" w:rsidP="008F195D">
            <w:pPr>
              <w:tabs>
                <w:tab w:val="decimal" w:pos="720"/>
              </w:tabs>
              <w:jc w:val="both"/>
              <w:outlineLvl w:val="1"/>
              <w:rPr>
                <w:rFonts w:ascii="Calibri" w:hAnsi="Calibri"/>
                <w:szCs w:val="22"/>
              </w:rPr>
            </w:pPr>
          </w:p>
        </w:tc>
        <w:tc>
          <w:tcPr>
            <w:tcW w:w="1276" w:type="dxa"/>
            <w:shd w:val="clear" w:color="auto" w:fill="auto"/>
            <w:vAlign w:val="center"/>
            <w:hideMark/>
          </w:tcPr>
          <w:p w:rsidR="008F195D" w:rsidRPr="00691700" w:rsidRDefault="008F195D" w:rsidP="008F195D">
            <w:pPr>
              <w:tabs>
                <w:tab w:val="decimal" w:pos="720"/>
              </w:tabs>
              <w:jc w:val="both"/>
              <w:outlineLvl w:val="1"/>
              <w:rPr>
                <w:rFonts w:ascii="Calibri" w:hAnsi="Calibri"/>
                <w:szCs w:val="22"/>
              </w:rPr>
            </w:pPr>
            <w:r w:rsidRPr="00691700">
              <w:rPr>
                <w:rFonts w:ascii="Calibri" w:hAnsi="Calibri"/>
                <w:szCs w:val="22"/>
              </w:rPr>
              <w:t> </w:t>
            </w:r>
          </w:p>
        </w:tc>
      </w:tr>
      <w:tr w:rsidR="008F195D" w:rsidRPr="00AE1E60" w:rsidTr="00FF6C69">
        <w:trPr>
          <w:trHeight w:val="20"/>
          <w:jc w:val="center"/>
        </w:trPr>
        <w:tc>
          <w:tcPr>
            <w:tcW w:w="3976" w:type="dxa"/>
            <w:shd w:val="clear" w:color="auto" w:fill="BFBFBF" w:themeFill="background1" w:themeFillShade="BF"/>
            <w:hideMark/>
          </w:tcPr>
          <w:p w:rsidR="008F195D" w:rsidRPr="00AE1E60" w:rsidRDefault="008F195D" w:rsidP="00FF6C69">
            <w:pPr>
              <w:rPr>
                <w:rFonts w:ascii="Arial Narrow" w:hAnsi="Arial Narrow"/>
                <w:b/>
                <w:bCs/>
                <w:color w:val="000000"/>
                <w:sz w:val="16"/>
                <w:szCs w:val="16"/>
              </w:rPr>
            </w:pPr>
            <w:r w:rsidRPr="00AE1E60">
              <w:rPr>
                <w:rFonts w:ascii="Arial Narrow" w:hAnsi="Arial Narrow"/>
                <w:b/>
                <w:bCs/>
                <w:color w:val="000000"/>
                <w:sz w:val="16"/>
                <w:szCs w:val="16"/>
              </w:rPr>
              <w:t>Πιστωτικά έσοδα και αύξηση στοιχείων ενεργητικού</w:t>
            </w:r>
          </w:p>
        </w:tc>
        <w:tc>
          <w:tcPr>
            <w:tcW w:w="1346" w:type="dxa"/>
            <w:shd w:val="clear" w:color="auto" w:fill="BFBFBF" w:themeFill="background1" w:themeFillShade="BF"/>
            <w:vAlign w:val="center"/>
            <w:hideMark/>
          </w:tcPr>
          <w:p w:rsidR="008F195D" w:rsidRPr="00691700" w:rsidRDefault="008F195D" w:rsidP="008F195D">
            <w:pPr>
              <w:tabs>
                <w:tab w:val="decimal" w:pos="720"/>
              </w:tabs>
              <w:jc w:val="both"/>
              <w:rPr>
                <w:rFonts w:ascii="Arial Narrow" w:hAnsi="Arial Narrow"/>
                <w:b/>
                <w:bCs/>
                <w:sz w:val="16"/>
                <w:szCs w:val="16"/>
              </w:rPr>
            </w:pPr>
            <w:r w:rsidRPr="00691700">
              <w:rPr>
                <w:rFonts w:ascii="Arial Narrow" w:hAnsi="Arial Narrow"/>
                <w:b/>
                <w:bCs/>
                <w:sz w:val="16"/>
                <w:szCs w:val="16"/>
              </w:rPr>
              <w:t>2.1</w:t>
            </w:r>
            <w:r w:rsidR="00934943">
              <w:rPr>
                <w:rFonts w:ascii="Arial Narrow" w:hAnsi="Arial Narrow"/>
                <w:b/>
                <w:bCs/>
                <w:sz w:val="16"/>
                <w:szCs w:val="16"/>
              </w:rPr>
              <w:t>16</w:t>
            </w:r>
          </w:p>
        </w:tc>
        <w:tc>
          <w:tcPr>
            <w:tcW w:w="1307" w:type="dxa"/>
            <w:shd w:val="clear" w:color="auto" w:fill="BFBFBF" w:themeFill="background1" w:themeFillShade="BF"/>
            <w:vAlign w:val="center"/>
            <w:hideMark/>
          </w:tcPr>
          <w:p w:rsidR="008F195D" w:rsidRPr="00691700" w:rsidRDefault="008F195D" w:rsidP="008F195D">
            <w:pPr>
              <w:tabs>
                <w:tab w:val="decimal" w:pos="720"/>
              </w:tabs>
              <w:jc w:val="both"/>
              <w:rPr>
                <w:rFonts w:ascii="Arial Narrow" w:hAnsi="Arial Narrow"/>
                <w:b/>
                <w:bCs/>
                <w:sz w:val="16"/>
                <w:szCs w:val="16"/>
              </w:rPr>
            </w:pPr>
            <w:r w:rsidRPr="00691700">
              <w:rPr>
                <w:rFonts w:ascii="Arial Narrow" w:hAnsi="Arial Narrow"/>
                <w:b/>
                <w:bCs/>
                <w:sz w:val="16"/>
                <w:szCs w:val="16"/>
              </w:rPr>
              <w:t>3.323</w:t>
            </w:r>
          </w:p>
        </w:tc>
        <w:tc>
          <w:tcPr>
            <w:tcW w:w="1276" w:type="dxa"/>
            <w:shd w:val="clear" w:color="auto" w:fill="BFBFBF" w:themeFill="background1" w:themeFillShade="BF"/>
            <w:vAlign w:val="center"/>
            <w:hideMark/>
          </w:tcPr>
          <w:p w:rsidR="008F195D" w:rsidRPr="00691700" w:rsidRDefault="008F195D" w:rsidP="008F195D">
            <w:pPr>
              <w:tabs>
                <w:tab w:val="decimal" w:pos="720"/>
              </w:tabs>
              <w:jc w:val="both"/>
              <w:rPr>
                <w:rFonts w:ascii="Arial Narrow" w:hAnsi="Arial Narrow"/>
                <w:b/>
                <w:bCs/>
                <w:sz w:val="16"/>
                <w:szCs w:val="16"/>
              </w:rPr>
            </w:pPr>
            <w:r w:rsidRPr="00691700">
              <w:rPr>
                <w:rFonts w:ascii="Arial Narrow" w:hAnsi="Arial Narrow"/>
                <w:b/>
                <w:bCs/>
                <w:sz w:val="16"/>
                <w:szCs w:val="16"/>
              </w:rPr>
              <w:t>3.015</w:t>
            </w:r>
          </w:p>
        </w:tc>
      </w:tr>
      <w:tr w:rsidR="008F195D" w:rsidRPr="004F26BD" w:rsidTr="00FF6C69">
        <w:trPr>
          <w:trHeight w:val="20"/>
          <w:jc w:val="center"/>
        </w:trPr>
        <w:tc>
          <w:tcPr>
            <w:tcW w:w="3976" w:type="dxa"/>
            <w:shd w:val="clear" w:color="auto" w:fill="auto"/>
            <w:hideMark/>
          </w:tcPr>
          <w:p w:rsidR="008F195D" w:rsidRPr="004F26BD" w:rsidRDefault="008F195D" w:rsidP="00FF6C69">
            <w:pPr>
              <w:jc w:val="both"/>
              <w:rPr>
                <w:rFonts w:ascii="Arial Narrow" w:hAnsi="Arial Narrow"/>
                <w:color w:val="000000"/>
                <w:sz w:val="12"/>
                <w:szCs w:val="16"/>
              </w:rPr>
            </w:pPr>
            <w:r w:rsidRPr="004F26BD">
              <w:rPr>
                <w:rFonts w:ascii="Arial Narrow" w:hAnsi="Arial Narrow"/>
                <w:color w:val="000000"/>
                <w:sz w:val="12"/>
                <w:szCs w:val="16"/>
              </w:rPr>
              <w:t> </w:t>
            </w:r>
          </w:p>
        </w:tc>
        <w:tc>
          <w:tcPr>
            <w:tcW w:w="1346" w:type="dxa"/>
            <w:shd w:val="clear" w:color="auto" w:fill="auto"/>
            <w:vAlign w:val="center"/>
            <w:hideMark/>
          </w:tcPr>
          <w:p w:rsidR="008F195D" w:rsidRPr="004F26BD" w:rsidRDefault="008F195D" w:rsidP="008F195D">
            <w:pPr>
              <w:tabs>
                <w:tab w:val="decimal" w:pos="720"/>
              </w:tabs>
              <w:jc w:val="both"/>
              <w:rPr>
                <w:rFonts w:ascii="Calibri" w:hAnsi="Calibri"/>
                <w:sz w:val="12"/>
                <w:szCs w:val="22"/>
              </w:rPr>
            </w:pPr>
          </w:p>
        </w:tc>
        <w:tc>
          <w:tcPr>
            <w:tcW w:w="1307" w:type="dxa"/>
            <w:shd w:val="clear" w:color="auto" w:fill="auto"/>
            <w:vAlign w:val="center"/>
            <w:hideMark/>
          </w:tcPr>
          <w:p w:rsidR="008F195D" w:rsidRPr="004F26BD" w:rsidRDefault="008F195D" w:rsidP="008F195D">
            <w:pPr>
              <w:tabs>
                <w:tab w:val="decimal" w:pos="720"/>
              </w:tabs>
              <w:jc w:val="both"/>
              <w:rPr>
                <w:rFonts w:ascii="Calibri" w:hAnsi="Calibri"/>
                <w:sz w:val="12"/>
                <w:szCs w:val="22"/>
              </w:rPr>
            </w:pPr>
          </w:p>
        </w:tc>
        <w:tc>
          <w:tcPr>
            <w:tcW w:w="1276" w:type="dxa"/>
            <w:shd w:val="clear" w:color="auto" w:fill="auto"/>
            <w:vAlign w:val="center"/>
            <w:hideMark/>
          </w:tcPr>
          <w:p w:rsidR="008F195D" w:rsidRPr="004F26BD" w:rsidRDefault="008F195D" w:rsidP="008F195D">
            <w:pPr>
              <w:tabs>
                <w:tab w:val="decimal" w:pos="720"/>
              </w:tabs>
              <w:jc w:val="both"/>
              <w:rPr>
                <w:rFonts w:ascii="Calibri" w:hAnsi="Calibri"/>
                <w:sz w:val="12"/>
                <w:szCs w:val="22"/>
              </w:rPr>
            </w:pPr>
            <w:r w:rsidRPr="004F26BD">
              <w:rPr>
                <w:rFonts w:ascii="Calibri" w:hAnsi="Calibri"/>
                <w:sz w:val="12"/>
                <w:szCs w:val="22"/>
              </w:rPr>
              <w:t> </w:t>
            </w:r>
          </w:p>
        </w:tc>
      </w:tr>
      <w:tr w:rsidR="008F195D" w:rsidRPr="00AE1E60" w:rsidTr="00FF6C69">
        <w:trPr>
          <w:trHeight w:val="20"/>
          <w:jc w:val="center"/>
        </w:trPr>
        <w:tc>
          <w:tcPr>
            <w:tcW w:w="3976" w:type="dxa"/>
            <w:shd w:val="clear" w:color="auto" w:fill="BFBFBF" w:themeFill="background1" w:themeFillShade="BF"/>
            <w:hideMark/>
          </w:tcPr>
          <w:p w:rsidR="008F195D" w:rsidRPr="00AE1E60" w:rsidRDefault="008F195D" w:rsidP="00FF6C69">
            <w:pPr>
              <w:rPr>
                <w:rFonts w:ascii="Arial Narrow" w:hAnsi="Arial Narrow"/>
                <w:b/>
                <w:bCs/>
                <w:color w:val="000000"/>
                <w:sz w:val="16"/>
                <w:szCs w:val="16"/>
              </w:rPr>
            </w:pPr>
            <w:r w:rsidRPr="00AE1E60">
              <w:rPr>
                <w:rFonts w:ascii="Arial Narrow" w:hAnsi="Arial Narrow"/>
                <w:b/>
                <w:bCs/>
                <w:color w:val="000000"/>
                <w:sz w:val="16"/>
                <w:szCs w:val="16"/>
              </w:rPr>
              <w:t>Σύνολο</w:t>
            </w:r>
          </w:p>
        </w:tc>
        <w:tc>
          <w:tcPr>
            <w:tcW w:w="1346" w:type="dxa"/>
            <w:shd w:val="clear" w:color="auto" w:fill="BFBFBF" w:themeFill="background1" w:themeFillShade="BF"/>
            <w:vAlign w:val="center"/>
            <w:hideMark/>
          </w:tcPr>
          <w:p w:rsidR="008F195D" w:rsidRPr="00691700" w:rsidRDefault="008F195D" w:rsidP="008F195D">
            <w:pPr>
              <w:tabs>
                <w:tab w:val="decimal" w:pos="720"/>
              </w:tabs>
              <w:jc w:val="both"/>
              <w:rPr>
                <w:rFonts w:ascii="Arial Narrow" w:hAnsi="Arial Narrow"/>
                <w:b/>
                <w:bCs/>
                <w:sz w:val="16"/>
                <w:szCs w:val="16"/>
              </w:rPr>
            </w:pPr>
            <w:r w:rsidRPr="00691700">
              <w:rPr>
                <w:rFonts w:ascii="Arial Narrow" w:hAnsi="Arial Narrow"/>
                <w:b/>
                <w:bCs/>
                <w:sz w:val="16"/>
                <w:szCs w:val="16"/>
              </w:rPr>
              <w:t>6.288</w:t>
            </w:r>
          </w:p>
        </w:tc>
        <w:tc>
          <w:tcPr>
            <w:tcW w:w="1307" w:type="dxa"/>
            <w:shd w:val="clear" w:color="auto" w:fill="BFBFBF" w:themeFill="background1" w:themeFillShade="BF"/>
            <w:vAlign w:val="center"/>
            <w:hideMark/>
          </w:tcPr>
          <w:p w:rsidR="008F195D" w:rsidRPr="00691700" w:rsidRDefault="008F195D" w:rsidP="008F195D">
            <w:pPr>
              <w:tabs>
                <w:tab w:val="decimal" w:pos="720"/>
              </w:tabs>
              <w:jc w:val="both"/>
              <w:rPr>
                <w:rFonts w:ascii="Arial Narrow" w:hAnsi="Arial Narrow"/>
                <w:b/>
                <w:bCs/>
                <w:sz w:val="16"/>
                <w:szCs w:val="16"/>
              </w:rPr>
            </w:pPr>
            <w:r w:rsidRPr="00691700">
              <w:rPr>
                <w:rFonts w:ascii="Arial Narrow" w:hAnsi="Arial Narrow"/>
                <w:b/>
                <w:bCs/>
                <w:sz w:val="16"/>
                <w:szCs w:val="16"/>
              </w:rPr>
              <w:t>6.750</w:t>
            </w:r>
          </w:p>
        </w:tc>
        <w:tc>
          <w:tcPr>
            <w:tcW w:w="1276" w:type="dxa"/>
            <w:shd w:val="clear" w:color="auto" w:fill="BFBFBF" w:themeFill="background1" w:themeFillShade="BF"/>
            <w:vAlign w:val="center"/>
            <w:hideMark/>
          </w:tcPr>
          <w:p w:rsidR="008F195D" w:rsidRPr="00691700" w:rsidRDefault="008F195D" w:rsidP="008F195D">
            <w:pPr>
              <w:tabs>
                <w:tab w:val="decimal" w:pos="720"/>
              </w:tabs>
              <w:jc w:val="both"/>
              <w:rPr>
                <w:rFonts w:ascii="Arial Narrow" w:hAnsi="Arial Narrow"/>
                <w:b/>
                <w:bCs/>
                <w:sz w:val="16"/>
                <w:szCs w:val="16"/>
              </w:rPr>
            </w:pPr>
            <w:r w:rsidRPr="00691700">
              <w:rPr>
                <w:rFonts w:ascii="Arial Narrow" w:hAnsi="Arial Narrow"/>
                <w:b/>
                <w:bCs/>
                <w:sz w:val="16"/>
                <w:szCs w:val="16"/>
              </w:rPr>
              <w:t>6.750</w:t>
            </w:r>
          </w:p>
        </w:tc>
      </w:tr>
    </w:tbl>
    <w:p w:rsidR="008F195D" w:rsidRDefault="008F195D" w:rsidP="008F195D">
      <w:pPr>
        <w:tabs>
          <w:tab w:val="left" w:pos="720"/>
        </w:tabs>
        <w:ind w:left="720" w:right="707" w:hanging="720"/>
        <w:jc w:val="both"/>
        <w:rPr>
          <w:rFonts w:ascii="Arial Narrow" w:hAnsi="Arial Narrow"/>
          <w:sz w:val="16"/>
          <w:szCs w:val="16"/>
        </w:rPr>
      </w:pPr>
      <w:r>
        <w:rPr>
          <w:rFonts w:ascii="Arial Narrow" w:hAnsi="Arial Narrow"/>
          <w:iCs/>
          <w:color w:val="000000"/>
          <w:sz w:val="16"/>
          <w:szCs w:val="16"/>
        </w:rPr>
        <w:tab/>
      </w:r>
      <w:r w:rsidRPr="00E67F0E">
        <w:rPr>
          <w:rFonts w:ascii="Arial Narrow" w:hAnsi="Arial Narrow"/>
          <w:iCs/>
          <w:color w:val="000000"/>
          <w:sz w:val="16"/>
          <w:szCs w:val="16"/>
        </w:rPr>
        <w:t xml:space="preserve">Πηγές: ΓΛΚ, </w:t>
      </w:r>
      <w:r>
        <w:rPr>
          <w:rFonts w:ascii="Arial Narrow" w:hAnsi="Arial Narrow"/>
          <w:iCs/>
          <w:color w:val="000000"/>
          <w:sz w:val="16"/>
          <w:szCs w:val="16"/>
        </w:rPr>
        <w:t>Υπεύθυνες Αρχές Πιστοποίησης και Πληρωμής ΕΠ, Διεύθυνση Δημοσίων Επενδύσεων, Υπουργείο Οικονομίας και Ανάπτυξης.</w:t>
      </w:r>
    </w:p>
    <w:p w:rsidR="008F195D" w:rsidRDefault="008F195D">
      <w:pPr>
        <w:rPr>
          <w:rFonts w:ascii="Arial Narrow" w:hAnsi="Arial Narrow"/>
          <w:sz w:val="16"/>
          <w:szCs w:val="16"/>
        </w:rPr>
      </w:pPr>
      <w:r>
        <w:rPr>
          <w:rFonts w:ascii="Arial Narrow" w:hAnsi="Arial Narrow"/>
          <w:sz w:val="16"/>
          <w:szCs w:val="16"/>
        </w:rPr>
        <w:br w:type="page"/>
      </w:r>
    </w:p>
    <w:p w:rsidR="008F195D" w:rsidRDefault="008F195D" w:rsidP="0028079A">
      <w:pPr>
        <w:tabs>
          <w:tab w:val="left" w:pos="720"/>
        </w:tabs>
        <w:jc w:val="both"/>
        <w:rPr>
          <w:rFonts w:ascii="Arial Narrow" w:hAnsi="Arial Narrow"/>
          <w:sz w:val="16"/>
          <w:szCs w:val="16"/>
        </w:rPr>
      </w:pPr>
    </w:p>
    <w:p w:rsidR="0028079A" w:rsidRPr="001F4FAB" w:rsidRDefault="0028079A" w:rsidP="0028079A">
      <w:pPr>
        <w:tabs>
          <w:tab w:val="left" w:pos="720"/>
        </w:tabs>
        <w:ind w:left="360"/>
        <w:jc w:val="both"/>
        <w:rPr>
          <w:rFonts w:ascii="Arial Narrow" w:hAnsi="Arial Narrow"/>
          <w:sz w:val="16"/>
          <w:szCs w:val="16"/>
        </w:rPr>
      </w:pPr>
    </w:p>
    <w:p w:rsidR="0028079A" w:rsidRPr="00221A99" w:rsidRDefault="0028079A" w:rsidP="0028079A">
      <w:pPr>
        <w:shd w:val="clear" w:color="auto" w:fill="A6A6A6"/>
        <w:spacing w:line="235" w:lineRule="auto"/>
        <w:rPr>
          <w:rFonts w:ascii="Arial Narrow" w:hAnsi="Arial Narrow"/>
          <w:b/>
          <w:szCs w:val="26"/>
        </w:rPr>
      </w:pPr>
      <w:r>
        <w:rPr>
          <w:rFonts w:ascii="Arial Narrow" w:hAnsi="Arial Narrow"/>
          <w:b/>
          <w:szCs w:val="26"/>
        </w:rPr>
        <w:t>3.4</w:t>
      </w:r>
      <w:r w:rsidRPr="00221A99">
        <w:rPr>
          <w:rFonts w:ascii="Arial Narrow" w:hAnsi="Arial Narrow"/>
          <w:b/>
          <w:szCs w:val="26"/>
        </w:rPr>
        <w:tab/>
      </w:r>
      <w:r>
        <w:rPr>
          <w:rFonts w:ascii="Arial Narrow" w:hAnsi="Arial Narrow"/>
          <w:b/>
          <w:szCs w:val="26"/>
        </w:rPr>
        <w:t>Χρηματοδοτικές ανάγ</w:t>
      </w:r>
      <w:r w:rsidR="00FB275C">
        <w:rPr>
          <w:rFonts w:ascii="Arial Narrow" w:hAnsi="Arial Narrow"/>
          <w:b/>
          <w:szCs w:val="26"/>
        </w:rPr>
        <w:t>κες Κρατικού Προϋπολογισμού 2018</w:t>
      </w:r>
    </w:p>
    <w:p w:rsidR="0028079A" w:rsidRDefault="0028079A" w:rsidP="0028079A">
      <w:pPr>
        <w:rPr>
          <w:sz w:val="22"/>
          <w:szCs w:val="22"/>
        </w:rPr>
      </w:pPr>
      <w:r>
        <w:rPr>
          <w:sz w:val="22"/>
          <w:szCs w:val="22"/>
        </w:rPr>
        <w:t xml:space="preserve"> </w:t>
      </w:r>
    </w:p>
    <w:p w:rsidR="002B2F9D" w:rsidRPr="00FE5025" w:rsidRDefault="002B2F9D" w:rsidP="0028079A">
      <w:pPr>
        <w:rPr>
          <w:sz w:val="22"/>
          <w:szCs w:val="22"/>
        </w:rPr>
      </w:pPr>
    </w:p>
    <w:p w:rsidR="0028079A" w:rsidRPr="002B2F9D" w:rsidRDefault="00185230" w:rsidP="0028079A">
      <w:pPr>
        <w:jc w:val="both"/>
        <w:rPr>
          <w:strike/>
          <w:sz w:val="22"/>
        </w:rPr>
      </w:pPr>
      <w:r>
        <w:rPr>
          <w:sz w:val="22"/>
        </w:rPr>
        <w:t>Στον πίνακα 3.14</w:t>
      </w:r>
      <w:r w:rsidR="002B2F9D">
        <w:rPr>
          <w:sz w:val="22"/>
        </w:rPr>
        <w:t xml:space="preserve"> εμφανίζονται οι ταμειακές χρηματοδοτικές ανάγκες του Κρατικού Προϋπολογισμού 2018, οι οποίες προβλέπεται να φθάσουν στα 1.055 εκατ. ευρώ.  Αν ληφθεί υπόψη η χρηματοδότηση από τον ΕΜΣ για την εξόφληση των ληξιπρόθεσμων οφειλών των φορέων της Γενικής Κυβέρνησης σε τρίτους και η πώληση μετοχών, τότε ο καθαρός δανεισμός του Κρατικού Προϋπολογισμού θα δι</w:t>
      </w:r>
      <w:r w:rsidR="002B2F9D">
        <w:rPr>
          <w:sz w:val="22"/>
        </w:rPr>
        <w:t>α</w:t>
      </w:r>
      <w:r w:rsidR="002B2F9D">
        <w:rPr>
          <w:sz w:val="22"/>
        </w:rPr>
        <w:t>μορφωθεί στα 873 εκατ. ευρώ.</w:t>
      </w:r>
    </w:p>
    <w:p w:rsidR="0028079A" w:rsidRPr="0028079A" w:rsidRDefault="0028079A" w:rsidP="0028079A">
      <w:pPr>
        <w:rPr>
          <w:strike/>
          <w:sz w:val="22"/>
        </w:rPr>
      </w:pPr>
    </w:p>
    <w:p w:rsidR="0028079A" w:rsidRPr="001830EF" w:rsidRDefault="0028079A" w:rsidP="0028079A">
      <w:pPr>
        <w:rPr>
          <w:sz w:val="22"/>
        </w:rPr>
      </w:pPr>
    </w:p>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2411"/>
      </w:tblGrid>
      <w:tr w:rsidR="00313AE7" w:rsidRPr="001830EF" w:rsidTr="003237FC">
        <w:trPr>
          <w:cantSplit/>
          <w:trHeight w:val="610"/>
          <w:jc w:val="center"/>
        </w:trPr>
        <w:tc>
          <w:tcPr>
            <w:tcW w:w="7042" w:type="dxa"/>
            <w:gridSpan w:val="2"/>
            <w:tcBorders>
              <w:bottom w:val="nil"/>
            </w:tcBorders>
            <w:shd w:val="clear" w:color="auto" w:fill="404040"/>
            <w:vAlign w:val="center"/>
          </w:tcPr>
          <w:p w:rsidR="00313AE7" w:rsidRPr="001830EF" w:rsidRDefault="00313AE7" w:rsidP="003237FC">
            <w:pPr>
              <w:keepNext/>
              <w:spacing w:before="120"/>
              <w:jc w:val="center"/>
              <w:outlineLvl w:val="3"/>
              <w:rPr>
                <w:rFonts w:ascii="Arial Narrow" w:hAnsi="Arial Narrow"/>
                <w:b/>
                <w:color w:val="FFFFFF"/>
                <w:szCs w:val="20"/>
              </w:rPr>
            </w:pPr>
            <w:r w:rsidRPr="001830EF">
              <w:rPr>
                <w:sz w:val="22"/>
              </w:rPr>
              <w:br w:type="page"/>
            </w:r>
            <w:r w:rsidR="00185230">
              <w:rPr>
                <w:rFonts w:ascii="Arial Narrow" w:hAnsi="Arial Narrow"/>
                <w:b/>
                <w:color w:val="FFFFFF"/>
                <w:szCs w:val="20"/>
              </w:rPr>
              <w:t>Πίνακας 3.14</w:t>
            </w:r>
            <w:r w:rsidRPr="001830EF">
              <w:rPr>
                <w:rFonts w:ascii="Arial Narrow" w:hAnsi="Arial Narrow"/>
                <w:b/>
                <w:color w:val="FFFFFF"/>
                <w:szCs w:val="20"/>
              </w:rPr>
              <w:t xml:space="preserve">  Χρηματοδοτικές ανάγκες Κρατικού Προϋπολογισμού 201</w:t>
            </w:r>
            <w:r w:rsidR="003633F4">
              <w:rPr>
                <w:rFonts w:ascii="Arial Narrow" w:hAnsi="Arial Narrow"/>
                <w:b/>
                <w:color w:val="FFFFFF"/>
                <w:szCs w:val="20"/>
              </w:rPr>
              <w:t>8</w:t>
            </w:r>
          </w:p>
          <w:p w:rsidR="00313AE7" w:rsidRPr="001830EF" w:rsidRDefault="00313AE7" w:rsidP="003237FC">
            <w:pPr>
              <w:spacing w:after="120"/>
              <w:jc w:val="center"/>
              <w:rPr>
                <w:rFonts w:ascii="Arial Narrow" w:hAnsi="Arial Narrow"/>
                <w:b/>
                <w:color w:val="FFFFFF"/>
                <w:szCs w:val="20"/>
              </w:rPr>
            </w:pPr>
            <w:r w:rsidRPr="001830EF">
              <w:rPr>
                <w:rFonts w:ascii="Arial Narrow" w:hAnsi="Arial Narrow"/>
                <w:b/>
                <w:color w:val="FFFFFF"/>
                <w:szCs w:val="20"/>
              </w:rPr>
              <w:t>(σε εκατ. ευρώ)</w:t>
            </w:r>
          </w:p>
        </w:tc>
      </w:tr>
      <w:tr w:rsidR="00313AE7" w:rsidRPr="001830EF" w:rsidTr="003237FC">
        <w:trPr>
          <w:cantSplit/>
          <w:trHeight w:val="225"/>
          <w:jc w:val="center"/>
        </w:trPr>
        <w:tc>
          <w:tcPr>
            <w:tcW w:w="4631" w:type="dxa"/>
            <w:tcBorders>
              <w:top w:val="nil"/>
              <w:bottom w:val="single" w:sz="4" w:space="0" w:color="auto"/>
              <w:right w:val="nil"/>
            </w:tcBorders>
            <w:shd w:val="clear" w:color="auto" w:fill="auto"/>
          </w:tcPr>
          <w:p w:rsidR="00313AE7" w:rsidRPr="001830EF" w:rsidRDefault="00313AE7" w:rsidP="003237FC">
            <w:pPr>
              <w:jc w:val="both"/>
              <w:rPr>
                <w:rFonts w:ascii="Arial Narrow" w:hAnsi="Arial Narrow"/>
                <w:color w:val="C0C0C0"/>
                <w:sz w:val="16"/>
                <w:szCs w:val="16"/>
              </w:rPr>
            </w:pPr>
          </w:p>
        </w:tc>
        <w:tc>
          <w:tcPr>
            <w:tcW w:w="2411" w:type="dxa"/>
            <w:tcBorders>
              <w:top w:val="nil"/>
              <w:left w:val="nil"/>
              <w:bottom w:val="single" w:sz="4" w:space="0" w:color="auto"/>
            </w:tcBorders>
            <w:shd w:val="clear" w:color="auto" w:fill="auto"/>
            <w:vAlign w:val="center"/>
          </w:tcPr>
          <w:p w:rsidR="00313AE7" w:rsidRPr="001830EF" w:rsidRDefault="00313AE7" w:rsidP="003237FC">
            <w:pPr>
              <w:jc w:val="center"/>
              <w:rPr>
                <w:rFonts w:ascii="Arial Narrow" w:hAnsi="Arial Narrow"/>
                <w:b/>
                <w:color w:val="C0C0C0"/>
                <w:sz w:val="16"/>
                <w:szCs w:val="16"/>
              </w:rPr>
            </w:pPr>
          </w:p>
        </w:tc>
      </w:tr>
      <w:tr w:rsidR="00313AE7" w:rsidRPr="001830EF" w:rsidTr="003237FC">
        <w:trPr>
          <w:cantSplit/>
          <w:trHeight w:val="20"/>
          <w:jc w:val="center"/>
        </w:trPr>
        <w:tc>
          <w:tcPr>
            <w:tcW w:w="4631" w:type="dxa"/>
            <w:tcBorders>
              <w:top w:val="single" w:sz="4" w:space="0" w:color="auto"/>
              <w:bottom w:val="nil"/>
              <w:right w:val="nil"/>
            </w:tcBorders>
            <w:shd w:val="clear" w:color="auto" w:fill="auto"/>
          </w:tcPr>
          <w:p w:rsidR="00313AE7" w:rsidRPr="001830EF" w:rsidRDefault="00313AE7" w:rsidP="003237FC">
            <w:pPr>
              <w:jc w:val="both"/>
              <w:rPr>
                <w:rFonts w:ascii="Arial Narrow" w:hAnsi="Arial Narrow"/>
                <w:b/>
                <w:sz w:val="16"/>
                <w:szCs w:val="16"/>
              </w:rPr>
            </w:pPr>
            <w:r w:rsidRPr="001830EF">
              <w:rPr>
                <w:rFonts w:ascii="Arial Narrow" w:hAnsi="Arial Narrow"/>
                <w:b/>
                <w:sz w:val="16"/>
                <w:szCs w:val="16"/>
              </w:rPr>
              <w:t>Χρηματοδοτικές ανάγκες</w:t>
            </w:r>
          </w:p>
        </w:tc>
        <w:tc>
          <w:tcPr>
            <w:tcW w:w="2411" w:type="dxa"/>
            <w:tcBorders>
              <w:top w:val="single" w:sz="4" w:space="0" w:color="auto"/>
              <w:left w:val="nil"/>
              <w:bottom w:val="nil"/>
            </w:tcBorders>
            <w:shd w:val="clear" w:color="auto" w:fill="auto"/>
          </w:tcPr>
          <w:p w:rsidR="00313AE7" w:rsidRPr="001830EF" w:rsidRDefault="00313AE7" w:rsidP="003237FC">
            <w:pPr>
              <w:tabs>
                <w:tab w:val="decimal" w:pos="956"/>
              </w:tabs>
              <w:ind w:right="-143"/>
              <w:jc w:val="both"/>
              <w:rPr>
                <w:rFonts w:ascii="Arial Narrow" w:hAnsi="Arial Narrow"/>
                <w:sz w:val="16"/>
                <w:szCs w:val="16"/>
              </w:rPr>
            </w:pP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1830EF" w:rsidRDefault="003633F4" w:rsidP="003237FC">
            <w:pPr>
              <w:jc w:val="both"/>
              <w:rPr>
                <w:rFonts w:ascii="Arial Narrow" w:hAnsi="Arial Narrow"/>
                <w:sz w:val="16"/>
                <w:szCs w:val="16"/>
              </w:rPr>
            </w:pPr>
            <w:r w:rsidRPr="001830EF">
              <w:rPr>
                <w:rFonts w:ascii="Arial Narrow" w:hAnsi="Arial Narrow"/>
                <w:sz w:val="16"/>
                <w:szCs w:val="16"/>
              </w:rPr>
              <w:t>Έλλειμμα Κρατικού Προϋπολογισμού (ταμειακό)</w:t>
            </w:r>
          </w:p>
        </w:tc>
        <w:tc>
          <w:tcPr>
            <w:tcW w:w="2411" w:type="dxa"/>
            <w:tcBorders>
              <w:top w:val="nil"/>
              <w:left w:val="nil"/>
              <w:bottom w:val="nil"/>
            </w:tcBorders>
            <w:shd w:val="clear" w:color="auto" w:fill="auto"/>
            <w:vAlign w:val="center"/>
          </w:tcPr>
          <w:p w:rsidR="003633F4" w:rsidRDefault="003633F4" w:rsidP="003633F4">
            <w:pPr>
              <w:ind w:right="860"/>
              <w:jc w:val="right"/>
              <w:rPr>
                <w:rFonts w:ascii="Arial Narrow" w:hAnsi="Arial Narrow"/>
                <w:sz w:val="16"/>
                <w:szCs w:val="16"/>
              </w:rPr>
            </w:pPr>
            <w:r>
              <w:rPr>
                <w:rFonts w:ascii="Arial Narrow" w:hAnsi="Arial Narrow"/>
                <w:sz w:val="16"/>
                <w:szCs w:val="16"/>
              </w:rPr>
              <w:t>943</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1830EF" w:rsidRDefault="003633F4" w:rsidP="003237FC">
            <w:pPr>
              <w:jc w:val="both"/>
              <w:rPr>
                <w:rFonts w:ascii="Arial Narrow" w:hAnsi="Arial Narrow"/>
                <w:sz w:val="16"/>
                <w:szCs w:val="16"/>
              </w:rPr>
            </w:pPr>
            <w:r w:rsidRPr="001830EF">
              <w:rPr>
                <w:rFonts w:ascii="Arial Narrow" w:hAnsi="Arial Narrow"/>
                <w:sz w:val="16"/>
                <w:szCs w:val="16"/>
              </w:rPr>
              <w:t>Αυξήσεις ΜΚ εταιρειών</w:t>
            </w:r>
          </w:p>
        </w:tc>
        <w:tc>
          <w:tcPr>
            <w:tcW w:w="2411" w:type="dxa"/>
            <w:tcBorders>
              <w:top w:val="nil"/>
              <w:left w:val="nil"/>
              <w:bottom w:val="nil"/>
            </w:tcBorders>
            <w:shd w:val="clear" w:color="auto" w:fill="auto"/>
            <w:vAlign w:val="center"/>
          </w:tcPr>
          <w:p w:rsidR="003633F4" w:rsidRDefault="003633F4" w:rsidP="003633F4">
            <w:pPr>
              <w:ind w:right="860"/>
              <w:jc w:val="right"/>
              <w:rPr>
                <w:rFonts w:ascii="Arial Narrow" w:hAnsi="Arial Narrow"/>
                <w:sz w:val="16"/>
                <w:szCs w:val="16"/>
              </w:rPr>
            </w:pPr>
            <w:r>
              <w:rPr>
                <w:rFonts w:ascii="Arial Narrow" w:hAnsi="Arial Narrow"/>
                <w:sz w:val="16"/>
                <w:szCs w:val="16"/>
              </w:rPr>
              <w:t>112</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1830EF" w:rsidRDefault="003633F4" w:rsidP="003237FC">
            <w:pPr>
              <w:jc w:val="both"/>
              <w:rPr>
                <w:rFonts w:ascii="Arial Narrow" w:hAnsi="Arial Narrow"/>
                <w:sz w:val="16"/>
                <w:szCs w:val="16"/>
              </w:rPr>
            </w:pPr>
            <w:r>
              <w:rPr>
                <w:rFonts w:ascii="Arial Narrow" w:hAnsi="Arial Narrow"/>
                <w:sz w:val="16"/>
                <w:szCs w:val="16"/>
              </w:rPr>
              <w:t>Χρηματοδότηση παλαιών υποχρεώσεων</w:t>
            </w:r>
          </w:p>
        </w:tc>
        <w:tc>
          <w:tcPr>
            <w:tcW w:w="2411" w:type="dxa"/>
            <w:tcBorders>
              <w:top w:val="nil"/>
              <w:left w:val="nil"/>
              <w:bottom w:val="nil"/>
            </w:tcBorders>
            <w:shd w:val="clear" w:color="auto" w:fill="auto"/>
            <w:vAlign w:val="center"/>
          </w:tcPr>
          <w:p w:rsidR="003633F4" w:rsidRDefault="003633F4" w:rsidP="003633F4">
            <w:pPr>
              <w:ind w:right="860"/>
              <w:jc w:val="right"/>
              <w:rPr>
                <w:rFonts w:ascii="Arial Narrow" w:hAnsi="Arial Narrow"/>
                <w:sz w:val="16"/>
                <w:szCs w:val="16"/>
              </w:rPr>
            </w:pPr>
            <w:r>
              <w:rPr>
                <w:rFonts w:ascii="Arial Narrow" w:hAnsi="Arial Narrow"/>
                <w:sz w:val="16"/>
                <w:szCs w:val="16"/>
              </w:rPr>
              <w:t>2.200</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Default="003633F4" w:rsidP="003237FC">
            <w:pPr>
              <w:jc w:val="both"/>
              <w:rPr>
                <w:rFonts w:ascii="Arial Narrow" w:hAnsi="Arial Narrow"/>
                <w:sz w:val="16"/>
                <w:szCs w:val="16"/>
              </w:rPr>
            </w:pPr>
            <w:r>
              <w:rPr>
                <w:rFonts w:ascii="Arial Narrow" w:hAnsi="Arial Narrow"/>
                <w:sz w:val="16"/>
                <w:szCs w:val="16"/>
              </w:rPr>
              <w:t>Πώληση μετοχών κ.λπ.</w:t>
            </w:r>
          </w:p>
        </w:tc>
        <w:tc>
          <w:tcPr>
            <w:tcW w:w="2411" w:type="dxa"/>
            <w:tcBorders>
              <w:top w:val="nil"/>
              <w:left w:val="nil"/>
              <w:bottom w:val="nil"/>
            </w:tcBorders>
            <w:shd w:val="clear" w:color="auto" w:fill="auto"/>
            <w:vAlign w:val="center"/>
          </w:tcPr>
          <w:p w:rsidR="003633F4" w:rsidRDefault="003633F4" w:rsidP="003633F4">
            <w:pPr>
              <w:ind w:right="860"/>
              <w:jc w:val="right"/>
              <w:rPr>
                <w:rFonts w:ascii="Arial Narrow" w:hAnsi="Arial Narrow"/>
                <w:sz w:val="16"/>
                <w:szCs w:val="16"/>
              </w:rPr>
            </w:pPr>
            <w:r>
              <w:rPr>
                <w:rFonts w:ascii="Arial Narrow" w:hAnsi="Arial Narrow"/>
                <w:sz w:val="16"/>
                <w:szCs w:val="16"/>
              </w:rPr>
              <w:t>-2.38</w:t>
            </w:r>
            <w:r w:rsidR="00BA6266">
              <w:rPr>
                <w:rFonts w:ascii="Arial Narrow" w:hAnsi="Arial Narrow"/>
                <w:sz w:val="16"/>
                <w:szCs w:val="16"/>
              </w:rPr>
              <w:t>2</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1830EF" w:rsidRDefault="003633F4" w:rsidP="003237FC">
            <w:pPr>
              <w:jc w:val="both"/>
              <w:rPr>
                <w:rFonts w:ascii="Arial Narrow" w:hAnsi="Arial Narrow"/>
                <w:b/>
                <w:sz w:val="16"/>
                <w:szCs w:val="16"/>
              </w:rPr>
            </w:pPr>
            <w:r w:rsidRPr="001830EF">
              <w:rPr>
                <w:rFonts w:ascii="Arial Narrow" w:hAnsi="Arial Narrow"/>
                <w:b/>
                <w:sz w:val="16"/>
                <w:szCs w:val="16"/>
              </w:rPr>
              <w:t>Καθαρός δανεισμός</w:t>
            </w:r>
          </w:p>
        </w:tc>
        <w:tc>
          <w:tcPr>
            <w:tcW w:w="2411" w:type="dxa"/>
            <w:tcBorders>
              <w:top w:val="nil"/>
              <w:left w:val="nil"/>
              <w:bottom w:val="nil"/>
            </w:tcBorders>
            <w:shd w:val="clear" w:color="auto" w:fill="auto"/>
            <w:vAlign w:val="center"/>
          </w:tcPr>
          <w:p w:rsidR="003633F4" w:rsidRDefault="003633F4" w:rsidP="003633F4">
            <w:pPr>
              <w:ind w:right="860"/>
              <w:jc w:val="right"/>
              <w:rPr>
                <w:rFonts w:ascii="Arial Narrow" w:hAnsi="Arial Narrow"/>
                <w:b/>
                <w:bCs/>
                <w:sz w:val="16"/>
                <w:szCs w:val="16"/>
              </w:rPr>
            </w:pPr>
            <w:r>
              <w:rPr>
                <w:rFonts w:ascii="Arial Narrow" w:hAnsi="Arial Narrow"/>
                <w:b/>
                <w:bCs/>
                <w:sz w:val="16"/>
                <w:szCs w:val="16"/>
              </w:rPr>
              <w:t>87</w:t>
            </w:r>
            <w:r w:rsidR="00BA6266">
              <w:rPr>
                <w:rFonts w:ascii="Arial Narrow" w:hAnsi="Arial Narrow"/>
                <w:b/>
                <w:bCs/>
                <w:sz w:val="16"/>
                <w:szCs w:val="16"/>
              </w:rPr>
              <w:t>3</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1830EF" w:rsidRDefault="003633F4" w:rsidP="003237FC">
            <w:pPr>
              <w:jc w:val="both"/>
              <w:rPr>
                <w:rFonts w:ascii="Arial Narrow" w:hAnsi="Arial Narrow"/>
                <w:sz w:val="16"/>
                <w:szCs w:val="16"/>
              </w:rPr>
            </w:pPr>
            <w:r w:rsidRPr="001830EF">
              <w:rPr>
                <w:rFonts w:ascii="Arial Narrow" w:hAnsi="Arial Narrow"/>
                <w:sz w:val="16"/>
                <w:szCs w:val="16"/>
              </w:rPr>
              <w:t>Χρεολύσια μεσομακροπρόθεσμου χρέους</w:t>
            </w:r>
          </w:p>
        </w:tc>
        <w:tc>
          <w:tcPr>
            <w:tcW w:w="2411" w:type="dxa"/>
            <w:tcBorders>
              <w:top w:val="nil"/>
              <w:left w:val="nil"/>
              <w:bottom w:val="nil"/>
            </w:tcBorders>
            <w:shd w:val="clear" w:color="auto" w:fill="auto"/>
            <w:vAlign w:val="center"/>
          </w:tcPr>
          <w:p w:rsidR="003633F4" w:rsidRDefault="003633F4" w:rsidP="003633F4">
            <w:pPr>
              <w:ind w:right="860"/>
              <w:jc w:val="right"/>
              <w:rPr>
                <w:rFonts w:ascii="Arial Narrow" w:hAnsi="Arial Narrow"/>
                <w:sz w:val="16"/>
                <w:szCs w:val="16"/>
              </w:rPr>
            </w:pPr>
            <w:r>
              <w:rPr>
                <w:rFonts w:ascii="Arial Narrow" w:hAnsi="Arial Narrow"/>
                <w:sz w:val="16"/>
                <w:szCs w:val="16"/>
              </w:rPr>
              <w:t>4.580</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1830EF" w:rsidRDefault="003633F4" w:rsidP="003237FC">
            <w:pPr>
              <w:keepNext/>
              <w:outlineLvl w:val="2"/>
              <w:rPr>
                <w:rFonts w:ascii="Arial Narrow" w:hAnsi="Arial Narrow" w:cs="Arial"/>
                <w:b/>
                <w:bCs/>
                <w:sz w:val="16"/>
                <w:szCs w:val="16"/>
              </w:rPr>
            </w:pPr>
            <w:r w:rsidRPr="001830EF">
              <w:rPr>
                <w:rFonts w:ascii="Arial Narrow" w:hAnsi="Arial Narrow" w:cs="Arial"/>
                <w:b/>
                <w:bCs/>
                <w:sz w:val="16"/>
                <w:szCs w:val="16"/>
              </w:rPr>
              <w:t>Μερικό σύνολο</w:t>
            </w:r>
          </w:p>
        </w:tc>
        <w:tc>
          <w:tcPr>
            <w:tcW w:w="2411" w:type="dxa"/>
            <w:tcBorders>
              <w:top w:val="nil"/>
              <w:left w:val="nil"/>
              <w:bottom w:val="nil"/>
            </w:tcBorders>
            <w:shd w:val="clear" w:color="auto" w:fill="auto"/>
            <w:vAlign w:val="center"/>
          </w:tcPr>
          <w:p w:rsidR="003633F4" w:rsidRDefault="003633F4" w:rsidP="003633F4">
            <w:pPr>
              <w:ind w:right="860"/>
              <w:jc w:val="right"/>
              <w:rPr>
                <w:rFonts w:ascii="Arial Narrow" w:hAnsi="Arial Narrow"/>
                <w:b/>
                <w:bCs/>
                <w:sz w:val="16"/>
                <w:szCs w:val="16"/>
              </w:rPr>
            </w:pPr>
            <w:r>
              <w:rPr>
                <w:rFonts w:ascii="Arial Narrow" w:hAnsi="Arial Narrow"/>
                <w:b/>
                <w:bCs/>
                <w:sz w:val="16"/>
                <w:szCs w:val="16"/>
              </w:rPr>
              <w:t>5.45</w:t>
            </w:r>
            <w:r w:rsidR="00BA6266">
              <w:rPr>
                <w:rFonts w:ascii="Arial Narrow" w:hAnsi="Arial Narrow"/>
                <w:b/>
                <w:bCs/>
                <w:sz w:val="16"/>
                <w:szCs w:val="16"/>
              </w:rPr>
              <w:t>3</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A17B11" w:rsidRDefault="003633F4" w:rsidP="003237FC">
            <w:pPr>
              <w:jc w:val="both"/>
              <w:rPr>
                <w:rFonts w:ascii="Arial Narrow" w:hAnsi="Arial Narrow"/>
                <w:sz w:val="16"/>
                <w:szCs w:val="16"/>
                <w:vertAlign w:val="superscript"/>
              </w:rPr>
            </w:pPr>
            <w:r w:rsidRPr="001830EF">
              <w:rPr>
                <w:rFonts w:ascii="Arial Narrow" w:hAnsi="Arial Narrow"/>
                <w:sz w:val="16"/>
                <w:szCs w:val="16"/>
              </w:rPr>
              <w:t>Πρόβλεψη εξόφλησης βραχυπροθέσμ</w:t>
            </w:r>
            <w:r>
              <w:rPr>
                <w:rFonts w:ascii="Arial Narrow" w:hAnsi="Arial Narrow"/>
                <w:sz w:val="16"/>
                <w:szCs w:val="16"/>
              </w:rPr>
              <w:t>ου</w:t>
            </w:r>
            <w:r w:rsidRPr="001830EF">
              <w:rPr>
                <w:rFonts w:ascii="Arial Narrow" w:hAnsi="Arial Narrow"/>
                <w:sz w:val="16"/>
                <w:szCs w:val="16"/>
              </w:rPr>
              <w:t xml:space="preserve"> </w:t>
            </w:r>
            <w:r>
              <w:rPr>
                <w:rFonts w:ascii="Arial Narrow" w:hAnsi="Arial Narrow"/>
                <w:sz w:val="16"/>
                <w:szCs w:val="16"/>
              </w:rPr>
              <w:t>χρέους</w:t>
            </w:r>
            <w:r>
              <w:rPr>
                <w:rFonts w:ascii="Arial Narrow" w:hAnsi="Arial Narrow"/>
                <w:sz w:val="16"/>
                <w:szCs w:val="16"/>
                <w:vertAlign w:val="superscript"/>
              </w:rPr>
              <w:t>*</w:t>
            </w:r>
          </w:p>
        </w:tc>
        <w:tc>
          <w:tcPr>
            <w:tcW w:w="2411" w:type="dxa"/>
            <w:tcBorders>
              <w:top w:val="nil"/>
              <w:left w:val="nil"/>
              <w:bottom w:val="nil"/>
            </w:tcBorders>
            <w:shd w:val="clear" w:color="auto" w:fill="auto"/>
            <w:vAlign w:val="center"/>
          </w:tcPr>
          <w:p w:rsidR="003633F4" w:rsidRDefault="003633F4" w:rsidP="003633F4">
            <w:pPr>
              <w:ind w:right="860"/>
              <w:jc w:val="right"/>
              <w:rPr>
                <w:rFonts w:ascii="Arial Narrow" w:hAnsi="Arial Narrow"/>
                <w:sz w:val="16"/>
                <w:szCs w:val="16"/>
              </w:rPr>
            </w:pPr>
            <w:r>
              <w:rPr>
                <w:rFonts w:ascii="Arial Narrow" w:hAnsi="Arial Narrow"/>
                <w:sz w:val="16"/>
                <w:szCs w:val="16"/>
              </w:rPr>
              <w:t>550.000</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1830EF" w:rsidRDefault="003633F4" w:rsidP="003237FC">
            <w:pPr>
              <w:jc w:val="both"/>
              <w:rPr>
                <w:rFonts w:ascii="Arial Narrow" w:hAnsi="Arial Narrow"/>
                <w:b/>
                <w:sz w:val="16"/>
                <w:szCs w:val="16"/>
              </w:rPr>
            </w:pPr>
            <w:r w:rsidRPr="001830EF">
              <w:rPr>
                <w:rFonts w:ascii="Arial Narrow" w:hAnsi="Arial Narrow"/>
                <w:b/>
                <w:sz w:val="16"/>
                <w:szCs w:val="16"/>
              </w:rPr>
              <w:t>Σύνολο χρηματοδοτικών αναγκών</w:t>
            </w:r>
          </w:p>
        </w:tc>
        <w:tc>
          <w:tcPr>
            <w:tcW w:w="2411" w:type="dxa"/>
            <w:tcBorders>
              <w:top w:val="nil"/>
              <w:left w:val="nil"/>
              <w:bottom w:val="nil"/>
            </w:tcBorders>
            <w:shd w:val="clear" w:color="auto" w:fill="auto"/>
            <w:vAlign w:val="center"/>
          </w:tcPr>
          <w:p w:rsidR="003633F4" w:rsidRDefault="00BA6266" w:rsidP="003633F4">
            <w:pPr>
              <w:ind w:right="860"/>
              <w:jc w:val="right"/>
              <w:rPr>
                <w:rFonts w:ascii="Arial Narrow" w:hAnsi="Arial Narrow"/>
                <w:b/>
                <w:bCs/>
                <w:sz w:val="16"/>
                <w:szCs w:val="16"/>
              </w:rPr>
            </w:pPr>
            <w:r>
              <w:rPr>
                <w:rFonts w:ascii="Arial Narrow" w:hAnsi="Arial Narrow"/>
                <w:b/>
                <w:bCs/>
                <w:sz w:val="16"/>
                <w:szCs w:val="16"/>
              </w:rPr>
              <w:t>555.453</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1830EF" w:rsidRDefault="003633F4" w:rsidP="003237FC">
            <w:pPr>
              <w:jc w:val="both"/>
              <w:rPr>
                <w:rFonts w:ascii="Arial Narrow" w:hAnsi="Arial Narrow"/>
                <w:b/>
                <w:sz w:val="16"/>
                <w:szCs w:val="16"/>
              </w:rPr>
            </w:pPr>
          </w:p>
        </w:tc>
        <w:tc>
          <w:tcPr>
            <w:tcW w:w="2411" w:type="dxa"/>
            <w:tcBorders>
              <w:top w:val="nil"/>
              <w:left w:val="nil"/>
              <w:bottom w:val="nil"/>
            </w:tcBorders>
            <w:shd w:val="clear" w:color="auto" w:fill="auto"/>
            <w:vAlign w:val="bottom"/>
          </w:tcPr>
          <w:p w:rsidR="003633F4" w:rsidRDefault="003633F4" w:rsidP="003633F4">
            <w:pPr>
              <w:ind w:right="860"/>
              <w:rPr>
                <w:rFonts w:ascii="Arial Narrow" w:hAnsi="Arial Narrow"/>
                <w:sz w:val="16"/>
                <w:szCs w:val="16"/>
              </w:rPr>
            </w:pPr>
            <w:r>
              <w:rPr>
                <w:rFonts w:ascii="Arial Narrow" w:hAnsi="Arial Narrow"/>
                <w:sz w:val="16"/>
                <w:szCs w:val="16"/>
              </w:rPr>
              <w:t> </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1830EF" w:rsidRDefault="003633F4" w:rsidP="003237FC">
            <w:pPr>
              <w:jc w:val="both"/>
              <w:rPr>
                <w:rFonts w:ascii="Arial Narrow" w:hAnsi="Arial Narrow"/>
                <w:b/>
                <w:sz w:val="16"/>
                <w:szCs w:val="16"/>
              </w:rPr>
            </w:pPr>
            <w:r w:rsidRPr="001830EF">
              <w:rPr>
                <w:rFonts w:ascii="Arial Narrow" w:hAnsi="Arial Narrow"/>
                <w:b/>
                <w:sz w:val="16"/>
                <w:szCs w:val="16"/>
              </w:rPr>
              <w:t>Χρηματοδότηση</w:t>
            </w:r>
          </w:p>
        </w:tc>
        <w:tc>
          <w:tcPr>
            <w:tcW w:w="2411" w:type="dxa"/>
            <w:tcBorders>
              <w:top w:val="nil"/>
              <w:left w:val="nil"/>
              <w:bottom w:val="nil"/>
            </w:tcBorders>
            <w:shd w:val="clear" w:color="auto" w:fill="auto"/>
            <w:vAlign w:val="bottom"/>
          </w:tcPr>
          <w:p w:rsidR="003633F4" w:rsidRDefault="003633F4" w:rsidP="003633F4">
            <w:pPr>
              <w:ind w:right="860"/>
              <w:rPr>
                <w:rFonts w:ascii="Arial Narrow" w:hAnsi="Arial Narrow"/>
                <w:sz w:val="16"/>
                <w:szCs w:val="16"/>
              </w:rPr>
            </w:pPr>
            <w:r>
              <w:rPr>
                <w:rFonts w:ascii="Arial Narrow" w:hAnsi="Arial Narrow"/>
                <w:sz w:val="16"/>
                <w:szCs w:val="16"/>
              </w:rPr>
              <w:t> </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A12FA4" w:rsidRDefault="003633F4" w:rsidP="003237FC">
            <w:pPr>
              <w:jc w:val="both"/>
              <w:rPr>
                <w:rFonts w:ascii="Arial Narrow" w:hAnsi="Arial Narrow"/>
                <w:sz w:val="16"/>
                <w:szCs w:val="16"/>
                <w:vertAlign w:val="superscript"/>
              </w:rPr>
            </w:pPr>
            <w:r w:rsidRPr="001830EF">
              <w:rPr>
                <w:rFonts w:ascii="Arial Narrow" w:hAnsi="Arial Narrow"/>
                <w:sz w:val="16"/>
                <w:szCs w:val="16"/>
              </w:rPr>
              <w:t>Βραχυπρόθεσμος δ</w:t>
            </w:r>
            <w:r w:rsidRPr="001830EF">
              <w:rPr>
                <w:rFonts w:ascii="Arial Narrow" w:hAnsi="Arial Narrow"/>
                <w:sz w:val="16"/>
                <w:szCs w:val="16"/>
                <w:lang w:val="en-GB"/>
              </w:rPr>
              <w:t>ανεισμός</w:t>
            </w:r>
            <w:r>
              <w:rPr>
                <w:rFonts w:ascii="Arial Narrow" w:hAnsi="Arial Narrow"/>
                <w:sz w:val="16"/>
                <w:szCs w:val="16"/>
                <w:vertAlign w:val="superscript"/>
              </w:rPr>
              <w:t>*</w:t>
            </w:r>
          </w:p>
        </w:tc>
        <w:tc>
          <w:tcPr>
            <w:tcW w:w="2411" w:type="dxa"/>
            <w:tcBorders>
              <w:top w:val="nil"/>
              <w:left w:val="nil"/>
              <w:bottom w:val="nil"/>
            </w:tcBorders>
            <w:shd w:val="clear" w:color="auto" w:fill="auto"/>
            <w:vAlign w:val="bottom"/>
          </w:tcPr>
          <w:p w:rsidR="003633F4" w:rsidRDefault="003633F4" w:rsidP="003633F4">
            <w:pPr>
              <w:ind w:right="860"/>
              <w:jc w:val="right"/>
              <w:rPr>
                <w:rFonts w:ascii="Arial Narrow" w:hAnsi="Arial Narrow"/>
                <w:sz w:val="16"/>
                <w:szCs w:val="16"/>
              </w:rPr>
            </w:pPr>
            <w:r>
              <w:rPr>
                <w:rFonts w:ascii="Arial Narrow" w:hAnsi="Arial Narrow"/>
                <w:sz w:val="16"/>
                <w:szCs w:val="16"/>
              </w:rPr>
              <w:t>543.000</w:t>
            </w:r>
          </w:p>
        </w:tc>
      </w:tr>
      <w:tr w:rsidR="003633F4" w:rsidRPr="001830EF" w:rsidTr="003237FC">
        <w:trPr>
          <w:cantSplit/>
          <w:trHeight w:val="20"/>
          <w:jc w:val="center"/>
        </w:trPr>
        <w:tc>
          <w:tcPr>
            <w:tcW w:w="4631" w:type="dxa"/>
            <w:tcBorders>
              <w:top w:val="nil"/>
              <w:bottom w:val="nil"/>
              <w:right w:val="nil"/>
            </w:tcBorders>
            <w:shd w:val="clear" w:color="auto" w:fill="auto"/>
          </w:tcPr>
          <w:p w:rsidR="003633F4" w:rsidRPr="001830EF" w:rsidRDefault="003633F4" w:rsidP="003237FC">
            <w:pPr>
              <w:jc w:val="both"/>
              <w:rPr>
                <w:rFonts w:ascii="Arial Narrow" w:hAnsi="Arial Narrow"/>
                <w:sz w:val="16"/>
                <w:szCs w:val="16"/>
              </w:rPr>
            </w:pPr>
            <w:r w:rsidRPr="001830EF">
              <w:rPr>
                <w:rFonts w:ascii="Arial Narrow" w:hAnsi="Arial Narrow"/>
                <w:sz w:val="16"/>
                <w:szCs w:val="16"/>
              </w:rPr>
              <w:t>Μεσομακροπρόθεσμος δανεισμός</w:t>
            </w:r>
          </w:p>
        </w:tc>
        <w:tc>
          <w:tcPr>
            <w:tcW w:w="2411" w:type="dxa"/>
            <w:tcBorders>
              <w:top w:val="nil"/>
              <w:left w:val="nil"/>
              <w:bottom w:val="nil"/>
            </w:tcBorders>
            <w:shd w:val="clear" w:color="auto" w:fill="auto"/>
            <w:vAlign w:val="bottom"/>
          </w:tcPr>
          <w:p w:rsidR="003633F4" w:rsidRDefault="003633F4" w:rsidP="003633F4">
            <w:pPr>
              <w:ind w:right="860"/>
              <w:jc w:val="right"/>
              <w:rPr>
                <w:rFonts w:ascii="Arial Narrow" w:hAnsi="Arial Narrow"/>
                <w:sz w:val="16"/>
                <w:szCs w:val="16"/>
              </w:rPr>
            </w:pPr>
            <w:r>
              <w:rPr>
                <w:rFonts w:ascii="Arial Narrow" w:hAnsi="Arial Narrow"/>
                <w:sz w:val="16"/>
                <w:szCs w:val="16"/>
              </w:rPr>
              <w:t>12.45</w:t>
            </w:r>
            <w:r w:rsidR="00BA6266">
              <w:rPr>
                <w:rFonts w:ascii="Arial Narrow" w:hAnsi="Arial Narrow"/>
                <w:sz w:val="16"/>
                <w:szCs w:val="16"/>
              </w:rPr>
              <w:t>3</w:t>
            </w:r>
          </w:p>
        </w:tc>
      </w:tr>
      <w:tr w:rsidR="003633F4" w:rsidRPr="001830EF" w:rsidTr="003237FC">
        <w:trPr>
          <w:cantSplit/>
          <w:trHeight w:val="20"/>
          <w:jc w:val="center"/>
        </w:trPr>
        <w:tc>
          <w:tcPr>
            <w:tcW w:w="4631" w:type="dxa"/>
            <w:tcBorders>
              <w:top w:val="nil"/>
              <w:right w:val="nil"/>
            </w:tcBorders>
            <w:shd w:val="clear" w:color="auto" w:fill="auto"/>
          </w:tcPr>
          <w:p w:rsidR="003633F4" w:rsidRPr="001830EF" w:rsidRDefault="003633F4" w:rsidP="003237FC">
            <w:pPr>
              <w:keepNext/>
              <w:outlineLvl w:val="2"/>
              <w:rPr>
                <w:rFonts w:ascii="Arial Narrow" w:hAnsi="Arial Narrow" w:cs="Arial"/>
                <w:b/>
                <w:bCs/>
                <w:sz w:val="16"/>
                <w:szCs w:val="16"/>
              </w:rPr>
            </w:pPr>
            <w:r w:rsidRPr="001830EF">
              <w:rPr>
                <w:rFonts w:ascii="Arial Narrow" w:hAnsi="Arial Narrow" w:cs="Arial"/>
                <w:b/>
                <w:bCs/>
                <w:sz w:val="16"/>
                <w:szCs w:val="16"/>
                <w:lang w:val="en-GB"/>
              </w:rPr>
              <w:t>Σύνολο</w:t>
            </w:r>
            <w:r w:rsidRPr="001830EF">
              <w:rPr>
                <w:rFonts w:ascii="Arial Narrow" w:hAnsi="Arial Narrow" w:cs="Arial"/>
                <w:b/>
                <w:bCs/>
                <w:sz w:val="16"/>
                <w:szCs w:val="16"/>
              </w:rPr>
              <w:t xml:space="preserve"> δανεισμού</w:t>
            </w:r>
          </w:p>
        </w:tc>
        <w:tc>
          <w:tcPr>
            <w:tcW w:w="2411" w:type="dxa"/>
            <w:tcBorders>
              <w:top w:val="nil"/>
              <w:left w:val="nil"/>
            </w:tcBorders>
            <w:shd w:val="clear" w:color="auto" w:fill="auto"/>
            <w:vAlign w:val="bottom"/>
          </w:tcPr>
          <w:p w:rsidR="003633F4" w:rsidRDefault="003633F4" w:rsidP="003633F4">
            <w:pPr>
              <w:ind w:right="860"/>
              <w:jc w:val="right"/>
              <w:rPr>
                <w:rFonts w:ascii="Arial Narrow" w:hAnsi="Arial Narrow"/>
                <w:b/>
                <w:bCs/>
                <w:sz w:val="16"/>
                <w:szCs w:val="16"/>
              </w:rPr>
            </w:pPr>
            <w:r>
              <w:rPr>
                <w:rFonts w:ascii="Arial Narrow" w:hAnsi="Arial Narrow"/>
                <w:b/>
                <w:bCs/>
                <w:sz w:val="16"/>
                <w:szCs w:val="16"/>
              </w:rPr>
              <w:t>555.45</w:t>
            </w:r>
            <w:r w:rsidR="00BA6266">
              <w:rPr>
                <w:rFonts w:ascii="Arial Narrow" w:hAnsi="Arial Narrow"/>
                <w:b/>
                <w:bCs/>
                <w:sz w:val="16"/>
                <w:szCs w:val="16"/>
              </w:rPr>
              <w:t>3</w:t>
            </w:r>
          </w:p>
        </w:tc>
      </w:tr>
    </w:tbl>
    <w:p w:rsidR="00313AE7" w:rsidRPr="00E67F0E" w:rsidRDefault="00313AE7" w:rsidP="00313AE7">
      <w:pPr>
        <w:tabs>
          <w:tab w:val="left" w:pos="993"/>
        </w:tabs>
        <w:jc w:val="both"/>
        <w:rPr>
          <w:rFonts w:ascii="Arial Narrow" w:hAnsi="Arial Narrow"/>
          <w:sz w:val="16"/>
          <w:szCs w:val="18"/>
        </w:rPr>
      </w:pPr>
      <w:r w:rsidRPr="00E67F0E">
        <w:rPr>
          <w:rFonts w:ascii="Arial Narrow" w:hAnsi="Arial Narrow"/>
          <w:sz w:val="16"/>
          <w:szCs w:val="18"/>
        </w:rPr>
        <w:tab/>
        <w:t>Πηγή: ΟΔΔΗΧ</w:t>
      </w:r>
    </w:p>
    <w:p w:rsidR="00313AE7" w:rsidRPr="00E67F0E" w:rsidRDefault="00313AE7" w:rsidP="00313AE7">
      <w:pPr>
        <w:tabs>
          <w:tab w:val="left" w:pos="993"/>
          <w:tab w:val="left" w:pos="1276"/>
        </w:tabs>
        <w:jc w:val="both"/>
        <w:rPr>
          <w:rFonts w:ascii="Arial Narrow" w:hAnsi="Arial Narrow"/>
          <w:sz w:val="8"/>
          <w:szCs w:val="18"/>
        </w:rPr>
      </w:pPr>
    </w:p>
    <w:p w:rsidR="00313AE7" w:rsidRPr="00E67F0E" w:rsidRDefault="00313AE7" w:rsidP="00313AE7">
      <w:pPr>
        <w:tabs>
          <w:tab w:val="left" w:pos="993"/>
          <w:tab w:val="left" w:pos="1276"/>
        </w:tabs>
        <w:ind w:left="1276" w:right="991" w:hanging="1276"/>
        <w:jc w:val="both"/>
        <w:rPr>
          <w:bCs/>
          <w:sz w:val="22"/>
          <w:szCs w:val="22"/>
        </w:rPr>
      </w:pPr>
      <w:r w:rsidRPr="00E67F0E">
        <w:rPr>
          <w:rFonts w:ascii="Arial Narrow" w:hAnsi="Arial Narrow"/>
          <w:sz w:val="14"/>
          <w:szCs w:val="18"/>
        </w:rPr>
        <w:tab/>
      </w:r>
      <w:r w:rsidR="00C44CCE">
        <w:rPr>
          <w:rFonts w:ascii="Arial Narrow" w:hAnsi="Arial Narrow"/>
          <w:sz w:val="16"/>
          <w:szCs w:val="18"/>
        </w:rPr>
        <w:t xml:space="preserve">* </w:t>
      </w:r>
      <w:r w:rsidR="00C44CCE">
        <w:rPr>
          <w:rFonts w:ascii="Arial Narrow" w:hAnsi="Arial Narrow"/>
          <w:sz w:val="16"/>
          <w:szCs w:val="18"/>
        </w:rPr>
        <w:tab/>
        <w:t>Υπολογίζεται</w:t>
      </w:r>
      <w:r w:rsidRPr="00E67F0E">
        <w:rPr>
          <w:rFonts w:ascii="Arial Narrow" w:hAnsi="Arial Narrow"/>
          <w:sz w:val="16"/>
          <w:szCs w:val="18"/>
        </w:rPr>
        <w:t xml:space="preserve"> ότι θα γίνει επανέκδοση </w:t>
      </w:r>
      <w:r w:rsidR="003633F4">
        <w:rPr>
          <w:rFonts w:ascii="Arial Narrow" w:hAnsi="Arial Narrow"/>
          <w:sz w:val="16"/>
          <w:szCs w:val="18"/>
        </w:rPr>
        <w:t xml:space="preserve">του μεγαλύτερου μέρους </w:t>
      </w:r>
      <w:r w:rsidRPr="00E67F0E">
        <w:rPr>
          <w:rFonts w:ascii="Arial Narrow" w:hAnsi="Arial Narrow"/>
          <w:sz w:val="16"/>
          <w:szCs w:val="18"/>
        </w:rPr>
        <w:t>των λήξεων του βραχυπρόθεσμου χρέους (έντοκα γραμμάτια και repos).</w:t>
      </w:r>
      <w:r w:rsidR="003633F4">
        <w:rPr>
          <w:rFonts w:ascii="Arial Narrow" w:hAnsi="Arial Narrow"/>
          <w:sz w:val="16"/>
          <w:szCs w:val="18"/>
        </w:rPr>
        <w:t xml:space="preserve"> </w:t>
      </w:r>
      <w:r w:rsidRPr="00E67F0E">
        <w:rPr>
          <w:rFonts w:ascii="Arial Narrow" w:hAnsi="Arial Narrow"/>
          <w:sz w:val="16"/>
          <w:szCs w:val="18"/>
        </w:rPr>
        <w:t xml:space="preserve">Το ύψος του βραχυπρόθεσμου χρέους </w:t>
      </w:r>
      <w:r w:rsidR="003633F4">
        <w:rPr>
          <w:rFonts w:ascii="Arial Narrow" w:hAnsi="Arial Narrow"/>
          <w:sz w:val="16"/>
          <w:szCs w:val="18"/>
        </w:rPr>
        <w:t>από 29.900 εκατ. ευρώ το 2017 θα μειωθεί σε 22.700 εκατ. ευρώ το 2018.</w:t>
      </w:r>
    </w:p>
    <w:p w:rsidR="00D24271" w:rsidRDefault="00D24271">
      <w:pPr>
        <w:rPr>
          <w:bCs/>
          <w:sz w:val="20"/>
          <w:szCs w:val="22"/>
        </w:rPr>
      </w:pPr>
      <w:r>
        <w:rPr>
          <w:bCs/>
          <w:sz w:val="20"/>
          <w:szCs w:val="22"/>
        </w:rPr>
        <w:br w:type="page"/>
      </w:r>
    </w:p>
    <w:p w:rsidR="0028079A" w:rsidRPr="00E67F0E" w:rsidRDefault="0028079A" w:rsidP="0028079A">
      <w:pPr>
        <w:jc w:val="both"/>
        <w:rPr>
          <w:bCs/>
          <w:sz w:val="20"/>
          <w:szCs w:val="22"/>
        </w:rPr>
      </w:pPr>
    </w:p>
    <w:p w:rsidR="009775F0" w:rsidRPr="00267B5D" w:rsidRDefault="009775F0" w:rsidP="00267B5D">
      <w:pPr>
        <w:jc w:val="both"/>
        <w:rPr>
          <w:sz w:val="22"/>
          <w:szCs w:val="22"/>
        </w:rPr>
      </w:pPr>
    </w:p>
    <w:p w:rsidR="00510275" w:rsidRPr="00221A99" w:rsidRDefault="00510275" w:rsidP="00510275">
      <w:pPr>
        <w:shd w:val="clear" w:color="auto" w:fill="A6A6A6"/>
        <w:spacing w:line="235" w:lineRule="auto"/>
        <w:rPr>
          <w:rFonts w:ascii="Arial Narrow" w:hAnsi="Arial Narrow"/>
          <w:b/>
          <w:szCs w:val="26"/>
        </w:rPr>
      </w:pPr>
      <w:r>
        <w:rPr>
          <w:rFonts w:ascii="Arial Narrow" w:hAnsi="Arial Narrow"/>
          <w:b/>
          <w:szCs w:val="26"/>
        </w:rPr>
        <w:t>3.5</w:t>
      </w:r>
      <w:r w:rsidRPr="00221A99">
        <w:rPr>
          <w:rFonts w:ascii="Arial Narrow" w:hAnsi="Arial Narrow"/>
          <w:b/>
          <w:szCs w:val="26"/>
        </w:rPr>
        <w:tab/>
      </w:r>
      <w:r>
        <w:rPr>
          <w:rFonts w:ascii="Arial Narrow" w:hAnsi="Arial Narrow"/>
          <w:b/>
          <w:szCs w:val="26"/>
        </w:rPr>
        <w:t>Μηνιαία κατανομή εσόδων-δαπα</w:t>
      </w:r>
      <w:r w:rsidR="00FB275C">
        <w:rPr>
          <w:rFonts w:ascii="Arial Narrow" w:hAnsi="Arial Narrow"/>
          <w:b/>
          <w:szCs w:val="26"/>
        </w:rPr>
        <w:t>νών Κρατικού Προϋπολογισμού 2018</w:t>
      </w:r>
    </w:p>
    <w:p w:rsidR="00510275" w:rsidRPr="00DE245A" w:rsidRDefault="00510275" w:rsidP="00510275">
      <w:pPr>
        <w:rPr>
          <w:sz w:val="22"/>
          <w:szCs w:val="22"/>
        </w:rPr>
      </w:pPr>
    </w:p>
    <w:p w:rsidR="00510275" w:rsidRPr="00DE245A" w:rsidRDefault="00510275" w:rsidP="00510275">
      <w:pPr>
        <w:rPr>
          <w:sz w:val="22"/>
          <w:szCs w:val="22"/>
        </w:rPr>
      </w:pPr>
    </w:p>
    <w:p w:rsidR="00AA61DA" w:rsidRDefault="00185230" w:rsidP="00510275">
      <w:pPr>
        <w:jc w:val="both"/>
        <w:rPr>
          <w:sz w:val="22"/>
          <w:szCs w:val="22"/>
        </w:rPr>
      </w:pPr>
      <w:r>
        <w:rPr>
          <w:sz w:val="22"/>
          <w:szCs w:val="22"/>
        </w:rPr>
        <w:t>Στον πίνακα 3.15</w:t>
      </w:r>
      <w:r w:rsidR="001805B6">
        <w:rPr>
          <w:sz w:val="22"/>
          <w:szCs w:val="22"/>
        </w:rPr>
        <w:t xml:space="preserve"> παρατίθεται ενδεικτική μηνιαία κατανομή των εσόδων και των δαπανών του Κρατ</w:t>
      </w:r>
      <w:r w:rsidR="001805B6">
        <w:rPr>
          <w:sz w:val="22"/>
          <w:szCs w:val="22"/>
        </w:rPr>
        <w:t>ι</w:t>
      </w:r>
      <w:r w:rsidR="001805B6">
        <w:rPr>
          <w:sz w:val="22"/>
          <w:szCs w:val="22"/>
        </w:rPr>
        <w:t>κού Προϋπολογισμού για το έτος 2018 σε σωρευτική βάση.</w:t>
      </w:r>
    </w:p>
    <w:p w:rsidR="001805B6" w:rsidRDefault="001805B6" w:rsidP="00510275">
      <w:pPr>
        <w:jc w:val="both"/>
        <w:rPr>
          <w:sz w:val="22"/>
          <w:szCs w:val="22"/>
        </w:rPr>
      </w:pPr>
    </w:p>
    <w:p w:rsidR="001805B6" w:rsidRPr="00C95C71" w:rsidRDefault="001805B6" w:rsidP="00510275">
      <w:pPr>
        <w:jc w:val="both"/>
        <w:rPr>
          <w:sz w:val="22"/>
        </w:rPr>
      </w:pPr>
    </w:p>
    <w:tbl>
      <w:tblPr>
        <w:tblW w:w="10140" w:type="dxa"/>
        <w:jc w:val="center"/>
        <w:tblLayout w:type="fixed"/>
        <w:tblCellMar>
          <w:left w:w="28" w:type="dxa"/>
          <w:right w:w="28" w:type="dxa"/>
        </w:tblCellMar>
        <w:tblLook w:val="04A0" w:firstRow="1" w:lastRow="0" w:firstColumn="1" w:lastColumn="0" w:noHBand="0" w:noVBand="1"/>
      </w:tblPr>
      <w:tblGrid>
        <w:gridCol w:w="240"/>
        <w:gridCol w:w="3160"/>
        <w:gridCol w:w="520"/>
        <w:gridCol w:w="580"/>
        <w:gridCol w:w="600"/>
        <w:gridCol w:w="580"/>
        <w:gridCol w:w="560"/>
        <w:gridCol w:w="580"/>
        <w:gridCol w:w="580"/>
        <w:gridCol w:w="540"/>
        <w:gridCol w:w="560"/>
        <w:gridCol w:w="540"/>
        <w:gridCol w:w="560"/>
        <w:gridCol w:w="540"/>
      </w:tblGrid>
      <w:tr w:rsidR="004E7715" w:rsidTr="004E7715">
        <w:trPr>
          <w:trHeight w:val="255"/>
          <w:jc w:val="center"/>
        </w:trPr>
        <w:tc>
          <w:tcPr>
            <w:tcW w:w="10140" w:type="dxa"/>
            <w:gridSpan w:val="14"/>
            <w:tcBorders>
              <w:top w:val="single" w:sz="4" w:space="0" w:color="auto"/>
              <w:left w:val="single" w:sz="4" w:space="0" w:color="auto"/>
              <w:bottom w:val="nil"/>
              <w:right w:val="single" w:sz="4" w:space="0" w:color="auto"/>
            </w:tcBorders>
            <w:shd w:val="clear" w:color="auto" w:fill="404040" w:themeFill="text1" w:themeFillTint="BF"/>
            <w:vAlign w:val="center"/>
            <w:hideMark/>
          </w:tcPr>
          <w:p w:rsidR="004E7715" w:rsidRPr="004E7715" w:rsidRDefault="004E7715">
            <w:pPr>
              <w:spacing w:before="120"/>
              <w:jc w:val="center"/>
              <w:rPr>
                <w:rFonts w:ascii="Arial Narrow" w:hAnsi="Arial Narrow"/>
                <w:b/>
                <w:bCs/>
                <w:color w:val="FFFFFF" w:themeColor="background1"/>
              </w:rPr>
            </w:pPr>
            <w:r>
              <w:rPr>
                <w:sz w:val="22"/>
                <w:szCs w:val="22"/>
              </w:rPr>
              <w:br w:type="page"/>
            </w:r>
            <w:r>
              <w:rPr>
                <w:rFonts w:ascii="Arial Narrow" w:hAnsi="Arial Narrow"/>
                <w:b/>
                <w:bCs/>
                <w:color w:val="FFFFFF" w:themeColor="background1"/>
              </w:rPr>
              <w:t>Πίνακας 3.1</w:t>
            </w:r>
            <w:r w:rsidRPr="004E7715">
              <w:rPr>
                <w:rFonts w:ascii="Arial Narrow" w:hAnsi="Arial Narrow"/>
                <w:b/>
                <w:bCs/>
                <w:color w:val="FFFFFF" w:themeColor="background1"/>
              </w:rPr>
              <w:t>5</w:t>
            </w:r>
            <w:r>
              <w:rPr>
                <w:rFonts w:ascii="Arial Narrow" w:hAnsi="Arial Narrow"/>
                <w:b/>
                <w:bCs/>
                <w:color w:val="FFFFFF" w:themeColor="background1"/>
              </w:rPr>
              <w:t xml:space="preserve"> Μηνιαία κατανομή εσόδων-δαπανών Κρατικού Προϋπολογισμού έτους 201</w:t>
            </w:r>
            <w:r w:rsidRPr="004E7715">
              <w:rPr>
                <w:rFonts w:ascii="Arial Narrow" w:hAnsi="Arial Narrow"/>
                <w:b/>
                <w:bCs/>
                <w:color w:val="FFFFFF" w:themeColor="background1"/>
              </w:rPr>
              <w:t>8</w:t>
            </w:r>
          </w:p>
          <w:p w:rsidR="004E7715" w:rsidRDefault="004E7715">
            <w:pPr>
              <w:jc w:val="center"/>
              <w:rPr>
                <w:rFonts w:ascii="Arial Narrow" w:hAnsi="Arial Narrow"/>
                <w:b/>
                <w:bCs/>
                <w:color w:val="FFFFFF" w:themeColor="background1"/>
              </w:rPr>
            </w:pPr>
            <w:r>
              <w:rPr>
                <w:rFonts w:ascii="Arial Narrow" w:hAnsi="Arial Narrow"/>
                <w:b/>
                <w:bCs/>
                <w:color w:val="FFFFFF" w:themeColor="background1"/>
              </w:rPr>
              <w:t>σε σωρευτική βάση</w:t>
            </w:r>
          </w:p>
          <w:p w:rsidR="004E7715" w:rsidRDefault="004E7715">
            <w:pPr>
              <w:spacing w:after="120"/>
              <w:jc w:val="center"/>
              <w:rPr>
                <w:rFonts w:ascii="Arial Narrow" w:hAnsi="Arial Narrow"/>
                <w:b/>
                <w:bCs/>
                <w:color w:val="FFFFFF" w:themeColor="background1"/>
              </w:rPr>
            </w:pPr>
            <w:r>
              <w:rPr>
                <w:rFonts w:ascii="Arial Narrow" w:hAnsi="Arial Narrow"/>
                <w:b/>
                <w:bCs/>
                <w:color w:val="FFFFFF" w:themeColor="background1"/>
              </w:rPr>
              <w:t>(σε εκατ. ευρώ)</w:t>
            </w:r>
          </w:p>
        </w:tc>
      </w:tr>
      <w:tr w:rsidR="004E7715" w:rsidTr="004E7715">
        <w:trPr>
          <w:trHeight w:val="255"/>
          <w:jc w:val="center"/>
        </w:trPr>
        <w:tc>
          <w:tcPr>
            <w:tcW w:w="240" w:type="dxa"/>
            <w:tcBorders>
              <w:top w:val="single" w:sz="4" w:space="0" w:color="auto"/>
              <w:left w:val="single" w:sz="4" w:space="0" w:color="auto"/>
              <w:bottom w:val="nil"/>
              <w:right w:val="nil"/>
            </w:tcBorders>
            <w:vAlign w:val="center"/>
            <w:hideMark/>
          </w:tcPr>
          <w:p w:rsidR="004E7715" w:rsidRDefault="004E7715">
            <w:pPr>
              <w:jc w:val="right"/>
              <w:rPr>
                <w:rFonts w:ascii="Arial Narrow" w:hAnsi="Arial Narrow"/>
                <w:color w:val="000000"/>
                <w:sz w:val="16"/>
                <w:szCs w:val="16"/>
              </w:rPr>
            </w:pPr>
            <w:r>
              <w:rPr>
                <w:rFonts w:ascii="Arial Narrow" w:hAnsi="Arial Narrow"/>
                <w:color w:val="000000"/>
                <w:sz w:val="16"/>
                <w:szCs w:val="16"/>
              </w:rPr>
              <w:t> </w:t>
            </w:r>
          </w:p>
        </w:tc>
        <w:tc>
          <w:tcPr>
            <w:tcW w:w="316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52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58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60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58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56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58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58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54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56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54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560" w:type="dxa"/>
            <w:tcBorders>
              <w:top w:val="single" w:sz="4" w:space="0" w:color="auto"/>
              <w:left w:val="nil"/>
              <w:bottom w:val="nil"/>
              <w:right w:val="nil"/>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c>
          <w:tcPr>
            <w:tcW w:w="540" w:type="dxa"/>
            <w:tcBorders>
              <w:top w:val="single" w:sz="4" w:space="0" w:color="auto"/>
              <w:left w:val="nil"/>
              <w:bottom w:val="nil"/>
              <w:right w:val="single" w:sz="4" w:space="0" w:color="auto"/>
            </w:tcBorders>
            <w:vAlign w:val="center"/>
            <w:hideMark/>
          </w:tcPr>
          <w:p w:rsidR="004E7715" w:rsidRDefault="004E7715">
            <w:pPr>
              <w:jc w:val="center"/>
              <w:rPr>
                <w:rFonts w:ascii="Arial Narrow" w:hAnsi="Arial Narrow"/>
                <w:b/>
                <w:bCs/>
                <w:color w:val="000000"/>
                <w:sz w:val="16"/>
                <w:szCs w:val="16"/>
              </w:rPr>
            </w:pPr>
            <w:r>
              <w:rPr>
                <w:rFonts w:ascii="Arial Narrow" w:hAnsi="Arial Narrow"/>
                <w:b/>
                <w:bCs/>
                <w:color w:val="000000"/>
                <w:sz w:val="16"/>
                <w:szCs w:val="16"/>
              </w:rPr>
              <w:t> </w:t>
            </w:r>
          </w:p>
        </w:tc>
      </w:tr>
      <w:tr w:rsidR="004E7715" w:rsidTr="004E7715">
        <w:trPr>
          <w:trHeight w:val="255"/>
          <w:jc w:val="center"/>
        </w:trPr>
        <w:tc>
          <w:tcPr>
            <w:tcW w:w="240" w:type="dxa"/>
            <w:tcBorders>
              <w:top w:val="single" w:sz="4" w:space="0" w:color="auto"/>
              <w:left w:val="single" w:sz="4" w:space="0" w:color="auto"/>
              <w:bottom w:val="single" w:sz="4" w:space="0" w:color="auto"/>
              <w:right w:val="nil"/>
            </w:tcBorders>
            <w:vAlign w:val="center"/>
            <w:hideMark/>
          </w:tcPr>
          <w:p w:rsidR="004E7715" w:rsidRDefault="004E7715">
            <w:pPr>
              <w:spacing w:before="120" w:after="120"/>
              <w:jc w:val="right"/>
              <w:rPr>
                <w:rFonts w:ascii="Arial Narrow" w:hAnsi="Arial Narrow"/>
                <w:color w:val="000000"/>
                <w:sz w:val="14"/>
                <w:szCs w:val="14"/>
              </w:rPr>
            </w:pPr>
            <w:r>
              <w:rPr>
                <w:rFonts w:ascii="Arial Narrow" w:hAnsi="Arial Narrow"/>
                <w:color w:val="000000"/>
                <w:sz w:val="14"/>
                <w:szCs w:val="14"/>
              </w:rPr>
              <w:t> </w:t>
            </w:r>
          </w:p>
        </w:tc>
        <w:tc>
          <w:tcPr>
            <w:tcW w:w="316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color w:val="000000"/>
                <w:sz w:val="14"/>
                <w:szCs w:val="14"/>
              </w:rPr>
            </w:pPr>
            <w:r>
              <w:rPr>
                <w:rFonts w:ascii="Arial Narrow" w:hAnsi="Arial Narrow"/>
                <w:color w:val="000000"/>
                <w:sz w:val="14"/>
                <w:szCs w:val="14"/>
              </w:rPr>
              <w:t> </w:t>
            </w:r>
          </w:p>
        </w:tc>
        <w:tc>
          <w:tcPr>
            <w:tcW w:w="52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Ιαν.</w:t>
            </w:r>
          </w:p>
        </w:tc>
        <w:tc>
          <w:tcPr>
            <w:tcW w:w="58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Φεβρ.</w:t>
            </w:r>
          </w:p>
        </w:tc>
        <w:tc>
          <w:tcPr>
            <w:tcW w:w="60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Μαρ.</w:t>
            </w:r>
          </w:p>
        </w:tc>
        <w:tc>
          <w:tcPr>
            <w:tcW w:w="58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Απρ.</w:t>
            </w:r>
          </w:p>
        </w:tc>
        <w:tc>
          <w:tcPr>
            <w:tcW w:w="56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Μάιος</w:t>
            </w:r>
          </w:p>
        </w:tc>
        <w:tc>
          <w:tcPr>
            <w:tcW w:w="58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Ιουν.</w:t>
            </w:r>
          </w:p>
        </w:tc>
        <w:tc>
          <w:tcPr>
            <w:tcW w:w="58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Ιουλ.</w:t>
            </w:r>
          </w:p>
        </w:tc>
        <w:tc>
          <w:tcPr>
            <w:tcW w:w="54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Αυγ.</w:t>
            </w:r>
          </w:p>
        </w:tc>
        <w:tc>
          <w:tcPr>
            <w:tcW w:w="56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Σεπ.</w:t>
            </w:r>
          </w:p>
        </w:tc>
        <w:tc>
          <w:tcPr>
            <w:tcW w:w="54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Οκτ.</w:t>
            </w:r>
          </w:p>
        </w:tc>
        <w:tc>
          <w:tcPr>
            <w:tcW w:w="56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Νοεμ.</w:t>
            </w:r>
          </w:p>
        </w:tc>
        <w:tc>
          <w:tcPr>
            <w:tcW w:w="540" w:type="dxa"/>
            <w:tcBorders>
              <w:top w:val="single" w:sz="4" w:space="0" w:color="auto"/>
              <w:left w:val="nil"/>
              <w:bottom w:val="single" w:sz="4" w:space="0" w:color="auto"/>
              <w:right w:val="single" w:sz="4" w:space="0" w:color="auto"/>
            </w:tcBorders>
            <w:vAlign w:val="center"/>
            <w:hideMark/>
          </w:tcPr>
          <w:p w:rsidR="004E7715" w:rsidRDefault="004E7715">
            <w:pPr>
              <w:spacing w:before="120" w:after="120"/>
              <w:jc w:val="center"/>
              <w:rPr>
                <w:rFonts w:ascii="Arial Narrow" w:hAnsi="Arial Narrow"/>
                <w:b/>
                <w:bCs/>
                <w:color w:val="000000"/>
                <w:sz w:val="14"/>
                <w:szCs w:val="14"/>
              </w:rPr>
            </w:pPr>
            <w:r>
              <w:rPr>
                <w:rFonts w:ascii="Arial Narrow" w:hAnsi="Arial Narrow"/>
                <w:b/>
                <w:bCs/>
                <w:color w:val="000000"/>
                <w:sz w:val="14"/>
                <w:szCs w:val="14"/>
              </w:rPr>
              <w:t>Δεκ.</w:t>
            </w:r>
          </w:p>
        </w:tc>
      </w:tr>
      <w:tr w:rsidR="004E7715" w:rsidTr="004E7715">
        <w:trPr>
          <w:trHeight w:val="170"/>
          <w:jc w:val="center"/>
        </w:trPr>
        <w:tc>
          <w:tcPr>
            <w:tcW w:w="240" w:type="dxa"/>
            <w:tcBorders>
              <w:top w:val="single" w:sz="4" w:space="0" w:color="auto"/>
              <w:left w:val="single" w:sz="4" w:space="0" w:color="auto"/>
              <w:bottom w:val="nil"/>
              <w:right w:val="nil"/>
            </w:tcBorders>
            <w:shd w:val="clear" w:color="auto" w:fill="A6A6A6" w:themeFill="background1" w:themeFillShade="A6"/>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rPr>
              <w:t>I.</w:t>
            </w:r>
          </w:p>
        </w:tc>
        <w:tc>
          <w:tcPr>
            <w:tcW w:w="3160" w:type="dxa"/>
            <w:tcBorders>
              <w:top w:val="single" w:sz="4" w:space="0" w:color="auto"/>
              <w:left w:val="nil"/>
              <w:bottom w:val="nil"/>
              <w:right w:val="nil"/>
            </w:tcBorders>
            <w:shd w:val="clear" w:color="auto" w:fill="A6A6A6" w:themeFill="background1" w:themeFillShade="A6"/>
            <w:vAlign w:val="center"/>
            <w:hideMark/>
          </w:tcPr>
          <w:p w:rsidR="004E7715" w:rsidRDefault="004E7715">
            <w:pPr>
              <w:spacing w:line="288" w:lineRule="auto"/>
              <w:rPr>
                <w:rFonts w:ascii="Arial Narrow" w:hAnsi="Arial Narrow"/>
                <w:b/>
                <w:bCs/>
                <w:sz w:val="14"/>
                <w:szCs w:val="14"/>
              </w:rPr>
            </w:pPr>
            <w:r>
              <w:rPr>
                <w:rFonts w:ascii="Arial Narrow" w:hAnsi="Arial Narrow"/>
                <w:b/>
                <w:bCs/>
                <w:sz w:val="14"/>
                <w:szCs w:val="14"/>
              </w:rPr>
              <w:t>Έσοδα Κρατικού Προϋπολογισμού (1+2)</w:t>
            </w:r>
          </w:p>
        </w:tc>
        <w:tc>
          <w:tcPr>
            <w:tcW w:w="520" w:type="dxa"/>
            <w:tcBorders>
              <w:top w:val="single" w:sz="4" w:space="0" w:color="auto"/>
              <w:left w:val="nil"/>
              <w:bottom w:val="nil"/>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3.893</w:t>
            </w:r>
          </w:p>
        </w:tc>
        <w:tc>
          <w:tcPr>
            <w:tcW w:w="580" w:type="dxa"/>
            <w:tcBorders>
              <w:top w:val="single" w:sz="4" w:space="0" w:color="auto"/>
              <w:left w:val="nil"/>
              <w:bottom w:val="nil"/>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7.841</w:t>
            </w:r>
          </w:p>
        </w:tc>
        <w:tc>
          <w:tcPr>
            <w:tcW w:w="600" w:type="dxa"/>
            <w:tcBorders>
              <w:top w:val="single" w:sz="4" w:space="0" w:color="auto"/>
              <w:left w:val="nil"/>
              <w:bottom w:val="nil"/>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11.223</w:t>
            </w:r>
          </w:p>
        </w:tc>
        <w:tc>
          <w:tcPr>
            <w:tcW w:w="580" w:type="dxa"/>
            <w:tcBorders>
              <w:top w:val="single" w:sz="4" w:space="0" w:color="auto"/>
              <w:left w:val="nil"/>
              <w:bottom w:val="nil"/>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14.310</w:t>
            </w:r>
          </w:p>
        </w:tc>
        <w:tc>
          <w:tcPr>
            <w:tcW w:w="560" w:type="dxa"/>
            <w:tcBorders>
              <w:top w:val="single" w:sz="4" w:space="0" w:color="auto"/>
              <w:left w:val="nil"/>
              <w:bottom w:val="nil"/>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17.588</w:t>
            </w:r>
          </w:p>
        </w:tc>
        <w:tc>
          <w:tcPr>
            <w:tcW w:w="580" w:type="dxa"/>
            <w:tcBorders>
              <w:top w:val="single" w:sz="4" w:space="0" w:color="auto"/>
              <w:left w:val="nil"/>
              <w:bottom w:val="nil"/>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21.550</w:t>
            </w:r>
          </w:p>
        </w:tc>
        <w:tc>
          <w:tcPr>
            <w:tcW w:w="580" w:type="dxa"/>
            <w:tcBorders>
              <w:top w:val="single" w:sz="4" w:space="0" w:color="auto"/>
              <w:left w:val="nil"/>
              <w:bottom w:val="nil"/>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27.196</w:t>
            </w:r>
          </w:p>
        </w:tc>
        <w:tc>
          <w:tcPr>
            <w:tcW w:w="540" w:type="dxa"/>
            <w:tcBorders>
              <w:top w:val="single" w:sz="4" w:space="0" w:color="auto"/>
              <w:left w:val="nil"/>
              <w:bottom w:val="nil"/>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31.234</w:t>
            </w:r>
          </w:p>
        </w:tc>
        <w:tc>
          <w:tcPr>
            <w:tcW w:w="560" w:type="dxa"/>
            <w:tcBorders>
              <w:top w:val="single" w:sz="4" w:space="0" w:color="auto"/>
              <w:left w:val="nil"/>
              <w:bottom w:val="nil"/>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37.305</w:t>
            </w:r>
          </w:p>
        </w:tc>
        <w:tc>
          <w:tcPr>
            <w:tcW w:w="540" w:type="dxa"/>
            <w:tcBorders>
              <w:top w:val="single" w:sz="4" w:space="0" w:color="auto"/>
              <w:left w:val="nil"/>
              <w:bottom w:val="nil"/>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42.293</w:t>
            </w:r>
          </w:p>
        </w:tc>
        <w:tc>
          <w:tcPr>
            <w:tcW w:w="560" w:type="dxa"/>
            <w:tcBorders>
              <w:top w:val="single" w:sz="4" w:space="0" w:color="auto"/>
              <w:left w:val="nil"/>
              <w:bottom w:val="nil"/>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47.562</w:t>
            </w:r>
          </w:p>
        </w:tc>
        <w:tc>
          <w:tcPr>
            <w:tcW w:w="540" w:type="dxa"/>
            <w:tcBorders>
              <w:top w:val="single" w:sz="4" w:space="0" w:color="auto"/>
              <w:left w:val="nil"/>
              <w:bottom w:val="nil"/>
              <w:right w:val="single" w:sz="4" w:space="0" w:color="auto"/>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54.244</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 </w:t>
            </w:r>
          </w:p>
        </w:tc>
        <w:tc>
          <w:tcPr>
            <w:tcW w:w="3160" w:type="dxa"/>
            <w:hideMark/>
          </w:tcPr>
          <w:p w:rsidR="004E7715" w:rsidRDefault="004E7715">
            <w:pPr>
              <w:spacing w:line="288" w:lineRule="auto"/>
              <w:rPr>
                <w:rFonts w:ascii="Arial Narrow" w:hAnsi="Arial Narrow"/>
                <w:sz w:val="14"/>
                <w:szCs w:val="14"/>
              </w:rPr>
            </w:pPr>
            <w:r>
              <w:rPr>
                <w:rFonts w:ascii="Arial Narrow" w:hAnsi="Arial Narrow"/>
                <w:sz w:val="14"/>
                <w:szCs w:val="14"/>
              </w:rPr>
              <w:t> </w:t>
            </w:r>
          </w:p>
        </w:tc>
        <w:tc>
          <w:tcPr>
            <w:tcW w:w="52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60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 </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rPr>
              <w:t>1.</w:t>
            </w:r>
          </w:p>
        </w:tc>
        <w:tc>
          <w:tcPr>
            <w:tcW w:w="3160" w:type="dxa"/>
            <w:vAlign w:val="center"/>
            <w:hideMark/>
          </w:tcPr>
          <w:p w:rsidR="004E7715" w:rsidRDefault="004E7715">
            <w:pPr>
              <w:spacing w:line="288" w:lineRule="auto"/>
              <w:rPr>
                <w:rFonts w:ascii="Arial Narrow" w:hAnsi="Arial Narrow"/>
                <w:b/>
                <w:bCs/>
                <w:sz w:val="14"/>
                <w:szCs w:val="14"/>
              </w:rPr>
            </w:pPr>
            <w:r>
              <w:rPr>
                <w:rFonts w:ascii="Arial Narrow" w:hAnsi="Arial Narrow"/>
                <w:b/>
                <w:bCs/>
                <w:sz w:val="14"/>
                <w:szCs w:val="14"/>
              </w:rPr>
              <w:t>Καθαρά έσοδα Τακτικού Προϋπολογισμού (α+β+γ-δ)</w:t>
            </w:r>
          </w:p>
        </w:tc>
        <w:tc>
          <w:tcPr>
            <w:tcW w:w="52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3.787</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7.624</w:t>
            </w:r>
          </w:p>
        </w:tc>
        <w:tc>
          <w:tcPr>
            <w:tcW w:w="60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10.692</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13.734</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16.928</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20.794</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26.052</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30.011</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35.608</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40.092</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44.634</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50.509</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α.</w:t>
            </w:r>
          </w:p>
        </w:tc>
        <w:tc>
          <w:tcPr>
            <w:tcW w:w="3160" w:type="dxa"/>
            <w:vAlign w:val="center"/>
            <w:hideMark/>
          </w:tcPr>
          <w:p w:rsidR="004E7715" w:rsidRDefault="004E7715">
            <w:pPr>
              <w:spacing w:line="288" w:lineRule="auto"/>
              <w:rPr>
                <w:rFonts w:ascii="Arial Narrow" w:hAnsi="Arial Narrow"/>
                <w:sz w:val="14"/>
                <w:szCs w:val="14"/>
              </w:rPr>
            </w:pPr>
            <w:r>
              <w:rPr>
                <w:rFonts w:ascii="Arial Narrow" w:hAnsi="Arial Narrow"/>
                <w:sz w:val="14"/>
                <w:szCs w:val="14"/>
              </w:rPr>
              <w:t>Έσοδα προ επιστροφών φόρων</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4.115</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7.911</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11.191</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14.472</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17.916</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21.652</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27.177</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31.332</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37.184</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41.925</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46.789</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52.733</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β.</w:t>
            </w:r>
          </w:p>
        </w:tc>
        <w:tc>
          <w:tcPr>
            <w:tcW w:w="3160" w:type="dxa"/>
            <w:vAlign w:val="center"/>
            <w:hideMark/>
          </w:tcPr>
          <w:p w:rsidR="004E7715" w:rsidRDefault="004E7715">
            <w:pPr>
              <w:spacing w:line="288" w:lineRule="auto"/>
              <w:rPr>
                <w:rFonts w:ascii="Arial Narrow" w:hAnsi="Arial Narrow"/>
                <w:sz w:val="14"/>
                <w:szCs w:val="14"/>
              </w:rPr>
            </w:pPr>
            <w:r>
              <w:rPr>
                <w:rFonts w:ascii="Arial Narrow" w:hAnsi="Arial Narrow"/>
                <w:sz w:val="14"/>
                <w:szCs w:val="14"/>
              </w:rPr>
              <w:t>Έσοδα αποκρατικοποιήσεων</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8</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38</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42</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45</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472</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484</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497</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512</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520</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527</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1.110</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γ.</w:t>
            </w:r>
          </w:p>
        </w:tc>
        <w:tc>
          <w:tcPr>
            <w:tcW w:w="3160" w:type="dxa"/>
            <w:vAlign w:val="center"/>
            <w:hideMark/>
          </w:tcPr>
          <w:p w:rsidR="004E7715" w:rsidRDefault="00B04E28" w:rsidP="00B04E28">
            <w:pPr>
              <w:spacing w:line="288" w:lineRule="auto"/>
              <w:rPr>
                <w:rFonts w:ascii="Arial Narrow" w:hAnsi="Arial Narrow"/>
                <w:sz w:val="14"/>
                <w:szCs w:val="14"/>
              </w:rPr>
            </w:pPr>
            <w:r>
              <w:rPr>
                <w:rFonts w:ascii="Arial Narrow" w:hAnsi="Arial Narrow"/>
                <w:sz w:val="14"/>
                <w:szCs w:val="14"/>
              </w:rPr>
              <w:t>Μεταφορά εσόδων</w:t>
            </w:r>
            <w:r w:rsidR="004E7715">
              <w:rPr>
                <w:rFonts w:ascii="Arial Narrow" w:hAnsi="Arial Narrow"/>
                <w:sz w:val="14"/>
                <w:szCs w:val="14"/>
              </w:rPr>
              <w:t xml:space="preserve"> από ANFA</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314</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314</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314</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314</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314</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314</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314</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314</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314</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314</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314</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δ.</w:t>
            </w:r>
          </w:p>
        </w:tc>
        <w:tc>
          <w:tcPr>
            <w:tcW w:w="3160" w:type="dxa"/>
            <w:vAlign w:val="center"/>
            <w:hideMark/>
          </w:tcPr>
          <w:p w:rsidR="004E7715" w:rsidRDefault="004E7715">
            <w:pPr>
              <w:spacing w:line="288" w:lineRule="auto"/>
              <w:rPr>
                <w:rFonts w:ascii="Arial Narrow" w:hAnsi="Arial Narrow"/>
                <w:sz w:val="14"/>
                <w:szCs w:val="14"/>
              </w:rPr>
            </w:pPr>
            <w:r>
              <w:rPr>
                <w:rFonts w:ascii="Arial Narrow" w:hAnsi="Arial Narrow"/>
                <w:sz w:val="14"/>
                <w:szCs w:val="14"/>
              </w:rPr>
              <w:t>Επιστροφές φόρων</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331</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609</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852</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1.093</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1.348</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1.645</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1.923</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2.131</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2.402</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2.667</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2.997</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3.648</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 </w:t>
            </w:r>
          </w:p>
        </w:tc>
        <w:tc>
          <w:tcPr>
            <w:tcW w:w="3160" w:type="dxa"/>
            <w:hideMark/>
          </w:tcPr>
          <w:p w:rsidR="004E7715" w:rsidRDefault="004E7715">
            <w:pPr>
              <w:spacing w:line="288" w:lineRule="auto"/>
              <w:rPr>
                <w:rFonts w:ascii="Arial Narrow" w:hAnsi="Arial Narrow"/>
                <w:sz w:val="14"/>
                <w:szCs w:val="14"/>
              </w:rPr>
            </w:pPr>
            <w:r>
              <w:rPr>
                <w:rFonts w:ascii="Arial Narrow" w:hAnsi="Arial Narrow"/>
                <w:sz w:val="14"/>
                <w:szCs w:val="14"/>
              </w:rPr>
              <w:t> </w:t>
            </w:r>
          </w:p>
        </w:tc>
        <w:tc>
          <w:tcPr>
            <w:tcW w:w="52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60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 </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rPr>
              <w:t>2.</w:t>
            </w:r>
          </w:p>
        </w:tc>
        <w:tc>
          <w:tcPr>
            <w:tcW w:w="3160" w:type="dxa"/>
            <w:vAlign w:val="center"/>
            <w:hideMark/>
          </w:tcPr>
          <w:p w:rsidR="004E7715" w:rsidRDefault="004E7715">
            <w:pPr>
              <w:spacing w:line="288" w:lineRule="auto"/>
              <w:rPr>
                <w:rFonts w:ascii="Arial Narrow" w:hAnsi="Arial Narrow"/>
                <w:b/>
                <w:bCs/>
                <w:sz w:val="14"/>
                <w:szCs w:val="14"/>
              </w:rPr>
            </w:pPr>
            <w:r>
              <w:rPr>
                <w:rFonts w:ascii="Arial Narrow" w:hAnsi="Arial Narrow"/>
                <w:b/>
                <w:bCs/>
                <w:sz w:val="14"/>
                <w:szCs w:val="14"/>
              </w:rPr>
              <w:t>Έσοδα Προγράμματος Δημοσίων Επενδύσεων</w:t>
            </w:r>
          </w:p>
        </w:tc>
        <w:tc>
          <w:tcPr>
            <w:tcW w:w="52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106</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217</w:t>
            </w:r>
          </w:p>
        </w:tc>
        <w:tc>
          <w:tcPr>
            <w:tcW w:w="60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531</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576</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660</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756</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1.144</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1.223</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1.697</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2.201</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2.928</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3.735</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 </w:t>
            </w:r>
          </w:p>
        </w:tc>
        <w:tc>
          <w:tcPr>
            <w:tcW w:w="3160" w:type="dxa"/>
            <w:vAlign w:val="center"/>
            <w:hideMark/>
          </w:tcPr>
          <w:p w:rsidR="004E7715" w:rsidRDefault="004E7715">
            <w:pPr>
              <w:spacing w:line="288" w:lineRule="auto"/>
              <w:rPr>
                <w:rFonts w:ascii="Arial Narrow" w:hAnsi="Arial Narrow"/>
                <w:color w:val="000000"/>
                <w:sz w:val="14"/>
                <w:szCs w:val="14"/>
              </w:rPr>
            </w:pPr>
            <w:r>
              <w:rPr>
                <w:rFonts w:ascii="Arial Narrow" w:hAnsi="Arial Narrow"/>
                <w:color w:val="000000"/>
                <w:sz w:val="14"/>
                <w:szCs w:val="14"/>
              </w:rPr>
              <w:t> </w:t>
            </w:r>
          </w:p>
        </w:tc>
        <w:tc>
          <w:tcPr>
            <w:tcW w:w="52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60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 </w:t>
            </w:r>
          </w:p>
        </w:tc>
      </w:tr>
      <w:tr w:rsidR="004E7715" w:rsidTr="004E7715">
        <w:trPr>
          <w:trHeight w:val="170"/>
          <w:jc w:val="center"/>
        </w:trPr>
        <w:tc>
          <w:tcPr>
            <w:tcW w:w="240" w:type="dxa"/>
            <w:tcBorders>
              <w:top w:val="nil"/>
              <w:left w:val="single" w:sz="4" w:space="0" w:color="auto"/>
              <w:bottom w:val="nil"/>
              <w:right w:val="nil"/>
            </w:tcBorders>
            <w:shd w:val="clear" w:color="auto" w:fill="A6A6A6" w:themeFill="background1" w:themeFillShade="A6"/>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rPr>
              <w:t>II.</w:t>
            </w:r>
          </w:p>
        </w:tc>
        <w:tc>
          <w:tcPr>
            <w:tcW w:w="3160" w:type="dxa"/>
            <w:shd w:val="clear" w:color="auto" w:fill="A6A6A6" w:themeFill="background1" w:themeFillShade="A6"/>
            <w:vAlign w:val="center"/>
            <w:hideMark/>
          </w:tcPr>
          <w:p w:rsidR="004E7715" w:rsidRDefault="004A0F05">
            <w:pPr>
              <w:spacing w:line="288" w:lineRule="auto"/>
              <w:rPr>
                <w:rFonts w:ascii="Arial Narrow" w:hAnsi="Arial Narrow"/>
                <w:b/>
                <w:bCs/>
                <w:sz w:val="14"/>
                <w:szCs w:val="14"/>
              </w:rPr>
            </w:pPr>
            <w:r>
              <w:rPr>
                <w:rFonts w:ascii="Arial Narrow" w:hAnsi="Arial Narrow"/>
                <w:b/>
                <w:bCs/>
                <w:sz w:val="14"/>
                <w:szCs w:val="14"/>
              </w:rPr>
              <w:t>Δαπάνες Κρατικού</w:t>
            </w:r>
            <w:r w:rsidR="004E7715">
              <w:rPr>
                <w:rFonts w:ascii="Arial Narrow" w:hAnsi="Arial Narrow"/>
                <w:b/>
                <w:bCs/>
                <w:sz w:val="14"/>
                <w:szCs w:val="14"/>
              </w:rPr>
              <w:t xml:space="preserve"> Προϋπολογισμού  (1+2)</w:t>
            </w:r>
          </w:p>
        </w:tc>
        <w:tc>
          <w:tcPr>
            <w:tcW w:w="52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3.391</w:t>
            </w:r>
          </w:p>
        </w:tc>
        <w:tc>
          <w:tcPr>
            <w:tcW w:w="58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7.743</w:t>
            </w:r>
          </w:p>
        </w:tc>
        <w:tc>
          <w:tcPr>
            <w:tcW w:w="60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12.039</w:t>
            </w:r>
          </w:p>
        </w:tc>
        <w:tc>
          <w:tcPr>
            <w:tcW w:w="58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16.073</w:t>
            </w:r>
          </w:p>
        </w:tc>
        <w:tc>
          <w:tcPr>
            <w:tcW w:w="56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19.751</w:t>
            </w:r>
          </w:p>
        </w:tc>
        <w:tc>
          <w:tcPr>
            <w:tcW w:w="58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24.784</w:t>
            </w:r>
          </w:p>
        </w:tc>
        <w:tc>
          <w:tcPr>
            <w:tcW w:w="58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29.475</w:t>
            </w:r>
          </w:p>
        </w:tc>
        <w:tc>
          <w:tcPr>
            <w:tcW w:w="54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34.060</w:t>
            </w:r>
          </w:p>
        </w:tc>
        <w:tc>
          <w:tcPr>
            <w:tcW w:w="56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38.101</w:t>
            </w:r>
          </w:p>
        </w:tc>
        <w:tc>
          <w:tcPr>
            <w:tcW w:w="54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42.651</w:t>
            </w:r>
          </w:p>
        </w:tc>
        <w:tc>
          <w:tcPr>
            <w:tcW w:w="56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47.645</w:t>
            </w:r>
          </w:p>
        </w:tc>
        <w:tc>
          <w:tcPr>
            <w:tcW w:w="540" w:type="dxa"/>
            <w:tcBorders>
              <w:top w:val="nil"/>
              <w:left w:val="nil"/>
              <w:bottom w:val="nil"/>
              <w:right w:val="single" w:sz="4" w:space="0" w:color="auto"/>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55.188</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rPr>
              <w:t> </w:t>
            </w:r>
          </w:p>
        </w:tc>
        <w:tc>
          <w:tcPr>
            <w:tcW w:w="3160" w:type="dxa"/>
            <w:vAlign w:val="center"/>
            <w:hideMark/>
          </w:tcPr>
          <w:p w:rsidR="004E7715" w:rsidRDefault="004E7715">
            <w:pPr>
              <w:spacing w:line="288" w:lineRule="auto"/>
              <w:rPr>
                <w:rFonts w:ascii="Arial Narrow" w:hAnsi="Arial Narrow"/>
                <w:b/>
                <w:bCs/>
                <w:sz w:val="14"/>
                <w:szCs w:val="14"/>
              </w:rPr>
            </w:pPr>
            <w:r>
              <w:rPr>
                <w:rFonts w:ascii="Arial Narrow" w:hAnsi="Arial Narrow"/>
                <w:b/>
                <w:bCs/>
                <w:sz w:val="14"/>
                <w:szCs w:val="14"/>
              </w:rPr>
              <w:t> </w:t>
            </w:r>
          </w:p>
        </w:tc>
        <w:tc>
          <w:tcPr>
            <w:tcW w:w="52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60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 </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rPr>
              <w:t>1.</w:t>
            </w:r>
          </w:p>
        </w:tc>
        <w:tc>
          <w:tcPr>
            <w:tcW w:w="3160" w:type="dxa"/>
            <w:vAlign w:val="center"/>
            <w:hideMark/>
          </w:tcPr>
          <w:p w:rsidR="004E7715" w:rsidRDefault="004E7715">
            <w:pPr>
              <w:spacing w:line="288" w:lineRule="auto"/>
              <w:rPr>
                <w:rFonts w:ascii="Arial Narrow" w:hAnsi="Arial Narrow"/>
                <w:b/>
                <w:bCs/>
                <w:sz w:val="14"/>
                <w:szCs w:val="14"/>
              </w:rPr>
            </w:pPr>
            <w:r>
              <w:rPr>
                <w:rFonts w:ascii="Arial Narrow" w:hAnsi="Arial Narrow"/>
                <w:b/>
                <w:bCs/>
                <w:sz w:val="14"/>
                <w:szCs w:val="14"/>
              </w:rPr>
              <w:t>Δαπάνες Τακτικού Προϋπολογισμού (Α+Β)</w:t>
            </w:r>
          </w:p>
        </w:tc>
        <w:tc>
          <w:tcPr>
            <w:tcW w:w="52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3.216</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7.358</w:t>
            </w:r>
          </w:p>
        </w:tc>
        <w:tc>
          <w:tcPr>
            <w:tcW w:w="60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11.359</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15.013</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18.441</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23.149</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27.485</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31.660</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35.191</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39.241</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43.600</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48.438</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rPr>
              <w:t> </w:t>
            </w:r>
          </w:p>
        </w:tc>
        <w:tc>
          <w:tcPr>
            <w:tcW w:w="3160" w:type="dxa"/>
            <w:vAlign w:val="center"/>
            <w:hideMark/>
          </w:tcPr>
          <w:p w:rsidR="004E7715" w:rsidRDefault="004E7715">
            <w:pPr>
              <w:spacing w:line="288" w:lineRule="auto"/>
              <w:rPr>
                <w:rFonts w:ascii="Arial Narrow" w:hAnsi="Arial Narrow"/>
                <w:b/>
                <w:bCs/>
                <w:sz w:val="14"/>
                <w:szCs w:val="14"/>
              </w:rPr>
            </w:pPr>
            <w:r>
              <w:rPr>
                <w:rFonts w:ascii="Arial Narrow" w:hAnsi="Arial Narrow"/>
                <w:b/>
                <w:bCs/>
                <w:sz w:val="14"/>
                <w:szCs w:val="14"/>
              </w:rPr>
              <w:t> </w:t>
            </w:r>
          </w:p>
        </w:tc>
        <w:tc>
          <w:tcPr>
            <w:tcW w:w="520" w:type="dxa"/>
            <w:vAlign w:val="center"/>
            <w:hideMark/>
          </w:tcPr>
          <w:p w:rsidR="004E7715" w:rsidRPr="003A17B9" w:rsidRDefault="004E7715" w:rsidP="004E7715">
            <w:pPr>
              <w:jc w:val="right"/>
              <w:rPr>
                <w:rFonts w:ascii="Arial Narrow" w:hAnsi="Arial Narrow"/>
                <w:b/>
                <w:bCs/>
                <w:color w:val="000000"/>
                <w:sz w:val="14"/>
                <w:szCs w:val="16"/>
              </w:rPr>
            </w:pPr>
          </w:p>
        </w:tc>
        <w:tc>
          <w:tcPr>
            <w:tcW w:w="580" w:type="dxa"/>
            <w:vAlign w:val="center"/>
            <w:hideMark/>
          </w:tcPr>
          <w:p w:rsidR="004E7715" w:rsidRPr="003A17B9" w:rsidRDefault="004E7715" w:rsidP="004E7715">
            <w:pPr>
              <w:jc w:val="right"/>
              <w:rPr>
                <w:rFonts w:ascii="Arial Narrow" w:hAnsi="Arial Narrow"/>
                <w:b/>
                <w:bCs/>
                <w:color w:val="000000"/>
                <w:sz w:val="14"/>
                <w:szCs w:val="16"/>
              </w:rPr>
            </w:pPr>
          </w:p>
        </w:tc>
        <w:tc>
          <w:tcPr>
            <w:tcW w:w="600" w:type="dxa"/>
            <w:vAlign w:val="center"/>
            <w:hideMark/>
          </w:tcPr>
          <w:p w:rsidR="004E7715" w:rsidRPr="003A17B9" w:rsidRDefault="004E7715" w:rsidP="004E7715">
            <w:pPr>
              <w:jc w:val="right"/>
              <w:rPr>
                <w:rFonts w:ascii="Arial Narrow" w:hAnsi="Arial Narrow"/>
                <w:b/>
                <w:bCs/>
                <w:color w:val="000000"/>
                <w:sz w:val="14"/>
                <w:szCs w:val="16"/>
              </w:rPr>
            </w:pPr>
          </w:p>
        </w:tc>
        <w:tc>
          <w:tcPr>
            <w:tcW w:w="580" w:type="dxa"/>
            <w:vAlign w:val="center"/>
            <w:hideMark/>
          </w:tcPr>
          <w:p w:rsidR="004E7715" w:rsidRPr="003A17B9" w:rsidRDefault="004E7715" w:rsidP="004E7715">
            <w:pPr>
              <w:jc w:val="right"/>
              <w:rPr>
                <w:rFonts w:ascii="Arial Narrow" w:hAnsi="Arial Narrow"/>
                <w:b/>
                <w:bCs/>
                <w:color w:val="000000"/>
                <w:sz w:val="14"/>
                <w:szCs w:val="16"/>
              </w:rPr>
            </w:pPr>
          </w:p>
        </w:tc>
        <w:tc>
          <w:tcPr>
            <w:tcW w:w="560" w:type="dxa"/>
            <w:vAlign w:val="center"/>
            <w:hideMark/>
          </w:tcPr>
          <w:p w:rsidR="004E7715" w:rsidRPr="003A17B9" w:rsidRDefault="004E7715" w:rsidP="004E7715">
            <w:pPr>
              <w:jc w:val="right"/>
              <w:rPr>
                <w:rFonts w:ascii="Arial Narrow" w:hAnsi="Arial Narrow"/>
                <w:b/>
                <w:bCs/>
                <w:color w:val="000000"/>
                <w:sz w:val="14"/>
                <w:szCs w:val="16"/>
              </w:rPr>
            </w:pPr>
          </w:p>
        </w:tc>
        <w:tc>
          <w:tcPr>
            <w:tcW w:w="580" w:type="dxa"/>
            <w:vAlign w:val="center"/>
            <w:hideMark/>
          </w:tcPr>
          <w:p w:rsidR="004E7715" w:rsidRPr="003A17B9" w:rsidRDefault="004E7715" w:rsidP="004E7715">
            <w:pPr>
              <w:jc w:val="right"/>
              <w:rPr>
                <w:rFonts w:ascii="Arial Narrow" w:hAnsi="Arial Narrow"/>
                <w:b/>
                <w:bCs/>
                <w:color w:val="000000"/>
                <w:sz w:val="14"/>
                <w:szCs w:val="16"/>
              </w:rPr>
            </w:pPr>
          </w:p>
        </w:tc>
        <w:tc>
          <w:tcPr>
            <w:tcW w:w="580" w:type="dxa"/>
            <w:vAlign w:val="center"/>
            <w:hideMark/>
          </w:tcPr>
          <w:p w:rsidR="004E7715" w:rsidRPr="003A17B9" w:rsidRDefault="004E7715" w:rsidP="004E7715">
            <w:pPr>
              <w:jc w:val="right"/>
              <w:rPr>
                <w:rFonts w:ascii="Arial Narrow" w:hAnsi="Arial Narrow"/>
                <w:b/>
                <w:bCs/>
                <w:color w:val="000000"/>
                <w:sz w:val="14"/>
                <w:szCs w:val="16"/>
              </w:rPr>
            </w:pPr>
          </w:p>
        </w:tc>
        <w:tc>
          <w:tcPr>
            <w:tcW w:w="540" w:type="dxa"/>
            <w:vAlign w:val="center"/>
            <w:hideMark/>
          </w:tcPr>
          <w:p w:rsidR="004E7715" w:rsidRPr="003A17B9" w:rsidRDefault="004E7715" w:rsidP="004E7715">
            <w:pPr>
              <w:jc w:val="right"/>
              <w:rPr>
                <w:rFonts w:ascii="Arial Narrow" w:hAnsi="Arial Narrow"/>
                <w:b/>
                <w:bCs/>
                <w:color w:val="000000"/>
                <w:sz w:val="14"/>
                <w:szCs w:val="16"/>
              </w:rPr>
            </w:pPr>
          </w:p>
        </w:tc>
        <w:tc>
          <w:tcPr>
            <w:tcW w:w="560" w:type="dxa"/>
            <w:vAlign w:val="center"/>
            <w:hideMark/>
          </w:tcPr>
          <w:p w:rsidR="004E7715" w:rsidRPr="003A17B9" w:rsidRDefault="004E7715" w:rsidP="004E7715">
            <w:pPr>
              <w:jc w:val="right"/>
              <w:rPr>
                <w:rFonts w:ascii="Arial Narrow" w:hAnsi="Arial Narrow"/>
                <w:b/>
                <w:bCs/>
                <w:color w:val="000000"/>
                <w:sz w:val="14"/>
                <w:szCs w:val="16"/>
              </w:rPr>
            </w:pPr>
          </w:p>
        </w:tc>
        <w:tc>
          <w:tcPr>
            <w:tcW w:w="540" w:type="dxa"/>
            <w:vAlign w:val="center"/>
            <w:hideMark/>
          </w:tcPr>
          <w:p w:rsidR="004E7715" w:rsidRPr="003A17B9" w:rsidRDefault="004E7715" w:rsidP="004E7715">
            <w:pPr>
              <w:jc w:val="right"/>
              <w:rPr>
                <w:rFonts w:ascii="Arial Narrow" w:hAnsi="Arial Narrow"/>
                <w:b/>
                <w:bCs/>
                <w:color w:val="000000"/>
                <w:sz w:val="14"/>
                <w:szCs w:val="16"/>
              </w:rPr>
            </w:pPr>
          </w:p>
        </w:tc>
        <w:tc>
          <w:tcPr>
            <w:tcW w:w="560" w:type="dxa"/>
            <w:vAlign w:val="center"/>
            <w:hideMark/>
          </w:tcPr>
          <w:p w:rsidR="004E7715" w:rsidRPr="003A17B9" w:rsidRDefault="004E7715" w:rsidP="004E7715">
            <w:pPr>
              <w:jc w:val="right"/>
              <w:rPr>
                <w:rFonts w:ascii="Arial Narrow" w:hAnsi="Arial Narrow"/>
                <w:b/>
                <w:bCs/>
                <w:color w:val="000000"/>
                <w:sz w:val="14"/>
                <w:szCs w:val="16"/>
              </w:rPr>
            </w:pP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 </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rPr>
              <w:t>A.</w:t>
            </w:r>
          </w:p>
        </w:tc>
        <w:tc>
          <w:tcPr>
            <w:tcW w:w="3160" w:type="dxa"/>
            <w:vAlign w:val="center"/>
            <w:hideMark/>
          </w:tcPr>
          <w:p w:rsidR="004E7715" w:rsidRDefault="004E7715">
            <w:pPr>
              <w:spacing w:line="288" w:lineRule="auto"/>
              <w:rPr>
                <w:rFonts w:ascii="Arial Narrow" w:hAnsi="Arial Narrow"/>
                <w:b/>
                <w:bCs/>
                <w:sz w:val="14"/>
                <w:szCs w:val="14"/>
              </w:rPr>
            </w:pPr>
            <w:r>
              <w:rPr>
                <w:rFonts w:ascii="Arial Narrow" w:hAnsi="Arial Narrow"/>
                <w:b/>
                <w:bCs/>
                <w:sz w:val="14"/>
                <w:szCs w:val="14"/>
              </w:rPr>
              <w:t>Πρωτογενείς δαπάνες Τακτικού Προϋπολογισμού (i+ii+iii+iv+</w:t>
            </w:r>
            <w:r>
              <w:rPr>
                <w:rFonts w:ascii="Arial Narrow" w:hAnsi="Arial Narrow"/>
                <w:b/>
                <w:bCs/>
                <w:sz w:val="14"/>
                <w:szCs w:val="14"/>
                <w:lang w:val="en-GB"/>
              </w:rPr>
              <w:t>v</w:t>
            </w:r>
            <w:r>
              <w:rPr>
                <w:rFonts w:ascii="Arial Narrow" w:hAnsi="Arial Narrow"/>
                <w:b/>
                <w:bCs/>
                <w:sz w:val="14"/>
                <w:szCs w:val="14"/>
              </w:rPr>
              <w:t>+</w:t>
            </w:r>
            <w:r>
              <w:rPr>
                <w:rFonts w:ascii="Arial Narrow" w:hAnsi="Arial Narrow"/>
                <w:b/>
                <w:bCs/>
                <w:sz w:val="14"/>
                <w:szCs w:val="14"/>
                <w:lang w:val="en-GB"/>
              </w:rPr>
              <w:t>vi</w:t>
            </w:r>
            <w:r>
              <w:rPr>
                <w:rFonts w:ascii="Arial Narrow" w:hAnsi="Arial Narrow"/>
                <w:b/>
                <w:bCs/>
                <w:sz w:val="14"/>
                <w:szCs w:val="14"/>
              </w:rPr>
              <w:t>+</w:t>
            </w:r>
            <w:r>
              <w:rPr>
                <w:rFonts w:ascii="Arial Narrow" w:hAnsi="Arial Narrow"/>
                <w:b/>
                <w:bCs/>
                <w:sz w:val="14"/>
                <w:szCs w:val="14"/>
                <w:lang w:val="en-GB"/>
              </w:rPr>
              <w:t>vii</w:t>
            </w:r>
            <w:r>
              <w:rPr>
                <w:rFonts w:ascii="Arial Narrow" w:hAnsi="Arial Narrow"/>
                <w:b/>
                <w:bCs/>
                <w:sz w:val="14"/>
                <w:szCs w:val="14"/>
              </w:rPr>
              <w:t>+</w:t>
            </w:r>
            <w:r>
              <w:rPr>
                <w:rFonts w:ascii="Arial Narrow" w:hAnsi="Arial Narrow"/>
                <w:b/>
                <w:bCs/>
                <w:sz w:val="14"/>
                <w:szCs w:val="14"/>
                <w:lang w:val="en-GB"/>
              </w:rPr>
              <w:t>viii</w:t>
            </w:r>
            <w:r>
              <w:rPr>
                <w:rFonts w:ascii="Arial Narrow" w:hAnsi="Arial Narrow"/>
                <w:b/>
                <w:bCs/>
                <w:sz w:val="14"/>
                <w:szCs w:val="14"/>
              </w:rPr>
              <w:t>)</w:t>
            </w:r>
          </w:p>
        </w:tc>
        <w:tc>
          <w:tcPr>
            <w:tcW w:w="52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2.997</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6.149</w:t>
            </w:r>
          </w:p>
        </w:tc>
        <w:tc>
          <w:tcPr>
            <w:tcW w:w="60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9.447</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12.876</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16.098</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20.365</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23.948</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27.359</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30.829</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34.530</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38.624</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43.238</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i.</w:t>
            </w:r>
          </w:p>
        </w:tc>
        <w:tc>
          <w:tcPr>
            <w:tcW w:w="3160" w:type="dxa"/>
            <w:vAlign w:val="center"/>
            <w:hideMark/>
          </w:tcPr>
          <w:p w:rsidR="004E7715" w:rsidRDefault="004E7715">
            <w:pPr>
              <w:spacing w:line="288" w:lineRule="auto"/>
              <w:rPr>
                <w:rFonts w:ascii="Arial Narrow" w:hAnsi="Arial Narrow"/>
                <w:sz w:val="14"/>
                <w:szCs w:val="14"/>
              </w:rPr>
            </w:pPr>
            <w:r>
              <w:rPr>
                <w:rFonts w:ascii="Arial Narrow" w:hAnsi="Arial Narrow"/>
                <w:sz w:val="14"/>
                <w:szCs w:val="14"/>
              </w:rPr>
              <w:t xml:space="preserve">Μισθοί και συντάξεις </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1.045</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2.090</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3.135</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4.180</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5.225</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6.269</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7.318</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8.366</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9.414</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10.563</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11.611</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12.660</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ii.</w:t>
            </w:r>
          </w:p>
        </w:tc>
        <w:tc>
          <w:tcPr>
            <w:tcW w:w="3160" w:type="dxa"/>
            <w:vAlign w:val="center"/>
            <w:hideMark/>
          </w:tcPr>
          <w:p w:rsidR="004E7715" w:rsidRDefault="004E7715">
            <w:pPr>
              <w:spacing w:line="288" w:lineRule="auto"/>
              <w:rPr>
                <w:rFonts w:ascii="Arial Narrow" w:hAnsi="Arial Narrow"/>
                <w:sz w:val="14"/>
                <w:szCs w:val="14"/>
              </w:rPr>
            </w:pPr>
            <w:r>
              <w:rPr>
                <w:rFonts w:ascii="Arial Narrow" w:hAnsi="Arial Narrow"/>
                <w:sz w:val="14"/>
                <w:szCs w:val="14"/>
              </w:rPr>
              <w:t xml:space="preserve">Ασφάλιση, περίθαλψη και κοινωνική προστασία </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1.417</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2.944</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4.417</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6.124</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7.518</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9.167</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10.752</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12.280</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13.766</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15.555</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17.326</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19.438</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iii.</w:t>
            </w:r>
          </w:p>
        </w:tc>
        <w:tc>
          <w:tcPr>
            <w:tcW w:w="3160" w:type="dxa"/>
            <w:vAlign w:val="center"/>
            <w:hideMark/>
          </w:tcPr>
          <w:p w:rsidR="004E7715" w:rsidRDefault="004E7715">
            <w:pPr>
              <w:spacing w:line="288" w:lineRule="auto"/>
              <w:rPr>
                <w:rFonts w:ascii="Arial Narrow" w:hAnsi="Arial Narrow"/>
                <w:sz w:val="14"/>
                <w:szCs w:val="14"/>
              </w:rPr>
            </w:pPr>
            <w:r>
              <w:rPr>
                <w:rFonts w:ascii="Arial Narrow" w:hAnsi="Arial Narrow"/>
                <w:sz w:val="14"/>
                <w:szCs w:val="14"/>
              </w:rPr>
              <w:t>Λειτουργικές και άλλες δαπάνες και αποδόσεις προς τρίτους</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518</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1.041</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1.730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2.276</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2.930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3.520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4.360</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5.052</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5.837</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6.443</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7.419</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8.595</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lang w:val="en-US"/>
              </w:rPr>
              <w:t>i</w:t>
            </w:r>
            <w:r>
              <w:rPr>
                <w:rFonts w:ascii="Arial Narrow" w:hAnsi="Arial Narrow"/>
                <w:color w:val="000000"/>
                <w:sz w:val="14"/>
                <w:szCs w:val="14"/>
              </w:rPr>
              <w:t>v.</w:t>
            </w:r>
          </w:p>
        </w:tc>
        <w:tc>
          <w:tcPr>
            <w:tcW w:w="3160" w:type="dxa"/>
            <w:vAlign w:val="center"/>
            <w:hideMark/>
          </w:tcPr>
          <w:p w:rsidR="004E7715" w:rsidRDefault="004E7715">
            <w:pPr>
              <w:spacing w:line="288" w:lineRule="auto"/>
              <w:rPr>
                <w:rFonts w:ascii="Arial Narrow" w:hAnsi="Arial Narrow"/>
                <w:sz w:val="14"/>
                <w:szCs w:val="14"/>
              </w:rPr>
            </w:pPr>
            <w:r>
              <w:rPr>
                <w:rFonts w:ascii="Arial Narrow" w:hAnsi="Arial Narrow"/>
                <w:sz w:val="14"/>
                <w:szCs w:val="14"/>
              </w:rPr>
              <w:t>Αποθεματικό</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40</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80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150</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200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300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350</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400</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500</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600</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800</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1.000</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lang w:val="en-US"/>
              </w:rPr>
              <w:t>v.</w:t>
            </w:r>
            <w:r>
              <w:rPr>
                <w:rFonts w:ascii="Arial Narrow" w:hAnsi="Arial Narrow"/>
                <w:color w:val="000000"/>
                <w:sz w:val="14"/>
                <w:szCs w:val="14"/>
              </w:rPr>
              <w:t> </w:t>
            </w:r>
          </w:p>
        </w:tc>
        <w:tc>
          <w:tcPr>
            <w:tcW w:w="3160" w:type="dxa"/>
            <w:vAlign w:val="center"/>
            <w:hideMark/>
          </w:tcPr>
          <w:p w:rsidR="004E7715" w:rsidRDefault="004E7715">
            <w:pPr>
              <w:spacing w:line="288" w:lineRule="auto"/>
              <w:rPr>
                <w:rFonts w:ascii="Arial Narrow" w:hAnsi="Arial Narrow"/>
                <w:color w:val="000000"/>
                <w:sz w:val="14"/>
                <w:szCs w:val="14"/>
              </w:rPr>
            </w:pPr>
            <w:r>
              <w:rPr>
                <w:rFonts w:ascii="Arial Narrow" w:hAnsi="Arial Narrow"/>
                <w:color w:val="000000"/>
                <w:sz w:val="14"/>
                <w:szCs w:val="14"/>
              </w:rPr>
              <w:t>Δαπάνες ανάληψης δανείων από τον Ευρωπαϊκό Μηχαν</w:t>
            </w:r>
            <w:r>
              <w:rPr>
                <w:rFonts w:ascii="Arial Narrow" w:hAnsi="Arial Narrow"/>
                <w:color w:val="000000"/>
                <w:sz w:val="14"/>
                <w:szCs w:val="14"/>
              </w:rPr>
              <w:t>ι</w:t>
            </w:r>
            <w:r>
              <w:rPr>
                <w:rFonts w:ascii="Arial Narrow" w:hAnsi="Arial Narrow"/>
                <w:color w:val="000000"/>
                <w:sz w:val="14"/>
                <w:szCs w:val="14"/>
              </w:rPr>
              <w:t>σμό Στήριξης (ΕΜΣ) και παράλληλες δαπάνες δημόσιου χρέους</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12</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12</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12</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27</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27</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42</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62</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62</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65</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65</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65</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bCs/>
                <w:color w:val="000000"/>
                <w:sz w:val="14"/>
                <w:szCs w:val="14"/>
                <w:lang w:val="en-US"/>
              </w:rPr>
            </w:pPr>
            <w:r>
              <w:rPr>
                <w:rFonts w:ascii="Arial Narrow" w:hAnsi="Arial Narrow"/>
                <w:bCs/>
                <w:color w:val="000000"/>
                <w:sz w:val="14"/>
                <w:szCs w:val="14"/>
                <w:lang w:val="en-US"/>
              </w:rPr>
              <w:t>vi.</w:t>
            </w:r>
          </w:p>
        </w:tc>
        <w:tc>
          <w:tcPr>
            <w:tcW w:w="3160" w:type="dxa"/>
            <w:vAlign w:val="center"/>
            <w:hideMark/>
          </w:tcPr>
          <w:p w:rsidR="004E7715" w:rsidRDefault="004E7715">
            <w:pPr>
              <w:spacing w:line="288" w:lineRule="auto"/>
              <w:rPr>
                <w:rFonts w:ascii="Arial Narrow" w:hAnsi="Arial Narrow"/>
                <w:bCs/>
                <w:color w:val="000000"/>
                <w:sz w:val="14"/>
                <w:szCs w:val="14"/>
              </w:rPr>
            </w:pPr>
            <w:r>
              <w:rPr>
                <w:rFonts w:ascii="Arial Narrow" w:hAnsi="Arial Narrow"/>
                <w:bCs/>
                <w:color w:val="000000"/>
                <w:sz w:val="14"/>
                <w:szCs w:val="14"/>
              </w:rPr>
              <w:t>Εγγυήσεις για φορείς εντός Γενικής Κυβέρνησης</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0</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10</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31</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874</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874</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895</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895</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895</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916</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927</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lang w:val="en-US"/>
              </w:rPr>
            </w:pPr>
            <w:r>
              <w:rPr>
                <w:rFonts w:ascii="Arial Narrow" w:hAnsi="Arial Narrow"/>
                <w:color w:val="000000"/>
                <w:sz w:val="14"/>
                <w:szCs w:val="14"/>
                <w:lang w:val="en-US"/>
              </w:rPr>
              <w:t>vii.</w:t>
            </w:r>
          </w:p>
        </w:tc>
        <w:tc>
          <w:tcPr>
            <w:tcW w:w="3160" w:type="dxa"/>
            <w:vAlign w:val="center"/>
            <w:hideMark/>
          </w:tcPr>
          <w:p w:rsidR="004E7715" w:rsidRDefault="004E7715">
            <w:pPr>
              <w:spacing w:line="288" w:lineRule="auto"/>
              <w:rPr>
                <w:rFonts w:ascii="Arial Narrow" w:hAnsi="Arial Narrow"/>
                <w:color w:val="000000"/>
                <w:sz w:val="14"/>
                <w:szCs w:val="14"/>
              </w:rPr>
            </w:pPr>
            <w:r>
              <w:rPr>
                <w:rFonts w:ascii="Arial Narrow" w:hAnsi="Arial Narrow"/>
                <w:color w:val="000000"/>
                <w:sz w:val="14"/>
                <w:szCs w:val="14"/>
              </w:rPr>
              <w:t>Εγγυήσεις για φορείς εκτός Γενικής Κυβέρνησης</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7</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10</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16</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19</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22</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26</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29</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33</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36</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39</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43</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bCs/>
                <w:color w:val="000000"/>
                <w:sz w:val="14"/>
                <w:szCs w:val="14"/>
                <w:lang w:val="en-US"/>
              </w:rPr>
            </w:pPr>
            <w:r>
              <w:rPr>
                <w:rFonts w:ascii="Arial Narrow" w:hAnsi="Arial Narrow"/>
                <w:bCs/>
                <w:color w:val="000000"/>
                <w:sz w:val="14"/>
                <w:szCs w:val="14"/>
                <w:lang w:val="en-US"/>
              </w:rPr>
              <w:t>viii.</w:t>
            </w:r>
          </w:p>
        </w:tc>
        <w:tc>
          <w:tcPr>
            <w:tcW w:w="3160" w:type="dxa"/>
            <w:vAlign w:val="center"/>
            <w:hideMark/>
          </w:tcPr>
          <w:p w:rsidR="004E7715" w:rsidRDefault="004E7715">
            <w:pPr>
              <w:spacing w:line="288" w:lineRule="auto"/>
              <w:rPr>
                <w:rFonts w:ascii="Arial Narrow" w:hAnsi="Arial Narrow"/>
                <w:bCs/>
                <w:color w:val="000000"/>
                <w:sz w:val="14"/>
                <w:szCs w:val="14"/>
              </w:rPr>
            </w:pPr>
            <w:r>
              <w:rPr>
                <w:rFonts w:ascii="Arial Narrow" w:hAnsi="Arial Narrow"/>
                <w:bCs/>
                <w:color w:val="000000"/>
                <w:sz w:val="14"/>
                <w:szCs w:val="14"/>
              </w:rPr>
              <w:t>Δαπάνες εξοπλιστικών προγραμμάτων</w:t>
            </w:r>
          </w:p>
        </w:tc>
        <w:tc>
          <w:tcPr>
            <w:tcW w:w="52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16</w:t>
            </w:r>
          </w:p>
        </w:tc>
        <w:tc>
          <w:tcPr>
            <w:tcW w:w="60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63</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110</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148</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185</w:t>
            </w:r>
          </w:p>
        </w:tc>
        <w:tc>
          <w:tcPr>
            <w:tcW w:w="58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226</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275</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322</w:t>
            </w:r>
          </w:p>
        </w:tc>
        <w:tc>
          <w:tcPr>
            <w:tcW w:w="54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373</w:t>
            </w:r>
          </w:p>
        </w:tc>
        <w:tc>
          <w:tcPr>
            <w:tcW w:w="560" w:type="dxa"/>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447</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510</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 </w:t>
            </w:r>
          </w:p>
        </w:tc>
        <w:tc>
          <w:tcPr>
            <w:tcW w:w="3160" w:type="dxa"/>
            <w:vAlign w:val="center"/>
            <w:hideMark/>
          </w:tcPr>
          <w:p w:rsidR="004E7715" w:rsidRDefault="004E7715">
            <w:pPr>
              <w:spacing w:line="288" w:lineRule="auto"/>
              <w:rPr>
                <w:rFonts w:ascii="Arial Narrow" w:hAnsi="Arial Narrow"/>
                <w:color w:val="000000"/>
                <w:sz w:val="14"/>
                <w:szCs w:val="14"/>
              </w:rPr>
            </w:pPr>
            <w:r>
              <w:rPr>
                <w:rFonts w:ascii="Arial Narrow" w:hAnsi="Arial Narrow"/>
                <w:color w:val="000000"/>
                <w:sz w:val="14"/>
                <w:szCs w:val="14"/>
              </w:rPr>
              <w:t> </w:t>
            </w:r>
          </w:p>
        </w:tc>
        <w:tc>
          <w:tcPr>
            <w:tcW w:w="52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60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 </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lang w:val="en-GB"/>
              </w:rPr>
              <w:t>B</w:t>
            </w:r>
            <w:r>
              <w:rPr>
                <w:rFonts w:ascii="Arial Narrow" w:hAnsi="Arial Narrow"/>
                <w:b/>
                <w:bCs/>
                <w:color w:val="000000"/>
                <w:sz w:val="14"/>
                <w:szCs w:val="14"/>
              </w:rPr>
              <w:t>.</w:t>
            </w:r>
          </w:p>
        </w:tc>
        <w:tc>
          <w:tcPr>
            <w:tcW w:w="3160" w:type="dxa"/>
            <w:vAlign w:val="center"/>
            <w:hideMark/>
          </w:tcPr>
          <w:p w:rsidR="004E7715" w:rsidRDefault="004E7715">
            <w:pPr>
              <w:spacing w:line="288" w:lineRule="auto"/>
              <w:rPr>
                <w:rFonts w:ascii="Arial Narrow" w:hAnsi="Arial Narrow"/>
                <w:b/>
                <w:bCs/>
                <w:color w:val="000000"/>
                <w:sz w:val="14"/>
                <w:szCs w:val="14"/>
              </w:rPr>
            </w:pPr>
            <w:r>
              <w:rPr>
                <w:rFonts w:ascii="Arial Narrow" w:hAnsi="Arial Narrow"/>
                <w:b/>
                <w:bCs/>
                <w:color w:val="000000"/>
                <w:sz w:val="14"/>
                <w:szCs w:val="14"/>
              </w:rPr>
              <w:t>Τόκοι</w:t>
            </w:r>
          </w:p>
        </w:tc>
        <w:tc>
          <w:tcPr>
            <w:tcW w:w="52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219</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1.209</w:t>
            </w:r>
          </w:p>
        </w:tc>
        <w:tc>
          <w:tcPr>
            <w:tcW w:w="60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1.912</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2.137</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2.343</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2.784</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3.537</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4.301</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4.362</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4.711</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4.976</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5.200</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 </w:t>
            </w:r>
          </w:p>
        </w:tc>
        <w:tc>
          <w:tcPr>
            <w:tcW w:w="3160" w:type="dxa"/>
            <w:vAlign w:val="center"/>
            <w:hideMark/>
          </w:tcPr>
          <w:p w:rsidR="004E7715" w:rsidRDefault="004E7715">
            <w:pPr>
              <w:spacing w:line="288" w:lineRule="auto"/>
              <w:rPr>
                <w:rFonts w:ascii="Arial Narrow" w:hAnsi="Arial Narrow"/>
                <w:color w:val="000000"/>
                <w:sz w:val="14"/>
                <w:szCs w:val="14"/>
              </w:rPr>
            </w:pPr>
            <w:r>
              <w:rPr>
                <w:rFonts w:ascii="Arial Narrow" w:hAnsi="Arial Narrow"/>
                <w:color w:val="000000"/>
                <w:sz w:val="14"/>
                <w:szCs w:val="14"/>
              </w:rPr>
              <w:t> </w:t>
            </w:r>
          </w:p>
        </w:tc>
        <w:tc>
          <w:tcPr>
            <w:tcW w:w="52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60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 </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rPr>
              <w:t>2.</w:t>
            </w:r>
          </w:p>
        </w:tc>
        <w:tc>
          <w:tcPr>
            <w:tcW w:w="3160" w:type="dxa"/>
            <w:vAlign w:val="center"/>
            <w:hideMark/>
          </w:tcPr>
          <w:p w:rsidR="004E7715" w:rsidRDefault="004E7715">
            <w:pPr>
              <w:spacing w:line="288" w:lineRule="auto"/>
              <w:rPr>
                <w:rFonts w:ascii="Arial Narrow" w:hAnsi="Arial Narrow"/>
                <w:b/>
                <w:bCs/>
                <w:color w:val="000000"/>
                <w:sz w:val="14"/>
                <w:szCs w:val="14"/>
              </w:rPr>
            </w:pPr>
            <w:r>
              <w:rPr>
                <w:rFonts w:ascii="Arial Narrow" w:hAnsi="Arial Narrow"/>
                <w:b/>
                <w:bCs/>
                <w:color w:val="000000"/>
                <w:sz w:val="14"/>
                <w:szCs w:val="14"/>
              </w:rPr>
              <w:t>Δαπάνες Προγράμματος Δημοσίων Επενδύσεων</w:t>
            </w:r>
          </w:p>
        </w:tc>
        <w:tc>
          <w:tcPr>
            <w:tcW w:w="52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175</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385</w:t>
            </w:r>
          </w:p>
        </w:tc>
        <w:tc>
          <w:tcPr>
            <w:tcW w:w="60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680</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1.060</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1.310</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1.635</w:t>
            </w:r>
          </w:p>
        </w:tc>
        <w:tc>
          <w:tcPr>
            <w:tcW w:w="58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1.990</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2.400</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2.910</w:t>
            </w:r>
          </w:p>
        </w:tc>
        <w:tc>
          <w:tcPr>
            <w:tcW w:w="54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3.410</w:t>
            </w:r>
          </w:p>
        </w:tc>
        <w:tc>
          <w:tcPr>
            <w:tcW w:w="560" w:type="dxa"/>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4.045</w:t>
            </w: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6.750</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 </w:t>
            </w:r>
          </w:p>
        </w:tc>
        <w:tc>
          <w:tcPr>
            <w:tcW w:w="3160" w:type="dxa"/>
            <w:vAlign w:val="center"/>
            <w:hideMark/>
          </w:tcPr>
          <w:p w:rsidR="004E7715" w:rsidRDefault="004E7715">
            <w:pPr>
              <w:spacing w:line="288" w:lineRule="auto"/>
              <w:rPr>
                <w:rFonts w:ascii="Arial Narrow" w:hAnsi="Arial Narrow"/>
                <w:color w:val="000000"/>
                <w:sz w:val="14"/>
                <w:szCs w:val="14"/>
              </w:rPr>
            </w:pPr>
            <w:r>
              <w:rPr>
                <w:rFonts w:ascii="Arial Narrow" w:hAnsi="Arial Narrow"/>
                <w:color w:val="000000"/>
                <w:sz w:val="14"/>
                <w:szCs w:val="14"/>
              </w:rPr>
              <w:t> </w:t>
            </w:r>
          </w:p>
        </w:tc>
        <w:tc>
          <w:tcPr>
            <w:tcW w:w="52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60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 </w:t>
            </w:r>
          </w:p>
        </w:tc>
      </w:tr>
      <w:tr w:rsidR="004E7715" w:rsidTr="004E7715">
        <w:trPr>
          <w:trHeight w:val="170"/>
          <w:jc w:val="center"/>
        </w:trPr>
        <w:tc>
          <w:tcPr>
            <w:tcW w:w="240" w:type="dxa"/>
            <w:tcBorders>
              <w:top w:val="nil"/>
              <w:left w:val="single" w:sz="4" w:space="0" w:color="auto"/>
              <w:bottom w:val="nil"/>
              <w:right w:val="nil"/>
            </w:tcBorders>
            <w:shd w:val="clear" w:color="auto" w:fill="A6A6A6" w:themeFill="background1" w:themeFillShade="A6"/>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rPr>
              <w:t>III.</w:t>
            </w:r>
          </w:p>
        </w:tc>
        <w:tc>
          <w:tcPr>
            <w:tcW w:w="3160" w:type="dxa"/>
            <w:shd w:val="clear" w:color="auto" w:fill="A6A6A6" w:themeFill="background1" w:themeFillShade="A6"/>
            <w:vAlign w:val="center"/>
            <w:hideMark/>
          </w:tcPr>
          <w:p w:rsidR="004E7715" w:rsidRDefault="004E7715">
            <w:pPr>
              <w:spacing w:line="288" w:lineRule="auto"/>
              <w:rPr>
                <w:rFonts w:ascii="Arial Narrow" w:hAnsi="Arial Narrow"/>
                <w:b/>
                <w:bCs/>
                <w:color w:val="000000"/>
                <w:sz w:val="14"/>
                <w:szCs w:val="14"/>
              </w:rPr>
            </w:pPr>
            <w:r>
              <w:rPr>
                <w:rFonts w:ascii="Arial Narrow" w:hAnsi="Arial Narrow"/>
                <w:b/>
                <w:bCs/>
                <w:color w:val="000000"/>
                <w:sz w:val="14"/>
                <w:szCs w:val="14"/>
              </w:rPr>
              <w:t>Ταμειακό Ισοζ</w:t>
            </w:r>
            <w:r w:rsidR="00B04E28">
              <w:rPr>
                <w:rFonts w:ascii="Arial Narrow" w:hAnsi="Arial Narrow"/>
                <w:b/>
                <w:bCs/>
                <w:color w:val="000000"/>
                <w:sz w:val="14"/>
                <w:szCs w:val="14"/>
              </w:rPr>
              <w:t xml:space="preserve">ύγιο Κρατικού Προϋπολογισμού (I - </w:t>
            </w:r>
            <w:r>
              <w:rPr>
                <w:rFonts w:ascii="Arial Narrow" w:hAnsi="Arial Narrow"/>
                <w:b/>
                <w:bCs/>
                <w:color w:val="000000"/>
                <w:sz w:val="14"/>
                <w:szCs w:val="14"/>
              </w:rPr>
              <w:t>II)</w:t>
            </w:r>
          </w:p>
        </w:tc>
        <w:tc>
          <w:tcPr>
            <w:tcW w:w="52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503</w:t>
            </w:r>
          </w:p>
        </w:tc>
        <w:tc>
          <w:tcPr>
            <w:tcW w:w="58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98</w:t>
            </w:r>
          </w:p>
        </w:tc>
        <w:tc>
          <w:tcPr>
            <w:tcW w:w="60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-816</w:t>
            </w:r>
          </w:p>
        </w:tc>
        <w:tc>
          <w:tcPr>
            <w:tcW w:w="58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-1.763</w:t>
            </w:r>
          </w:p>
        </w:tc>
        <w:tc>
          <w:tcPr>
            <w:tcW w:w="56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-2.163</w:t>
            </w:r>
          </w:p>
        </w:tc>
        <w:tc>
          <w:tcPr>
            <w:tcW w:w="58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-3.235</w:t>
            </w:r>
          </w:p>
        </w:tc>
        <w:tc>
          <w:tcPr>
            <w:tcW w:w="58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-2.279</w:t>
            </w:r>
          </w:p>
        </w:tc>
        <w:tc>
          <w:tcPr>
            <w:tcW w:w="54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-2.826</w:t>
            </w:r>
          </w:p>
        </w:tc>
        <w:tc>
          <w:tcPr>
            <w:tcW w:w="56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-795</w:t>
            </w:r>
          </w:p>
        </w:tc>
        <w:tc>
          <w:tcPr>
            <w:tcW w:w="54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-358</w:t>
            </w:r>
          </w:p>
        </w:tc>
        <w:tc>
          <w:tcPr>
            <w:tcW w:w="560" w:type="dxa"/>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-83</w:t>
            </w:r>
          </w:p>
        </w:tc>
        <w:tc>
          <w:tcPr>
            <w:tcW w:w="540" w:type="dxa"/>
            <w:tcBorders>
              <w:top w:val="nil"/>
              <w:left w:val="nil"/>
              <w:bottom w:val="nil"/>
              <w:right w:val="single" w:sz="4" w:space="0" w:color="auto"/>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-943</w:t>
            </w:r>
          </w:p>
        </w:tc>
      </w:tr>
      <w:tr w:rsidR="004E7715" w:rsidTr="004E7715">
        <w:trPr>
          <w:trHeight w:val="170"/>
          <w:jc w:val="center"/>
        </w:trPr>
        <w:tc>
          <w:tcPr>
            <w:tcW w:w="240" w:type="dxa"/>
            <w:tcBorders>
              <w:top w:val="nil"/>
              <w:left w:val="single" w:sz="4" w:space="0" w:color="auto"/>
              <w:bottom w:val="nil"/>
              <w:right w:val="nil"/>
            </w:tcBorders>
            <w:hideMark/>
          </w:tcPr>
          <w:p w:rsidR="004E7715" w:rsidRDefault="004E7715">
            <w:pPr>
              <w:spacing w:line="288" w:lineRule="auto"/>
              <w:jc w:val="right"/>
              <w:rPr>
                <w:rFonts w:ascii="Arial Narrow" w:hAnsi="Arial Narrow"/>
                <w:color w:val="000000"/>
                <w:sz w:val="14"/>
                <w:szCs w:val="14"/>
              </w:rPr>
            </w:pPr>
            <w:r>
              <w:rPr>
                <w:rFonts w:ascii="Arial Narrow" w:hAnsi="Arial Narrow"/>
                <w:color w:val="000000"/>
                <w:sz w:val="14"/>
                <w:szCs w:val="14"/>
              </w:rPr>
              <w:t> </w:t>
            </w:r>
          </w:p>
        </w:tc>
        <w:tc>
          <w:tcPr>
            <w:tcW w:w="3160" w:type="dxa"/>
            <w:vAlign w:val="center"/>
            <w:hideMark/>
          </w:tcPr>
          <w:p w:rsidR="004E7715" w:rsidRDefault="004E7715">
            <w:pPr>
              <w:spacing w:line="288" w:lineRule="auto"/>
              <w:rPr>
                <w:rFonts w:ascii="Arial Narrow" w:hAnsi="Arial Narrow"/>
                <w:color w:val="000000"/>
                <w:sz w:val="14"/>
                <w:szCs w:val="14"/>
              </w:rPr>
            </w:pPr>
            <w:r>
              <w:rPr>
                <w:rFonts w:ascii="Arial Narrow" w:hAnsi="Arial Narrow"/>
                <w:color w:val="000000"/>
                <w:sz w:val="14"/>
                <w:szCs w:val="14"/>
              </w:rPr>
              <w:t> </w:t>
            </w:r>
          </w:p>
        </w:tc>
        <w:tc>
          <w:tcPr>
            <w:tcW w:w="52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60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8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vAlign w:val="center"/>
            <w:hideMark/>
          </w:tcPr>
          <w:p w:rsidR="004E7715" w:rsidRPr="003A17B9" w:rsidRDefault="004E7715" w:rsidP="004E7715">
            <w:pPr>
              <w:jc w:val="right"/>
              <w:rPr>
                <w:rFonts w:ascii="Arial Narrow" w:hAnsi="Arial Narrow"/>
                <w:color w:val="000000"/>
                <w:sz w:val="14"/>
                <w:szCs w:val="16"/>
              </w:rPr>
            </w:pPr>
          </w:p>
        </w:tc>
        <w:tc>
          <w:tcPr>
            <w:tcW w:w="560" w:type="dxa"/>
            <w:vAlign w:val="center"/>
            <w:hideMark/>
          </w:tcPr>
          <w:p w:rsidR="004E7715" w:rsidRPr="003A17B9" w:rsidRDefault="004E7715" w:rsidP="004E7715">
            <w:pPr>
              <w:jc w:val="right"/>
              <w:rPr>
                <w:rFonts w:ascii="Arial Narrow" w:hAnsi="Arial Narrow"/>
                <w:color w:val="000000"/>
                <w:sz w:val="14"/>
                <w:szCs w:val="16"/>
              </w:rPr>
            </w:pPr>
          </w:p>
        </w:tc>
        <w:tc>
          <w:tcPr>
            <w:tcW w:w="540" w:type="dxa"/>
            <w:tcBorders>
              <w:top w:val="nil"/>
              <w:left w:val="nil"/>
              <w:bottom w:val="nil"/>
              <w:right w:val="single" w:sz="4" w:space="0" w:color="auto"/>
            </w:tcBorders>
            <w:vAlign w:val="center"/>
            <w:hideMark/>
          </w:tcPr>
          <w:p w:rsidR="004E7715" w:rsidRPr="003A17B9" w:rsidRDefault="004E7715" w:rsidP="004E7715">
            <w:pPr>
              <w:jc w:val="right"/>
              <w:rPr>
                <w:rFonts w:ascii="Arial Narrow" w:hAnsi="Arial Narrow"/>
                <w:color w:val="000000"/>
                <w:sz w:val="14"/>
                <w:szCs w:val="16"/>
              </w:rPr>
            </w:pPr>
            <w:r w:rsidRPr="003A17B9">
              <w:rPr>
                <w:rFonts w:ascii="Arial Narrow" w:hAnsi="Arial Narrow"/>
                <w:color w:val="000000"/>
                <w:sz w:val="14"/>
                <w:szCs w:val="16"/>
              </w:rPr>
              <w:t> </w:t>
            </w:r>
          </w:p>
        </w:tc>
      </w:tr>
      <w:tr w:rsidR="004E7715" w:rsidTr="004E7715">
        <w:trPr>
          <w:trHeight w:val="170"/>
          <w:jc w:val="center"/>
        </w:trPr>
        <w:tc>
          <w:tcPr>
            <w:tcW w:w="240" w:type="dxa"/>
            <w:tcBorders>
              <w:top w:val="nil"/>
              <w:left w:val="single" w:sz="4" w:space="0" w:color="auto"/>
              <w:bottom w:val="single" w:sz="4" w:space="0" w:color="auto"/>
              <w:right w:val="nil"/>
            </w:tcBorders>
            <w:shd w:val="clear" w:color="auto" w:fill="A6A6A6" w:themeFill="background1" w:themeFillShade="A6"/>
            <w:hideMark/>
          </w:tcPr>
          <w:p w:rsidR="004E7715" w:rsidRDefault="004E7715">
            <w:pPr>
              <w:spacing w:line="288" w:lineRule="auto"/>
              <w:jc w:val="right"/>
              <w:rPr>
                <w:rFonts w:ascii="Arial Narrow" w:hAnsi="Arial Narrow"/>
                <w:b/>
                <w:bCs/>
                <w:color w:val="000000"/>
                <w:sz w:val="14"/>
                <w:szCs w:val="14"/>
              </w:rPr>
            </w:pPr>
            <w:r>
              <w:rPr>
                <w:rFonts w:ascii="Arial Narrow" w:hAnsi="Arial Narrow"/>
                <w:b/>
                <w:bCs/>
                <w:color w:val="000000"/>
                <w:sz w:val="14"/>
                <w:szCs w:val="14"/>
              </w:rPr>
              <w:t>IV.</w:t>
            </w:r>
          </w:p>
        </w:tc>
        <w:tc>
          <w:tcPr>
            <w:tcW w:w="3160" w:type="dxa"/>
            <w:tcBorders>
              <w:top w:val="nil"/>
              <w:left w:val="nil"/>
              <w:bottom w:val="single" w:sz="4" w:space="0" w:color="auto"/>
              <w:right w:val="nil"/>
            </w:tcBorders>
            <w:shd w:val="clear" w:color="auto" w:fill="A6A6A6" w:themeFill="background1" w:themeFillShade="A6"/>
            <w:vAlign w:val="center"/>
            <w:hideMark/>
          </w:tcPr>
          <w:p w:rsidR="004E7715" w:rsidRDefault="004E7715">
            <w:pPr>
              <w:spacing w:line="288" w:lineRule="auto"/>
              <w:rPr>
                <w:rFonts w:ascii="Arial Narrow" w:hAnsi="Arial Narrow"/>
                <w:b/>
                <w:bCs/>
                <w:color w:val="000000"/>
                <w:sz w:val="14"/>
                <w:szCs w:val="14"/>
              </w:rPr>
            </w:pPr>
            <w:r>
              <w:rPr>
                <w:rFonts w:ascii="Arial Narrow" w:hAnsi="Arial Narrow"/>
                <w:b/>
                <w:bCs/>
                <w:color w:val="000000"/>
                <w:sz w:val="14"/>
                <w:szCs w:val="14"/>
              </w:rPr>
              <w:t>Ταμειακό Πρωτογενές αποτέλεσμα Κρατικού Προϋπ</w:t>
            </w:r>
            <w:r>
              <w:rPr>
                <w:rFonts w:ascii="Arial Narrow" w:hAnsi="Arial Narrow"/>
                <w:b/>
                <w:bCs/>
                <w:color w:val="000000"/>
                <w:sz w:val="14"/>
                <w:szCs w:val="14"/>
              </w:rPr>
              <w:t>ο</w:t>
            </w:r>
            <w:r>
              <w:rPr>
                <w:rFonts w:ascii="Arial Narrow" w:hAnsi="Arial Narrow"/>
                <w:b/>
                <w:bCs/>
                <w:color w:val="000000"/>
                <w:sz w:val="14"/>
                <w:szCs w:val="14"/>
              </w:rPr>
              <w:t>λογισμού (IIΙ + Β)</w:t>
            </w:r>
          </w:p>
        </w:tc>
        <w:tc>
          <w:tcPr>
            <w:tcW w:w="520" w:type="dxa"/>
            <w:tcBorders>
              <w:top w:val="nil"/>
              <w:left w:val="nil"/>
              <w:bottom w:val="single" w:sz="4" w:space="0" w:color="auto"/>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722</w:t>
            </w:r>
          </w:p>
        </w:tc>
        <w:tc>
          <w:tcPr>
            <w:tcW w:w="580" w:type="dxa"/>
            <w:tcBorders>
              <w:top w:val="nil"/>
              <w:left w:val="nil"/>
              <w:bottom w:val="single" w:sz="4" w:space="0" w:color="auto"/>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1.307</w:t>
            </w:r>
          </w:p>
        </w:tc>
        <w:tc>
          <w:tcPr>
            <w:tcW w:w="600" w:type="dxa"/>
            <w:tcBorders>
              <w:top w:val="nil"/>
              <w:left w:val="nil"/>
              <w:bottom w:val="single" w:sz="4" w:space="0" w:color="auto"/>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1.096</w:t>
            </w:r>
          </w:p>
        </w:tc>
        <w:tc>
          <w:tcPr>
            <w:tcW w:w="580" w:type="dxa"/>
            <w:tcBorders>
              <w:top w:val="nil"/>
              <w:left w:val="nil"/>
              <w:bottom w:val="single" w:sz="4" w:space="0" w:color="auto"/>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374</w:t>
            </w:r>
          </w:p>
        </w:tc>
        <w:tc>
          <w:tcPr>
            <w:tcW w:w="560" w:type="dxa"/>
            <w:tcBorders>
              <w:top w:val="nil"/>
              <w:left w:val="nil"/>
              <w:bottom w:val="single" w:sz="4" w:space="0" w:color="auto"/>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180</w:t>
            </w:r>
          </w:p>
        </w:tc>
        <w:tc>
          <w:tcPr>
            <w:tcW w:w="580" w:type="dxa"/>
            <w:tcBorders>
              <w:top w:val="nil"/>
              <w:left w:val="nil"/>
              <w:bottom w:val="single" w:sz="4" w:space="0" w:color="auto"/>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-451</w:t>
            </w:r>
          </w:p>
        </w:tc>
        <w:tc>
          <w:tcPr>
            <w:tcW w:w="580" w:type="dxa"/>
            <w:tcBorders>
              <w:top w:val="nil"/>
              <w:left w:val="nil"/>
              <w:bottom w:val="single" w:sz="4" w:space="0" w:color="auto"/>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1.258</w:t>
            </w:r>
          </w:p>
        </w:tc>
        <w:tc>
          <w:tcPr>
            <w:tcW w:w="540" w:type="dxa"/>
            <w:tcBorders>
              <w:top w:val="nil"/>
              <w:left w:val="nil"/>
              <w:bottom w:val="single" w:sz="4" w:space="0" w:color="auto"/>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1.475</w:t>
            </w:r>
          </w:p>
        </w:tc>
        <w:tc>
          <w:tcPr>
            <w:tcW w:w="560" w:type="dxa"/>
            <w:tcBorders>
              <w:top w:val="nil"/>
              <w:left w:val="nil"/>
              <w:bottom w:val="single" w:sz="4" w:space="0" w:color="auto"/>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3.567</w:t>
            </w:r>
          </w:p>
        </w:tc>
        <w:tc>
          <w:tcPr>
            <w:tcW w:w="540" w:type="dxa"/>
            <w:tcBorders>
              <w:top w:val="nil"/>
              <w:left w:val="nil"/>
              <w:bottom w:val="single" w:sz="4" w:space="0" w:color="auto"/>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4.353</w:t>
            </w:r>
          </w:p>
        </w:tc>
        <w:tc>
          <w:tcPr>
            <w:tcW w:w="560" w:type="dxa"/>
            <w:tcBorders>
              <w:top w:val="nil"/>
              <w:left w:val="nil"/>
              <w:bottom w:val="single" w:sz="4" w:space="0" w:color="auto"/>
              <w:right w:val="nil"/>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4.893</w:t>
            </w:r>
          </w:p>
        </w:tc>
        <w:tc>
          <w:tcPr>
            <w:tcW w:w="540" w:type="dxa"/>
            <w:tcBorders>
              <w:top w:val="nil"/>
              <w:left w:val="nil"/>
              <w:bottom w:val="single" w:sz="4" w:space="0" w:color="auto"/>
              <w:right w:val="single" w:sz="4" w:space="0" w:color="auto"/>
            </w:tcBorders>
            <w:shd w:val="clear" w:color="auto" w:fill="A6A6A6" w:themeFill="background1" w:themeFillShade="A6"/>
            <w:vAlign w:val="center"/>
            <w:hideMark/>
          </w:tcPr>
          <w:p w:rsidR="004E7715" w:rsidRPr="003A17B9" w:rsidRDefault="004E7715" w:rsidP="004E7715">
            <w:pPr>
              <w:jc w:val="right"/>
              <w:rPr>
                <w:rFonts w:ascii="Arial Narrow" w:hAnsi="Arial Narrow"/>
                <w:b/>
                <w:bCs/>
                <w:color w:val="000000"/>
                <w:sz w:val="14"/>
                <w:szCs w:val="16"/>
              </w:rPr>
            </w:pPr>
            <w:r w:rsidRPr="003A17B9">
              <w:rPr>
                <w:rFonts w:ascii="Arial Narrow" w:hAnsi="Arial Narrow"/>
                <w:b/>
                <w:bCs/>
                <w:color w:val="000000"/>
                <w:sz w:val="14"/>
                <w:szCs w:val="16"/>
              </w:rPr>
              <w:t>4.257</w:t>
            </w:r>
          </w:p>
        </w:tc>
      </w:tr>
    </w:tbl>
    <w:p w:rsidR="004E7715" w:rsidRPr="004E7715" w:rsidRDefault="004E7715" w:rsidP="00510275">
      <w:pPr>
        <w:jc w:val="both"/>
        <w:rPr>
          <w:sz w:val="22"/>
          <w:szCs w:val="22"/>
          <w:lang w:val="en-US"/>
        </w:rPr>
      </w:pPr>
    </w:p>
    <w:p w:rsidR="00510275" w:rsidRDefault="00510275" w:rsidP="00510275">
      <w:pPr>
        <w:rPr>
          <w:sz w:val="22"/>
          <w:szCs w:val="22"/>
          <w:highlight w:val="lightGray"/>
        </w:rPr>
      </w:pPr>
    </w:p>
    <w:p w:rsidR="00283154" w:rsidRDefault="00B0472D">
      <w:pPr>
        <w:rPr>
          <w:rFonts w:ascii="Arial Narrow" w:hAnsi="Arial Narrow"/>
          <w:b/>
          <w:color w:val="000080"/>
          <w:sz w:val="22"/>
        </w:rPr>
      </w:pPr>
      <w:r>
        <w:rPr>
          <w:rFonts w:ascii="Arial Narrow" w:hAnsi="Arial Narrow"/>
          <w:b/>
          <w:color w:val="000080"/>
          <w:sz w:val="22"/>
        </w:rPr>
        <w:br w:type="page"/>
      </w:r>
      <w:r w:rsidR="00C749B3">
        <w:rPr>
          <w:rFonts w:ascii="Arial Narrow" w:hAnsi="Arial Narrow"/>
          <w:b/>
          <w:color w:val="000080"/>
          <w:sz w:val="22"/>
        </w:rPr>
        <w:lastRenderedPageBreak/>
        <w:t xml:space="preserve"> </w:t>
      </w:r>
    </w:p>
    <w:p w:rsidR="00283154" w:rsidRPr="00A04545" w:rsidRDefault="00283154" w:rsidP="00283154">
      <w:pPr>
        <w:shd w:val="clear" w:color="auto" w:fill="595959"/>
        <w:jc w:val="both"/>
        <w:rPr>
          <w:rFonts w:ascii="Arial Narrow" w:hAnsi="Arial Narrow"/>
          <w:b/>
          <w:color w:val="FFFFFF"/>
          <w:sz w:val="26"/>
          <w:szCs w:val="22"/>
        </w:rPr>
      </w:pPr>
      <w:r w:rsidRPr="00A04545">
        <w:rPr>
          <w:rFonts w:ascii="Arial Narrow" w:hAnsi="Arial Narrow"/>
          <w:b/>
          <w:color w:val="FFFFFF"/>
          <w:sz w:val="26"/>
          <w:szCs w:val="22"/>
        </w:rPr>
        <w:t>4.</w:t>
      </w:r>
      <w:r w:rsidRPr="00A04545">
        <w:rPr>
          <w:rFonts w:ascii="Arial Narrow" w:hAnsi="Arial Narrow"/>
          <w:b/>
          <w:color w:val="FFFFFF"/>
          <w:sz w:val="26"/>
          <w:szCs w:val="22"/>
        </w:rPr>
        <w:tab/>
        <w:t>Χρηματοροές μεταξύ Ελλάδας και Ευρωπαϊκής Ένωσης</w:t>
      </w:r>
    </w:p>
    <w:p w:rsidR="00283154" w:rsidRPr="00A04545" w:rsidRDefault="00283154" w:rsidP="00283154">
      <w:pPr>
        <w:jc w:val="both"/>
        <w:rPr>
          <w:bCs/>
          <w:sz w:val="22"/>
          <w:szCs w:val="22"/>
        </w:rPr>
      </w:pPr>
    </w:p>
    <w:p w:rsidR="00283154" w:rsidRPr="00CB7DE6" w:rsidRDefault="00283154" w:rsidP="00283154">
      <w:pPr>
        <w:jc w:val="both"/>
        <w:rPr>
          <w:sz w:val="22"/>
          <w:szCs w:val="22"/>
        </w:rPr>
      </w:pPr>
      <w:r w:rsidRPr="00A04545">
        <w:rPr>
          <w:sz w:val="22"/>
        </w:rPr>
        <w:t>Οι χρηματοροές μεταξύ Ελλάδας και Ευ</w:t>
      </w:r>
      <w:r>
        <w:rPr>
          <w:sz w:val="22"/>
        </w:rPr>
        <w:t xml:space="preserve">ρωπαϊκής Ένωσης </w:t>
      </w:r>
      <w:r w:rsidR="00AA61DA">
        <w:rPr>
          <w:sz w:val="22"/>
        </w:rPr>
        <w:t>(ΕΕ) κατά τα έτη 2016-2018</w:t>
      </w:r>
      <w:r w:rsidRPr="00A04545">
        <w:rPr>
          <w:sz w:val="22"/>
        </w:rPr>
        <w:t xml:space="preserve"> παρουσιάζ</w:t>
      </w:r>
      <w:r w:rsidRPr="00A04545">
        <w:rPr>
          <w:sz w:val="22"/>
        </w:rPr>
        <w:t>ο</w:t>
      </w:r>
      <w:r w:rsidRPr="00A04545">
        <w:rPr>
          <w:sz w:val="22"/>
        </w:rPr>
        <w:t xml:space="preserve">νται στον </w:t>
      </w:r>
      <w:r>
        <w:rPr>
          <w:sz w:val="22"/>
        </w:rPr>
        <w:t>π</w:t>
      </w:r>
      <w:r w:rsidRPr="00A04545">
        <w:rPr>
          <w:sz w:val="22"/>
        </w:rPr>
        <w:t xml:space="preserve">ίνακα </w:t>
      </w:r>
      <w:r w:rsidR="00177305" w:rsidRPr="00185230">
        <w:rPr>
          <w:sz w:val="22"/>
        </w:rPr>
        <w:t>3</w:t>
      </w:r>
      <w:r w:rsidR="00185230" w:rsidRPr="00185230">
        <w:rPr>
          <w:sz w:val="22"/>
        </w:rPr>
        <w:t>.16</w:t>
      </w:r>
      <w:r w:rsidR="00185230">
        <w:rPr>
          <w:sz w:val="22"/>
        </w:rPr>
        <w:t>.</w:t>
      </w:r>
      <w:r w:rsidRPr="00A04545">
        <w:rPr>
          <w:sz w:val="22"/>
        </w:rPr>
        <w:t xml:space="preserve"> Από τη σύγκριση απολήψεων και αποδόσεων προκύπτει ότι το </w:t>
      </w:r>
      <w:r>
        <w:rPr>
          <w:sz w:val="22"/>
        </w:rPr>
        <w:t>ταμειακό</w:t>
      </w:r>
      <w:r w:rsidRPr="00A04545">
        <w:rPr>
          <w:sz w:val="22"/>
        </w:rPr>
        <w:t xml:space="preserve"> όφ</w:t>
      </w:r>
      <w:r w:rsidRPr="00A04545">
        <w:rPr>
          <w:sz w:val="22"/>
        </w:rPr>
        <w:t>ε</w:t>
      </w:r>
      <w:r w:rsidRPr="00A04545">
        <w:rPr>
          <w:sz w:val="22"/>
        </w:rPr>
        <w:t xml:space="preserve">λος της Ελλάδας από τον </w:t>
      </w:r>
      <w:r>
        <w:rPr>
          <w:sz w:val="22"/>
        </w:rPr>
        <w:t>π</w:t>
      </w:r>
      <w:r w:rsidRPr="00A04545">
        <w:rPr>
          <w:sz w:val="22"/>
        </w:rPr>
        <w:t xml:space="preserve">ροϋπολογισμό </w:t>
      </w:r>
      <w:r w:rsidR="00AA61DA">
        <w:rPr>
          <w:sz w:val="22"/>
        </w:rPr>
        <w:t>της ΕΕ για το έτος 2016</w:t>
      </w:r>
      <w:r>
        <w:rPr>
          <w:sz w:val="22"/>
        </w:rPr>
        <w:t xml:space="preserve"> </w:t>
      </w:r>
      <w:r w:rsidRPr="00A04545">
        <w:rPr>
          <w:sz w:val="22"/>
        </w:rPr>
        <w:t>διαμορφώθηκε στα 4.</w:t>
      </w:r>
      <w:r w:rsidR="00781D38">
        <w:rPr>
          <w:sz w:val="22"/>
        </w:rPr>
        <w:t>3</w:t>
      </w:r>
      <w:r w:rsidR="00AA7D37">
        <w:rPr>
          <w:sz w:val="22"/>
        </w:rPr>
        <w:t>77</w:t>
      </w:r>
      <w:r w:rsidRPr="00A04545">
        <w:rPr>
          <w:sz w:val="22"/>
        </w:rPr>
        <w:t xml:space="preserve"> εκατ. ε</w:t>
      </w:r>
      <w:r w:rsidRPr="00A04545">
        <w:rPr>
          <w:sz w:val="22"/>
        </w:rPr>
        <w:t>υ</w:t>
      </w:r>
      <w:r w:rsidRPr="00A04545">
        <w:rPr>
          <w:sz w:val="22"/>
        </w:rPr>
        <w:t xml:space="preserve">ρώ, ενώ </w:t>
      </w:r>
      <w:r w:rsidR="00AA61DA">
        <w:rPr>
          <w:sz w:val="22"/>
        </w:rPr>
        <w:t>για το 2017</w:t>
      </w:r>
      <w:r>
        <w:rPr>
          <w:sz w:val="22"/>
        </w:rPr>
        <w:t xml:space="preserve"> </w:t>
      </w:r>
      <w:r w:rsidRPr="00CB7DE6">
        <w:rPr>
          <w:sz w:val="22"/>
          <w:szCs w:val="22"/>
        </w:rPr>
        <w:t xml:space="preserve">εκτιμάται σε </w:t>
      </w:r>
      <w:r w:rsidR="00AA61DA">
        <w:rPr>
          <w:sz w:val="22"/>
          <w:szCs w:val="22"/>
        </w:rPr>
        <w:t xml:space="preserve">3.901 </w:t>
      </w:r>
      <w:r w:rsidRPr="00CB7DE6">
        <w:rPr>
          <w:sz w:val="22"/>
          <w:szCs w:val="22"/>
        </w:rPr>
        <w:t>εκατ. ευρώ</w:t>
      </w:r>
      <w:r>
        <w:rPr>
          <w:sz w:val="22"/>
          <w:szCs w:val="22"/>
        </w:rPr>
        <w:t xml:space="preserve">, </w:t>
      </w:r>
      <w:r w:rsidR="00781D38">
        <w:rPr>
          <w:sz w:val="22"/>
          <w:szCs w:val="22"/>
        </w:rPr>
        <w:t>ποσά που αντιστοιχούν σ</w:t>
      </w:r>
      <w:r w:rsidR="00644E2D">
        <w:rPr>
          <w:sz w:val="22"/>
          <w:szCs w:val="22"/>
        </w:rPr>
        <w:t xml:space="preserve">το 2,5% και </w:t>
      </w:r>
      <w:r w:rsidR="00781D38">
        <w:rPr>
          <w:sz w:val="22"/>
          <w:szCs w:val="22"/>
        </w:rPr>
        <w:t>σ</w:t>
      </w:r>
      <w:r w:rsidR="00644E2D">
        <w:rPr>
          <w:sz w:val="22"/>
          <w:szCs w:val="22"/>
        </w:rPr>
        <w:t>το 2,</w:t>
      </w:r>
      <w:r w:rsidR="00A8633D">
        <w:rPr>
          <w:sz w:val="22"/>
          <w:szCs w:val="22"/>
        </w:rPr>
        <w:t>2</w:t>
      </w:r>
      <w:r>
        <w:rPr>
          <w:sz w:val="22"/>
          <w:szCs w:val="22"/>
        </w:rPr>
        <w:t>% του ΑΕΠ</w:t>
      </w:r>
      <w:r w:rsidRPr="00CB7DE6">
        <w:rPr>
          <w:sz w:val="22"/>
          <w:szCs w:val="22"/>
        </w:rPr>
        <w:t xml:space="preserve">. </w:t>
      </w:r>
      <w:r w:rsidRPr="00CB7DE6">
        <w:rPr>
          <w:sz w:val="22"/>
          <w:szCs w:val="22"/>
          <w:lang w:val="en-US"/>
        </w:rPr>
        <w:t>T</w:t>
      </w:r>
      <w:r w:rsidRPr="00CB7DE6">
        <w:rPr>
          <w:sz w:val="22"/>
          <w:szCs w:val="22"/>
        </w:rPr>
        <w:t>ο έ</w:t>
      </w:r>
      <w:r w:rsidR="00A8633D">
        <w:rPr>
          <w:sz w:val="22"/>
          <w:szCs w:val="22"/>
        </w:rPr>
        <w:t>τος 2018</w:t>
      </w:r>
      <w:r w:rsidRPr="00CB7DE6">
        <w:rPr>
          <w:sz w:val="22"/>
          <w:szCs w:val="22"/>
        </w:rPr>
        <w:t xml:space="preserve"> το </w:t>
      </w:r>
      <w:r>
        <w:rPr>
          <w:sz w:val="22"/>
          <w:szCs w:val="22"/>
        </w:rPr>
        <w:t>ταμειακό</w:t>
      </w:r>
      <w:r w:rsidRPr="00CB7DE6">
        <w:rPr>
          <w:sz w:val="22"/>
          <w:szCs w:val="22"/>
        </w:rPr>
        <w:t xml:space="preserve"> όφελος προβλέπεται σε</w:t>
      </w:r>
      <w:r>
        <w:rPr>
          <w:sz w:val="22"/>
          <w:szCs w:val="22"/>
        </w:rPr>
        <w:t xml:space="preserve"> </w:t>
      </w:r>
      <w:r w:rsidRPr="00CB7DE6">
        <w:rPr>
          <w:sz w:val="22"/>
          <w:szCs w:val="22"/>
        </w:rPr>
        <w:t>4.</w:t>
      </w:r>
      <w:r w:rsidR="00A8633D">
        <w:rPr>
          <w:sz w:val="22"/>
          <w:szCs w:val="22"/>
        </w:rPr>
        <w:t>232</w:t>
      </w:r>
      <w:r w:rsidRPr="00CB7DE6">
        <w:rPr>
          <w:sz w:val="22"/>
          <w:szCs w:val="22"/>
        </w:rPr>
        <w:t xml:space="preserve"> εκατ. ευρώ ή ποσοστό </w:t>
      </w:r>
      <w:r>
        <w:rPr>
          <w:sz w:val="22"/>
          <w:szCs w:val="22"/>
        </w:rPr>
        <w:t>2,</w:t>
      </w:r>
      <w:r w:rsidR="00A8633D">
        <w:rPr>
          <w:sz w:val="22"/>
          <w:szCs w:val="22"/>
        </w:rPr>
        <w:t>3</w:t>
      </w:r>
      <w:r w:rsidRPr="00CB7DE6">
        <w:rPr>
          <w:sz w:val="22"/>
          <w:szCs w:val="22"/>
        </w:rPr>
        <w:t xml:space="preserve">% του ΑΕΠ. Η σχέση απολήψεων-αποδόσεων </w:t>
      </w:r>
      <w:r>
        <w:rPr>
          <w:sz w:val="22"/>
          <w:szCs w:val="22"/>
        </w:rPr>
        <w:t>αναμένεται να διαμορφωθεί σε 3,</w:t>
      </w:r>
      <w:r w:rsidR="00A8633D">
        <w:rPr>
          <w:sz w:val="22"/>
          <w:szCs w:val="22"/>
        </w:rPr>
        <w:t>1</w:t>
      </w:r>
      <w:r>
        <w:rPr>
          <w:sz w:val="22"/>
          <w:szCs w:val="22"/>
        </w:rPr>
        <w:t>/1 και 3,</w:t>
      </w:r>
      <w:r w:rsidR="00A8633D">
        <w:rPr>
          <w:sz w:val="22"/>
          <w:szCs w:val="22"/>
        </w:rPr>
        <w:t>3</w:t>
      </w:r>
      <w:r w:rsidRPr="00CB7DE6">
        <w:rPr>
          <w:sz w:val="22"/>
          <w:szCs w:val="22"/>
        </w:rPr>
        <w:t>/1 για τα έτη 201</w:t>
      </w:r>
      <w:r w:rsidR="00A8633D">
        <w:rPr>
          <w:sz w:val="22"/>
          <w:szCs w:val="22"/>
        </w:rPr>
        <w:t>7</w:t>
      </w:r>
      <w:r w:rsidRPr="00CB7DE6">
        <w:rPr>
          <w:sz w:val="22"/>
          <w:szCs w:val="22"/>
        </w:rPr>
        <w:t xml:space="preserve"> και 201</w:t>
      </w:r>
      <w:r w:rsidR="00A8633D">
        <w:rPr>
          <w:sz w:val="22"/>
          <w:szCs w:val="22"/>
        </w:rPr>
        <w:t>8</w:t>
      </w:r>
      <w:r w:rsidRPr="00CB7DE6">
        <w:rPr>
          <w:sz w:val="22"/>
          <w:szCs w:val="22"/>
        </w:rPr>
        <w:t>.</w:t>
      </w:r>
    </w:p>
    <w:p w:rsidR="00283154" w:rsidRPr="00CB7DE6" w:rsidRDefault="00283154" w:rsidP="00283154">
      <w:pPr>
        <w:jc w:val="both"/>
        <w:rPr>
          <w:sz w:val="22"/>
          <w:szCs w:val="22"/>
        </w:rPr>
      </w:pPr>
    </w:p>
    <w:p w:rsidR="00283154" w:rsidRPr="00CB7DE6" w:rsidRDefault="00283154" w:rsidP="00283154">
      <w:pPr>
        <w:jc w:val="both"/>
        <w:rPr>
          <w:bCs/>
          <w:sz w:val="22"/>
          <w:szCs w:val="22"/>
        </w:rPr>
      </w:pPr>
      <w:r w:rsidRPr="00CB7DE6">
        <w:rPr>
          <w:bCs/>
          <w:sz w:val="22"/>
          <w:szCs w:val="22"/>
        </w:rPr>
        <w:t>Το μεγαλύτερο μέρος των ευρωπαϊκής χρηματοδότησης προέρχεται από τους πόρους των διαρθρωτ</w:t>
      </w:r>
      <w:r w:rsidRPr="00CB7DE6">
        <w:rPr>
          <w:bCs/>
          <w:sz w:val="22"/>
          <w:szCs w:val="22"/>
        </w:rPr>
        <w:t>ι</w:t>
      </w:r>
      <w:r w:rsidRPr="00CB7DE6">
        <w:rPr>
          <w:bCs/>
          <w:sz w:val="22"/>
          <w:szCs w:val="22"/>
        </w:rPr>
        <w:t>κών ταμείων (ΕΤΠΑ, ΕΚΤ) και του Ταμείου Συνοχής και κατευθύνεται σε τομείς αναπτυξιακής πολ</w:t>
      </w:r>
      <w:r w:rsidRPr="00CB7DE6">
        <w:rPr>
          <w:bCs/>
          <w:sz w:val="22"/>
          <w:szCs w:val="22"/>
        </w:rPr>
        <w:t>ι</w:t>
      </w:r>
      <w:r w:rsidRPr="00CB7DE6">
        <w:rPr>
          <w:bCs/>
          <w:sz w:val="22"/>
          <w:szCs w:val="22"/>
        </w:rPr>
        <w:t>τικής, που συμβάλλουν κυρίως στη στήριξη του στόχου της οικονομικής</w:t>
      </w:r>
      <w:r w:rsidR="00A8633D">
        <w:rPr>
          <w:bCs/>
          <w:sz w:val="22"/>
          <w:szCs w:val="22"/>
        </w:rPr>
        <w:t xml:space="preserve">, </w:t>
      </w:r>
      <w:r w:rsidRPr="00CB7DE6">
        <w:rPr>
          <w:bCs/>
          <w:sz w:val="22"/>
          <w:szCs w:val="22"/>
        </w:rPr>
        <w:t xml:space="preserve">κοινωνικής </w:t>
      </w:r>
      <w:r w:rsidR="00A8633D">
        <w:rPr>
          <w:bCs/>
          <w:sz w:val="22"/>
          <w:szCs w:val="22"/>
        </w:rPr>
        <w:t xml:space="preserve">και εδαφικής </w:t>
      </w:r>
      <w:r w:rsidRPr="00CB7DE6">
        <w:rPr>
          <w:bCs/>
          <w:sz w:val="22"/>
          <w:szCs w:val="22"/>
        </w:rPr>
        <w:t>συνοχής, στην ενίσχυση της απασχόλησης και στη βελτίωση των υποδομών και της</w:t>
      </w:r>
      <w:r>
        <w:rPr>
          <w:bCs/>
          <w:sz w:val="22"/>
          <w:szCs w:val="22"/>
        </w:rPr>
        <w:t xml:space="preserve"> </w:t>
      </w:r>
      <w:r w:rsidRPr="00CB7DE6">
        <w:rPr>
          <w:bCs/>
          <w:sz w:val="22"/>
          <w:szCs w:val="22"/>
        </w:rPr>
        <w:t>ανταγωνιστικότ</w:t>
      </w:r>
      <w:r w:rsidRPr="00CB7DE6">
        <w:rPr>
          <w:bCs/>
          <w:sz w:val="22"/>
          <w:szCs w:val="22"/>
        </w:rPr>
        <w:t>η</w:t>
      </w:r>
      <w:r w:rsidRPr="00CB7DE6">
        <w:rPr>
          <w:bCs/>
          <w:sz w:val="22"/>
          <w:szCs w:val="22"/>
        </w:rPr>
        <w:t>τας της ελληνικής οικονομίας.</w:t>
      </w:r>
    </w:p>
    <w:p w:rsidR="00283154" w:rsidRPr="00CB7DE6" w:rsidRDefault="00283154" w:rsidP="00283154">
      <w:pPr>
        <w:jc w:val="both"/>
        <w:rPr>
          <w:bCs/>
          <w:sz w:val="22"/>
          <w:szCs w:val="22"/>
        </w:rPr>
      </w:pPr>
    </w:p>
    <w:p w:rsidR="00283154" w:rsidRPr="00CB7DE6" w:rsidRDefault="00283154" w:rsidP="00283154">
      <w:pPr>
        <w:jc w:val="both"/>
        <w:rPr>
          <w:bCs/>
          <w:sz w:val="22"/>
          <w:szCs w:val="22"/>
        </w:rPr>
      </w:pPr>
      <w:r w:rsidRPr="00CB7DE6">
        <w:rPr>
          <w:bCs/>
          <w:sz w:val="22"/>
          <w:szCs w:val="22"/>
        </w:rPr>
        <w:t>Ειδικότερα, η μεταφορά πόρων από την ΕΕ στην ελληνική οικονομία συμβάλλει στη</w:t>
      </w:r>
      <w:r w:rsidR="00A8633D">
        <w:rPr>
          <w:bCs/>
          <w:sz w:val="22"/>
          <w:szCs w:val="22"/>
        </w:rPr>
        <w:t xml:space="preserve"> χρηματοδότηση τ</w:t>
      </w:r>
      <w:r w:rsidRPr="00CB7DE6">
        <w:rPr>
          <w:bCs/>
          <w:sz w:val="22"/>
          <w:szCs w:val="22"/>
        </w:rPr>
        <w:t>ων μεγάλων έργων υποδομών</w:t>
      </w:r>
      <w:r w:rsidR="002D52EC">
        <w:rPr>
          <w:bCs/>
          <w:sz w:val="22"/>
          <w:szCs w:val="22"/>
        </w:rPr>
        <w:t>,</w:t>
      </w:r>
      <w:r w:rsidRPr="00CB7DE6">
        <w:rPr>
          <w:bCs/>
          <w:sz w:val="22"/>
          <w:szCs w:val="22"/>
        </w:rPr>
        <w:t xml:space="preserve"> κυρίως στους </w:t>
      </w:r>
      <w:r w:rsidR="00F508F7">
        <w:rPr>
          <w:bCs/>
          <w:sz w:val="22"/>
          <w:szCs w:val="22"/>
        </w:rPr>
        <w:t xml:space="preserve">κλάδους </w:t>
      </w:r>
      <w:r w:rsidRPr="00CB7DE6">
        <w:rPr>
          <w:bCs/>
          <w:sz w:val="22"/>
          <w:szCs w:val="22"/>
        </w:rPr>
        <w:t>μεταφορών</w:t>
      </w:r>
      <w:r w:rsidR="00F92CDC">
        <w:rPr>
          <w:bCs/>
          <w:sz w:val="22"/>
          <w:szCs w:val="22"/>
        </w:rPr>
        <w:t>,</w:t>
      </w:r>
      <w:r>
        <w:rPr>
          <w:bCs/>
          <w:sz w:val="22"/>
          <w:szCs w:val="22"/>
        </w:rPr>
        <w:t xml:space="preserve"> </w:t>
      </w:r>
      <w:r w:rsidRPr="00CB7DE6">
        <w:rPr>
          <w:bCs/>
          <w:sz w:val="22"/>
          <w:szCs w:val="22"/>
        </w:rPr>
        <w:t xml:space="preserve">περιβάλλοντος και ενέργειας, </w:t>
      </w:r>
      <w:r w:rsidR="00A8633D">
        <w:rPr>
          <w:bCs/>
          <w:sz w:val="22"/>
          <w:szCs w:val="22"/>
        </w:rPr>
        <w:t>στην ενίσχυση τ</w:t>
      </w:r>
      <w:r w:rsidR="00F508F7">
        <w:rPr>
          <w:bCs/>
          <w:sz w:val="22"/>
          <w:szCs w:val="22"/>
        </w:rPr>
        <w:t xml:space="preserve">ων τομέων </w:t>
      </w:r>
      <w:r w:rsidR="00F92CDC">
        <w:rPr>
          <w:bCs/>
          <w:sz w:val="22"/>
          <w:szCs w:val="22"/>
        </w:rPr>
        <w:t>κοινωνικής πολιτικής</w:t>
      </w:r>
      <w:r w:rsidR="00A8633D">
        <w:rPr>
          <w:bCs/>
          <w:sz w:val="22"/>
          <w:szCs w:val="22"/>
        </w:rPr>
        <w:t>,</w:t>
      </w:r>
      <w:r w:rsidR="00F92CDC">
        <w:rPr>
          <w:bCs/>
          <w:sz w:val="22"/>
          <w:szCs w:val="22"/>
        </w:rPr>
        <w:t xml:space="preserve"> περιφερειακής ανάπτυξης, </w:t>
      </w:r>
      <w:r w:rsidRPr="00CB7DE6">
        <w:rPr>
          <w:bCs/>
          <w:sz w:val="22"/>
          <w:szCs w:val="22"/>
        </w:rPr>
        <w:t>επαγγελματικής εκπαίδευσης και κατάρτισης, έρευνας</w:t>
      </w:r>
      <w:r w:rsidR="00F92CDC">
        <w:rPr>
          <w:bCs/>
          <w:sz w:val="22"/>
          <w:szCs w:val="22"/>
        </w:rPr>
        <w:t>,</w:t>
      </w:r>
      <w:r w:rsidRPr="00CB7DE6">
        <w:rPr>
          <w:bCs/>
          <w:sz w:val="22"/>
          <w:szCs w:val="22"/>
        </w:rPr>
        <w:t xml:space="preserve"> καινοτομί</w:t>
      </w:r>
      <w:r w:rsidR="00F92CDC">
        <w:rPr>
          <w:bCs/>
          <w:sz w:val="22"/>
          <w:szCs w:val="22"/>
        </w:rPr>
        <w:t>ας και</w:t>
      </w:r>
      <w:r w:rsidRPr="00CB7DE6">
        <w:rPr>
          <w:bCs/>
          <w:sz w:val="22"/>
          <w:szCs w:val="22"/>
        </w:rPr>
        <w:t xml:space="preserve"> επιχειρηματικότητας.</w:t>
      </w:r>
      <w:r>
        <w:rPr>
          <w:bCs/>
          <w:sz w:val="22"/>
          <w:szCs w:val="22"/>
        </w:rPr>
        <w:t xml:space="preserve"> </w:t>
      </w:r>
      <w:r w:rsidRPr="00CB7DE6">
        <w:rPr>
          <w:bCs/>
          <w:sz w:val="22"/>
          <w:szCs w:val="22"/>
        </w:rPr>
        <w:t xml:space="preserve">Επίσης, ένα σημαντικό μέρος </w:t>
      </w:r>
      <w:r w:rsidR="00D47DB5">
        <w:rPr>
          <w:bCs/>
          <w:sz w:val="22"/>
          <w:szCs w:val="22"/>
        </w:rPr>
        <w:t>ευρ</w:t>
      </w:r>
      <w:r w:rsidR="00D47DB5">
        <w:rPr>
          <w:bCs/>
          <w:sz w:val="22"/>
          <w:szCs w:val="22"/>
        </w:rPr>
        <w:t>ω</w:t>
      </w:r>
      <w:r w:rsidR="00D47DB5">
        <w:rPr>
          <w:bCs/>
          <w:sz w:val="22"/>
          <w:szCs w:val="22"/>
        </w:rPr>
        <w:t>παϊκών</w:t>
      </w:r>
      <w:r w:rsidRPr="00CB7DE6">
        <w:rPr>
          <w:bCs/>
          <w:sz w:val="22"/>
          <w:szCs w:val="22"/>
        </w:rPr>
        <w:t xml:space="preserve"> πόρων κατευθύνεται στο γεωργικό τομέα, αφενός μέσω των εισοδηματικών ενισχύσεων από το Ευρωπαϊκό Γεωργικό Ταμείο Εγγυήσεων (ΕΓΤΕ) και αφετέρου μέσω των προγραμμάτων για την αγροτική ανάπτυξη από το Ευρωπαϊκό Γεωργικό Ταμείο Αγροτικής Ανάπτυξης (ΕΓΤΑΑ). </w:t>
      </w:r>
    </w:p>
    <w:p w:rsidR="00283154" w:rsidRPr="00A04545" w:rsidRDefault="00283154" w:rsidP="00283154">
      <w:pPr>
        <w:jc w:val="both"/>
        <w:rPr>
          <w:sz w:val="18"/>
          <w:szCs w:val="22"/>
        </w:rPr>
      </w:pPr>
    </w:p>
    <w:p w:rsidR="00283154" w:rsidRPr="00A04545" w:rsidRDefault="00283154" w:rsidP="00283154">
      <w:pPr>
        <w:shd w:val="clear" w:color="auto" w:fill="A6A6A6"/>
        <w:jc w:val="both"/>
        <w:rPr>
          <w:rFonts w:ascii="Arial Narrow" w:hAnsi="Arial Narrow"/>
          <w:b/>
          <w:szCs w:val="22"/>
        </w:rPr>
      </w:pPr>
      <w:r w:rsidRPr="00A04545">
        <w:rPr>
          <w:rFonts w:ascii="Arial Narrow" w:hAnsi="Arial Narrow"/>
          <w:b/>
          <w:szCs w:val="22"/>
        </w:rPr>
        <w:t>4.1</w:t>
      </w:r>
      <w:r w:rsidRPr="00A04545">
        <w:rPr>
          <w:rFonts w:ascii="Arial Narrow" w:hAnsi="Arial Narrow"/>
          <w:b/>
          <w:szCs w:val="22"/>
        </w:rPr>
        <w:tab/>
        <w:t>Χρημα</w:t>
      </w:r>
      <w:r w:rsidR="00A21B56">
        <w:rPr>
          <w:rFonts w:ascii="Arial Narrow" w:hAnsi="Arial Narrow"/>
          <w:b/>
          <w:szCs w:val="22"/>
        </w:rPr>
        <w:t>το</w:t>
      </w:r>
      <w:r w:rsidRPr="00A04545">
        <w:rPr>
          <w:rFonts w:ascii="Arial Narrow" w:hAnsi="Arial Narrow"/>
          <w:b/>
          <w:szCs w:val="22"/>
        </w:rPr>
        <w:t>ροέ</w:t>
      </w:r>
      <w:r w:rsidR="00D47DB5">
        <w:rPr>
          <w:rFonts w:ascii="Arial Narrow" w:hAnsi="Arial Narrow"/>
          <w:b/>
          <w:szCs w:val="22"/>
        </w:rPr>
        <w:t>ς με</w:t>
      </w:r>
      <w:r w:rsidR="00A21B56">
        <w:rPr>
          <w:rFonts w:ascii="Arial Narrow" w:hAnsi="Arial Narrow"/>
          <w:b/>
          <w:szCs w:val="22"/>
        </w:rPr>
        <w:t>ταξύ Ελλάδας και</w:t>
      </w:r>
      <w:r w:rsidR="00D47DB5">
        <w:rPr>
          <w:rFonts w:ascii="Arial Narrow" w:hAnsi="Arial Narrow"/>
          <w:b/>
          <w:szCs w:val="22"/>
        </w:rPr>
        <w:t xml:space="preserve"> Ευρωπαϊκή</w:t>
      </w:r>
      <w:r w:rsidR="00A21B56">
        <w:rPr>
          <w:rFonts w:ascii="Arial Narrow" w:hAnsi="Arial Narrow"/>
          <w:b/>
          <w:szCs w:val="22"/>
        </w:rPr>
        <w:t>ς</w:t>
      </w:r>
      <w:r w:rsidR="00D47DB5">
        <w:rPr>
          <w:rFonts w:ascii="Arial Narrow" w:hAnsi="Arial Narrow"/>
          <w:b/>
          <w:szCs w:val="22"/>
        </w:rPr>
        <w:t xml:space="preserve"> Ένωση</w:t>
      </w:r>
      <w:r w:rsidR="00A21B56">
        <w:rPr>
          <w:rFonts w:ascii="Arial Narrow" w:hAnsi="Arial Narrow"/>
          <w:b/>
          <w:szCs w:val="22"/>
        </w:rPr>
        <w:t>ς</w:t>
      </w:r>
      <w:r w:rsidR="00A8633D">
        <w:rPr>
          <w:rFonts w:ascii="Arial Narrow" w:hAnsi="Arial Narrow"/>
          <w:b/>
          <w:szCs w:val="22"/>
        </w:rPr>
        <w:t xml:space="preserve"> το 2017</w:t>
      </w:r>
    </w:p>
    <w:p w:rsidR="00283154" w:rsidRPr="00A04545" w:rsidRDefault="00283154" w:rsidP="00283154">
      <w:pPr>
        <w:jc w:val="both"/>
        <w:rPr>
          <w:b/>
          <w:sz w:val="22"/>
          <w:szCs w:val="22"/>
        </w:rPr>
      </w:pPr>
    </w:p>
    <w:p w:rsidR="00283154" w:rsidRPr="00A04545" w:rsidRDefault="00283154" w:rsidP="00283154">
      <w:pPr>
        <w:keepNext/>
        <w:jc w:val="both"/>
        <w:outlineLvl w:val="4"/>
        <w:rPr>
          <w:rFonts w:ascii="Arial Narrow" w:hAnsi="Arial Narrow"/>
          <w:b/>
          <w:color w:val="000080"/>
          <w:szCs w:val="22"/>
        </w:rPr>
      </w:pPr>
      <w:r w:rsidRPr="00A04545">
        <w:rPr>
          <w:rFonts w:ascii="Arial Narrow" w:hAnsi="Arial Narrow"/>
          <w:b/>
          <w:color w:val="000080"/>
          <w:szCs w:val="22"/>
        </w:rPr>
        <w:t>Απολήψεις</w:t>
      </w:r>
    </w:p>
    <w:p w:rsidR="00283154" w:rsidRPr="00A04545" w:rsidRDefault="00283154" w:rsidP="00283154">
      <w:pPr>
        <w:keepNext/>
        <w:jc w:val="both"/>
        <w:outlineLvl w:val="4"/>
        <w:rPr>
          <w:sz w:val="22"/>
        </w:rPr>
      </w:pPr>
    </w:p>
    <w:p w:rsidR="00283154" w:rsidRPr="00A04545" w:rsidRDefault="00283154" w:rsidP="00283154">
      <w:pPr>
        <w:jc w:val="both"/>
        <w:outlineLvl w:val="4"/>
        <w:rPr>
          <w:sz w:val="22"/>
        </w:rPr>
      </w:pPr>
      <w:r w:rsidRPr="00A04545">
        <w:rPr>
          <w:sz w:val="22"/>
        </w:rPr>
        <w:t xml:space="preserve">Οι συνολικές εισροές από την ΕΕ </w:t>
      </w:r>
      <w:r w:rsidR="006E4308">
        <w:rPr>
          <w:sz w:val="22"/>
        </w:rPr>
        <w:t xml:space="preserve">κατά το έτος </w:t>
      </w:r>
      <w:r w:rsidR="00A8633D">
        <w:rPr>
          <w:sz w:val="22"/>
        </w:rPr>
        <w:t>2017</w:t>
      </w:r>
      <w:r>
        <w:rPr>
          <w:sz w:val="22"/>
        </w:rPr>
        <w:t xml:space="preserve"> </w:t>
      </w:r>
      <w:r w:rsidRPr="00A04545">
        <w:rPr>
          <w:sz w:val="22"/>
        </w:rPr>
        <w:t xml:space="preserve">εκτιμάται ότι θα διαμορφωθούν σε </w:t>
      </w:r>
      <w:r w:rsidR="00A8633D">
        <w:rPr>
          <w:sz w:val="22"/>
        </w:rPr>
        <w:t>5.762</w:t>
      </w:r>
      <w:r>
        <w:rPr>
          <w:sz w:val="22"/>
        </w:rPr>
        <w:t xml:space="preserve"> </w:t>
      </w:r>
      <w:r w:rsidRPr="00A04545">
        <w:rPr>
          <w:sz w:val="22"/>
        </w:rPr>
        <w:t>εκατ. ευρώ</w:t>
      </w:r>
      <w:r w:rsidR="006E4308">
        <w:rPr>
          <w:sz w:val="22"/>
        </w:rPr>
        <w:t xml:space="preserve">, παρουσιάζοντας </w:t>
      </w:r>
      <w:r w:rsidR="00A8633D">
        <w:rPr>
          <w:sz w:val="22"/>
        </w:rPr>
        <w:t xml:space="preserve">μείωση έναντι του 2016, λόγω μειωμένων </w:t>
      </w:r>
      <w:r w:rsidR="00781D38">
        <w:rPr>
          <w:sz w:val="22"/>
        </w:rPr>
        <w:t xml:space="preserve">εισροών </w:t>
      </w:r>
      <w:r w:rsidR="00A8633D">
        <w:rPr>
          <w:sz w:val="22"/>
        </w:rPr>
        <w:t>το</w:t>
      </w:r>
      <w:r w:rsidR="00781D38">
        <w:rPr>
          <w:sz w:val="22"/>
        </w:rPr>
        <w:t>υ</w:t>
      </w:r>
      <w:r w:rsidR="00A8633D">
        <w:rPr>
          <w:sz w:val="22"/>
        </w:rPr>
        <w:t xml:space="preserve"> Πρ</w:t>
      </w:r>
      <w:r w:rsidR="00781D38">
        <w:rPr>
          <w:sz w:val="22"/>
        </w:rPr>
        <w:t>ογράμματος</w:t>
      </w:r>
      <w:r w:rsidR="00A8633D">
        <w:rPr>
          <w:sz w:val="22"/>
        </w:rPr>
        <w:t xml:space="preserve"> Δημ</w:t>
      </w:r>
      <w:r w:rsidR="00A8633D">
        <w:rPr>
          <w:sz w:val="22"/>
        </w:rPr>
        <w:t>ο</w:t>
      </w:r>
      <w:r w:rsidR="00A8633D">
        <w:rPr>
          <w:sz w:val="22"/>
        </w:rPr>
        <w:t>σίων Επενδύσεων.</w:t>
      </w:r>
    </w:p>
    <w:p w:rsidR="00283154" w:rsidRPr="00A04545" w:rsidRDefault="00283154" w:rsidP="00283154">
      <w:pPr>
        <w:jc w:val="both"/>
        <w:outlineLvl w:val="4"/>
        <w:rPr>
          <w:sz w:val="22"/>
        </w:rPr>
      </w:pPr>
    </w:p>
    <w:p w:rsidR="00283154" w:rsidRPr="00A04545" w:rsidRDefault="00A8633D" w:rsidP="00283154">
      <w:pPr>
        <w:jc w:val="both"/>
        <w:outlineLvl w:val="4"/>
        <w:rPr>
          <w:sz w:val="22"/>
        </w:rPr>
      </w:pPr>
      <w:r>
        <w:rPr>
          <w:sz w:val="22"/>
        </w:rPr>
        <w:t>Ειδικότερα, το έτος 2017</w:t>
      </w:r>
      <w:r w:rsidR="00283154" w:rsidRPr="00A04545">
        <w:rPr>
          <w:sz w:val="22"/>
        </w:rPr>
        <w:t xml:space="preserve"> αναμένονται τα ακόλουθα:</w:t>
      </w:r>
    </w:p>
    <w:p w:rsidR="00283154" w:rsidRPr="00A04545" w:rsidRDefault="00283154" w:rsidP="00283154">
      <w:pPr>
        <w:jc w:val="both"/>
        <w:outlineLvl w:val="4"/>
        <w:rPr>
          <w:bCs/>
          <w:sz w:val="22"/>
        </w:rPr>
      </w:pPr>
      <w:r w:rsidRPr="00A04545">
        <w:rPr>
          <w:bCs/>
          <w:sz w:val="22"/>
        </w:rPr>
        <w:t xml:space="preserve"> </w:t>
      </w:r>
    </w:p>
    <w:p w:rsidR="00283154" w:rsidRPr="00A04545" w:rsidRDefault="00283154" w:rsidP="00283154">
      <w:pPr>
        <w:jc w:val="both"/>
        <w:outlineLvl w:val="4"/>
        <w:rPr>
          <w:rFonts w:ascii="Arial Narrow" w:hAnsi="Arial Narrow"/>
          <w:b/>
          <w:i/>
          <w:sz w:val="22"/>
        </w:rPr>
      </w:pPr>
      <w:r w:rsidRPr="00A04545">
        <w:rPr>
          <w:rFonts w:ascii="Arial Narrow" w:hAnsi="Arial Narrow"/>
          <w:b/>
          <w:i/>
          <w:sz w:val="22"/>
        </w:rPr>
        <w:t>Τακτικός Προϋπολογισμός</w:t>
      </w:r>
    </w:p>
    <w:p w:rsidR="00283154" w:rsidRPr="00A04545" w:rsidRDefault="00283154" w:rsidP="00283154">
      <w:pPr>
        <w:jc w:val="both"/>
        <w:outlineLvl w:val="4"/>
        <w:rPr>
          <w:b/>
          <w:i/>
          <w:sz w:val="22"/>
        </w:rPr>
      </w:pPr>
    </w:p>
    <w:p w:rsidR="00283154" w:rsidRPr="00A04545" w:rsidRDefault="00283154" w:rsidP="00283154">
      <w:pPr>
        <w:jc w:val="both"/>
        <w:outlineLvl w:val="4"/>
        <w:rPr>
          <w:sz w:val="22"/>
        </w:rPr>
      </w:pPr>
      <w:r w:rsidRPr="00A04545">
        <w:rPr>
          <w:sz w:val="22"/>
        </w:rPr>
        <w:t xml:space="preserve">Οι απολήψεις </w:t>
      </w:r>
      <w:r>
        <w:rPr>
          <w:sz w:val="22"/>
        </w:rPr>
        <w:t xml:space="preserve">του ΤΠ </w:t>
      </w:r>
      <w:r w:rsidRPr="00A04545">
        <w:rPr>
          <w:sz w:val="22"/>
        </w:rPr>
        <w:t>αφορούν</w:t>
      </w:r>
      <w:r>
        <w:rPr>
          <w:sz w:val="22"/>
        </w:rPr>
        <w:t>,</w:t>
      </w:r>
      <w:r w:rsidRPr="00A04545">
        <w:rPr>
          <w:sz w:val="22"/>
        </w:rPr>
        <w:t xml:space="preserve"> κατά κύριο λόγο, </w:t>
      </w:r>
      <w:r w:rsidR="0042062E">
        <w:rPr>
          <w:sz w:val="22"/>
        </w:rPr>
        <w:t>κοινοτικές</w:t>
      </w:r>
      <w:r w:rsidRPr="00A04545">
        <w:rPr>
          <w:sz w:val="22"/>
        </w:rPr>
        <w:t xml:space="preserve"> ενισχύσε</w:t>
      </w:r>
      <w:r w:rsidR="0042062E">
        <w:rPr>
          <w:sz w:val="22"/>
        </w:rPr>
        <w:t>ις</w:t>
      </w:r>
      <w:r w:rsidRPr="00A04545">
        <w:rPr>
          <w:sz w:val="22"/>
        </w:rPr>
        <w:t xml:space="preserve"> για τη στήριξη του γεωργι</w:t>
      </w:r>
      <w:r w:rsidR="0042062E">
        <w:rPr>
          <w:sz w:val="22"/>
        </w:rPr>
        <w:t xml:space="preserve">κού εισοδήματος και </w:t>
      </w:r>
      <w:r w:rsidRPr="00A04545">
        <w:rPr>
          <w:sz w:val="22"/>
        </w:rPr>
        <w:t>την υλοποίηση προγραμμάτων και δράσεων αγροτικής ανάπτυξης, όπως αγροπερ</w:t>
      </w:r>
      <w:r w:rsidRPr="00A04545">
        <w:rPr>
          <w:sz w:val="22"/>
        </w:rPr>
        <w:t>ι</w:t>
      </w:r>
      <w:r w:rsidRPr="00A04545">
        <w:rPr>
          <w:sz w:val="22"/>
        </w:rPr>
        <w:t>βαλλοντικά μέτρα (βιολογική γεωργία, μακροχρόνια παύση, κτηνοτροφία), στήριξη ορεινών και μει</w:t>
      </w:r>
      <w:r w:rsidRPr="00A04545">
        <w:rPr>
          <w:sz w:val="22"/>
        </w:rPr>
        <w:t>ο</w:t>
      </w:r>
      <w:r w:rsidRPr="00A04545">
        <w:rPr>
          <w:sz w:val="22"/>
        </w:rPr>
        <w:t xml:space="preserve">νεκτικών περιοχών, δάσωση κ.λπ. </w:t>
      </w:r>
      <w:r w:rsidR="006E4308">
        <w:rPr>
          <w:sz w:val="22"/>
        </w:rPr>
        <w:t>Επιπλέον, συμπεριλαμβάν</w:t>
      </w:r>
      <w:r w:rsidR="00B64D8D">
        <w:rPr>
          <w:sz w:val="22"/>
        </w:rPr>
        <w:t>ονται</w:t>
      </w:r>
      <w:r w:rsidR="006E4308">
        <w:rPr>
          <w:sz w:val="22"/>
        </w:rPr>
        <w:t xml:space="preserve"> και κοινοτικές ενισχύσεις</w:t>
      </w:r>
      <w:r w:rsidR="00A8633D">
        <w:rPr>
          <w:sz w:val="22"/>
        </w:rPr>
        <w:t xml:space="preserve"> για την υλοποίηση</w:t>
      </w:r>
      <w:r w:rsidR="006E4308">
        <w:rPr>
          <w:sz w:val="22"/>
        </w:rPr>
        <w:t xml:space="preserve"> δράσεων </w:t>
      </w:r>
      <w:r w:rsidR="006339A8">
        <w:rPr>
          <w:sz w:val="22"/>
        </w:rPr>
        <w:t xml:space="preserve">σχετικών με τις </w:t>
      </w:r>
      <w:r w:rsidR="006E4308">
        <w:rPr>
          <w:sz w:val="22"/>
        </w:rPr>
        <w:t>μεταναστευτικ</w:t>
      </w:r>
      <w:r w:rsidR="006339A8">
        <w:rPr>
          <w:sz w:val="22"/>
        </w:rPr>
        <w:t>ές</w:t>
      </w:r>
      <w:r w:rsidR="006E4308">
        <w:rPr>
          <w:sz w:val="22"/>
        </w:rPr>
        <w:t xml:space="preserve"> ρο</w:t>
      </w:r>
      <w:r w:rsidR="006339A8">
        <w:rPr>
          <w:sz w:val="22"/>
        </w:rPr>
        <w:t>ές</w:t>
      </w:r>
      <w:r w:rsidR="006E4308">
        <w:rPr>
          <w:sz w:val="22"/>
        </w:rPr>
        <w:t>.</w:t>
      </w:r>
    </w:p>
    <w:p w:rsidR="00283154" w:rsidRPr="00A04545" w:rsidRDefault="00283154" w:rsidP="00283154">
      <w:pPr>
        <w:jc w:val="both"/>
        <w:outlineLvl w:val="4"/>
        <w:rPr>
          <w:sz w:val="22"/>
        </w:rPr>
      </w:pPr>
    </w:p>
    <w:p w:rsidR="00283154" w:rsidRPr="00A04545" w:rsidRDefault="00283154" w:rsidP="00283154">
      <w:pPr>
        <w:jc w:val="both"/>
        <w:outlineLvl w:val="4"/>
        <w:rPr>
          <w:sz w:val="22"/>
        </w:rPr>
      </w:pPr>
      <w:r w:rsidRPr="00A04545">
        <w:rPr>
          <w:sz w:val="22"/>
        </w:rPr>
        <w:t xml:space="preserve">Μέσω του ΤΠ αναμένεται να εισρεύσουν συνολικά </w:t>
      </w:r>
      <w:r w:rsidR="00A8633D">
        <w:rPr>
          <w:sz w:val="22"/>
        </w:rPr>
        <w:t>51</w:t>
      </w:r>
      <w:r w:rsidR="003A2948">
        <w:rPr>
          <w:sz w:val="22"/>
        </w:rPr>
        <w:t>0</w:t>
      </w:r>
      <w:r w:rsidRPr="00A04545">
        <w:rPr>
          <w:sz w:val="22"/>
        </w:rPr>
        <w:t xml:space="preserve"> εκατ. ευρώ, εκ των οποίων </w:t>
      </w:r>
      <w:r w:rsidR="003A2948">
        <w:rPr>
          <w:sz w:val="22"/>
        </w:rPr>
        <w:t>2</w:t>
      </w:r>
      <w:r w:rsidR="00A8633D">
        <w:rPr>
          <w:sz w:val="22"/>
        </w:rPr>
        <w:t>36</w:t>
      </w:r>
      <w:r w:rsidRPr="00A04545">
        <w:rPr>
          <w:sz w:val="22"/>
        </w:rPr>
        <w:t xml:space="preserve"> εκατ. ευρώ</w:t>
      </w:r>
      <w:r w:rsidR="006E4308">
        <w:rPr>
          <w:sz w:val="22"/>
        </w:rPr>
        <w:t xml:space="preserve"> αφορούν απολήψεις από το ΕΓΤΑΑ και 100 εκατ. ευρώ αφορούν δράσεις </w:t>
      </w:r>
      <w:r w:rsidR="006339A8">
        <w:rPr>
          <w:sz w:val="22"/>
        </w:rPr>
        <w:t xml:space="preserve">σχετικές με τις </w:t>
      </w:r>
      <w:r w:rsidR="006E4308">
        <w:rPr>
          <w:sz w:val="22"/>
        </w:rPr>
        <w:t>μεταναστε</w:t>
      </w:r>
      <w:r w:rsidR="006E4308">
        <w:rPr>
          <w:sz w:val="22"/>
        </w:rPr>
        <w:t>υ</w:t>
      </w:r>
      <w:r w:rsidR="006E4308">
        <w:rPr>
          <w:sz w:val="22"/>
        </w:rPr>
        <w:t>τικ</w:t>
      </w:r>
      <w:r w:rsidR="006339A8">
        <w:rPr>
          <w:sz w:val="22"/>
        </w:rPr>
        <w:t>ές</w:t>
      </w:r>
      <w:r w:rsidR="006E4308">
        <w:rPr>
          <w:sz w:val="22"/>
        </w:rPr>
        <w:t xml:space="preserve"> ρο</w:t>
      </w:r>
      <w:r w:rsidR="006339A8">
        <w:rPr>
          <w:sz w:val="22"/>
        </w:rPr>
        <w:t>ές</w:t>
      </w:r>
      <w:r w:rsidR="006E4308">
        <w:rPr>
          <w:sz w:val="22"/>
        </w:rPr>
        <w:t>.</w:t>
      </w:r>
    </w:p>
    <w:p w:rsidR="00283154" w:rsidRPr="00A04545" w:rsidRDefault="00283154" w:rsidP="00283154">
      <w:pPr>
        <w:jc w:val="both"/>
        <w:outlineLvl w:val="4"/>
        <w:rPr>
          <w:sz w:val="22"/>
        </w:rPr>
      </w:pPr>
    </w:p>
    <w:p w:rsidR="00283154" w:rsidRPr="00A04545" w:rsidRDefault="00283154" w:rsidP="00283154">
      <w:pPr>
        <w:jc w:val="both"/>
        <w:outlineLvl w:val="4"/>
        <w:rPr>
          <w:rFonts w:ascii="Arial Narrow" w:hAnsi="Arial Narrow"/>
          <w:b/>
          <w:bCs/>
          <w:i/>
          <w:sz w:val="22"/>
        </w:rPr>
      </w:pPr>
      <w:r w:rsidRPr="00A04545">
        <w:rPr>
          <w:rFonts w:ascii="Arial Narrow" w:hAnsi="Arial Narrow"/>
          <w:b/>
          <w:bCs/>
          <w:i/>
          <w:sz w:val="22"/>
        </w:rPr>
        <w:t>Προϋπολογισμός Δημοσίων Επενδύσεων</w:t>
      </w:r>
      <w:r w:rsidR="00A34673">
        <w:rPr>
          <w:rFonts w:ascii="Arial Narrow" w:hAnsi="Arial Narrow"/>
          <w:b/>
          <w:bCs/>
          <w:i/>
          <w:sz w:val="22"/>
        </w:rPr>
        <w:t xml:space="preserve"> </w:t>
      </w:r>
    </w:p>
    <w:p w:rsidR="00283154" w:rsidRPr="00A04545" w:rsidRDefault="00283154" w:rsidP="00283154">
      <w:pPr>
        <w:jc w:val="both"/>
        <w:outlineLvl w:val="4"/>
        <w:rPr>
          <w:b/>
          <w:bCs/>
          <w:i/>
          <w:sz w:val="22"/>
        </w:rPr>
      </w:pPr>
    </w:p>
    <w:p w:rsidR="00283154" w:rsidRDefault="00283154" w:rsidP="00283154">
      <w:pPr>
        <w:jc w:val="both"/>
        <w:rPr>
          <w:sz w:val="22"/>
          <w:szCs w:val="22"/>
        </w:rPr>
      </w:pPr>
      <w:r w:rsidRPr="00CB7DE6">
        <w:rPr>
          <w:sz w:val="22"/>
          <w:szCs w:val="22"/>
        </w:rPr>
        <w:t>Μέσω του ΠΔΕ εκτιμώνται</w:t>
      </w:r>
      <w:r>
        <w:rPr>
          <w:sz w:val="22"/>
          <w:szCs w:val="22"/>
        </w:rPr>
        <w:t xml:space="preserve"> εισροές ύψους </w:t>
      </w:r>
      <w:r w:rsidR="00A8633D">
        <w:rPr>
          <w:sz w:val="22"/>
          <w:szCs w:val="22"/>
        </w:rPr>
        <w:t>3.177</w:t>
      </w:r>
      <w:r>
        <w:rPr>
          <w:sz w:val="22"/>
          <w:szCs w:val="22"/>
        </w:rPr>
        <w:t xml:space="preserve"> εκατ. ευρώ</w:t>
      </w:r>
      <w:r w:rsidRPr="00CB7DE6">
        <w:rPr>
          <w:sz w:val="22"/>
          <w:szCs w:val="22"/>
        </w:rPr>
        <w:t xml:space="preserve"> </w:t>
      </w:r>
      <w:r>
        <w:rPr>
          <w:sz w:val="22"/>
          <w:szCs w:val="22"/>
        </w:rPr>
        <w:t>που</w:t>
      </w:r>
      <w:r w:rsidR="00A34673">
        <w:rPr>
          <w:sz w:val="22"/>
          <w:szCs w:val="22"/>
        </w:rPr>
        <w:t xml:space="preserve"> αντιπροσωπεύουν το </w:t>
      </w:r>
      <w:r w:rsidR="00A8633D">
        <w:rPr>
          <w:sz w:val="22"/>
          <w:szCs w:val="22"/>
        </w:rPr>
        <w:t>55</w:t>
      </w:r>
      <w:r w:rsidRPr="00CB7DE6">
        <w:rPr>
          <w:sz w:val="22"/>
          <w:szCs w:val="22"/>
        </w:rPr>
        <w:t>% του συν</w:t>
      </w:r>
      <w:r w:rsidRPr="00CB7DE6">
        <w:rPr>
          <w:sz w:val="22"/>
          <w:szCs w:val="22"/>
        </w:rPr>
        <w:t>ό</w:t>
      </w:r>
      <w:r w:rsidRPr="00CB7DE6">
        <w:rPr>
          <w:sz w:val="22"/>
          <w:szCs w:val="22"/>
        </w:rPr>
        <w:t>λου των απολήψεων</w:t>
      </w:r>
      <w:r w:rsidR="00841F93">
        <w:rPr>
          <w:sz w:val="22"/>
          <w:szCs w:val="22"/>
        </w:rPr>
        <w:t xml:space="preserve"> από την ΕΕ</w:t>
      </w:r>
      <w:r w:rsidRPr="00CB7DE6">
        <w:rPr>
          <w:sz w:val="22"/>
          <w:szCs w:val="22"/>
        </w:rPr>
        <w:t>. Οι εισροές του ΠΔΕ</w:t>
      </w:r>
      <w:r>
        <w:rPr>
          <w:sz w:val="22"/>
          <w:szCs w:val="22"/>
        </w:rPr>
        <w:t xml:space="preserve"> </w:t>
      </w:r>
      <w:r w:rsidR="00A34673">
        <w:rPr>
          <w:sz w:val="22"/>
          <w:szCs w:val="22"/>
        </w:rPr>
        <w:t>αφορούν τα διαρθρωτικά ταμεία</w:t>
      </w:r>
      <w:r w:rsidRPr="00CB7DE6">
        <w:rPr>
          <w:sz w:val="22"/>
          <w:szCs w:val="22"/>
        </w:rPr>
        <w:t xml:space="preserve"> ΕΤΠΑ</w:t>
      </w:r>
      <w:r w:rsidR="00841F93">
        <w:rPr>
          <w:sz w:val="22"/>
          <w:szCs w:val="22"/>
        </w:rPr>
        <w:t>,</w:t>
      </w:r>
      <w:r w:rsidR="00A34673">
        <w:rPr>
          <w:sz w:val="22"/>
          <w:szCs w:val="22"/>
        </w:rPr>
        <w:t xml:space="preserve"> </w:t>
      </w:r>
      <w:r w:rsidRPr="00CB7DE6">
        <w:rPr>
          <w:sz w:val="22"/>
          <w:szCs w:val="22"/>
        </w:rPr>
        <w:t>ΕΚΤ</w:t>
      </w:r>
      <w:r w:rsidR="00A34673">
        <w:rPr>
          <w:sz w:val="22"/>
          <w:szCs w:val="22"/>
        </w:rPr>
        <w:t>,</w:t>
      </w:r>
      <w:r w:rsidRPr="00CB7DE6">
        <w:rPr>
          <w:sz w:val="22"/>
          <w:szCs w:val="22"/>
        </w:rPr>
        <w:t xml:space="preserve"> το Ταμείο Συνοχής, καθώς και το ΕΓΤΑΑ. Στις εκτιμώμενες εισροές του ΠΔΕ συμπεριλαμβάνονται </w:t>
      </w:r>
      <w:r w:rsidR="00841F93">
        <w:rPr>
          <w:sz w:val="22"/>
          <w:szCs w:val="22"/>
        </w:rPr>
        <w:t xml:space="preserve">επίσης </w:t>
      </w:r>
      <w:r w:rsidRPr="00CB7DE6">
        <w:rPr>
          <w:sz w:val="22"/>
          <w:szCs w:val="22"/>
        </w:rPr>
        <w:t xml:space="preserve">και οι απολήψεις από το </w:t>
      </w:r>
      <w:r w:rsidR="0042062E">
        <w:rPr>
          <w:iCs/>
          <w:sz w:val="22"/>
          <w:szCs w:val="22"/>
        </w:rPr>
        <w:t>π</w:t>
      </w:r>
      <w:r w:rsidRPr="00A04545">
        <w:rPr>
          <w:iCs/>
          <w:sz w:val="22"/>
          <w:szCs w:val="22"/>
        </w:rPr>
        <w:t>ρόγραμμα</w:t>
      </w:r>
      <w:r w:rsidRPr="00A04545">
        <w:rPr>
          <w:sz w:val="22"/>
          <w:szCs w:val="22"/>
        </w:rPr>
        <w:t xml:space="preserve"> της ΕΕ «</w:t>
      </w:r>
      <w:r w:rsidRPr="00A04545">
        <w:rPr>
          <w:iCs/>
          <w:sz w:val="22"/>
          <w:szCs w:val="22"/>
        </w:rPr>
        <w:t>Αλληλεγγύη</w:t>
      </w:r>
      <w:r w:rsidRPr="00A04545">
        <w:rPr>
          <w:sz w:val="22"/>
          <w:szCs w:val="22"/>
        </w:rPr>
        <w:t xml:space="preserve"> και </w:t>
      </w:r>
      <w:r w:rsidRPr="00A04545">
        <w:rPr>
          <w:iCs/>
          <w:sz w:val="22"/>
          <w:szCs w:val="22"/>
        </w:rPr>
        <w:t>Διαχείριση</w:t>
      </w:r>
      <w:r w:rsidRPr="00A04545">
        <w:rPr>
          <w:sz w:val="22"/>
          <w:szCs w:val="22"/>
        </w:rPr>
        <w:t xml:space="preserve"> Μεταναστευτικών Ροών».</w:t>
      </w:r>
      <w:r w:rsidR="00A34673">
        <w:rPr>
          <w:sz w:val="22"/>
          <w:szCs w:val="22"/>
        </w:rPr>
        <w:t xml:space="preserve"> </w:t>
      </w:r>
    </w:p>
    <w:p w:rsidR="0042062E" w:rsidRPr="00A04545" w:rsidRDefault="0042062E" w:rsidP="00283154">
      <w:pPr>
        <w:jc w:val="both"/>
        <w:rPr>
          <w:sz w:val="22"/>
          <w:szCs w:val="22"/>
        </w:rPr>
      </w:pPr>
    </w:p>
    <w:p w:rsidR="00283154" w:rsidRDefault="00283154" w:rsidP="00283154">
      <w:pPr>
        <w:jc w:val="both"/>
        <w:outlineLvl w:val="4"/>
        <w:rPr>
          <w:sz w:val="22"/>
        </w:rPr>
      </w:pPr>
    </w:p>
    <w:p w:rsidR="00283154" w:rsidRPr="00A04545" w:rsidRDefault="00283154" w:rsidP="00283154">
      <w:pPr>
        <w:jc w:val="both"/>
        <w:outlineLvl w:val="4"/>
        <w:rPr>
          <w:rFonts w:ascii="Arial Narrow" w:hAnsi="Arial Narrow"/>
          <w:b/>
          <w:i/>
          <w:sz w:val="22"/>
        </w:rPr>
      </w:pPr>
      <w:r w:rsidRPr="00A04545">
        <w:rPr>
          <w:rFonts w:ascii="Arial Narrow" w:hAnsi="Arial Narrow"/>
          <w:b/>
          <w:i/>
          <w:sz w:val="22"/>
        </w:rPr>
        <w:t>Προϋπολογισμός ΕΛΕΓΕΠ</w:t>
      </w:r>
    </w:p>
    <w:p w:rsidR="00283154" w:rsidRPr="009B3847" w:rsidRDefault="00283154" w:rsidP="00283154">
      <w:pPr>
        <w:jc w:val="both"/>
        <w:outlineLvl w:val="4"/>
        <w:rPr>
          <w:b/>
          <w:sz w:val="22"/>
        </w:rPr>
      </w:pPr>
    </w:p>
    <w:p w:rsidR="00283154" w:rsidRPr="00A04545" w:rsidRDefault="00283154" w:rsidP="00283154">
      <w:pPr>
        <w:jc w:val="both"/>
        <w:outlineLvl w:val="4"/>
        <w:rPr>
          <w:bCs/>
          <w:sz w:val="22"/>
        </w:rPr>
      </w:pPr>
      <w:r w:rsidRPr="00A04545">
        <w:rPr>
          <w:bCs/>
          <w:sz w:val="22"/>
        </w:rPr>
        <w:t>Οι απολήψεις του τομέα εγγυήσεων γεωργικών προϊόντων</w:t>
      </w:r>
      <w:r w:rsidR="005466B1">
        <w:rPr>
          <w:bCs/>
          <w:sz w:val="22"/>
        </w:rPr>
        <w:t>,</w:t>
      </w:r>
      <w:r w:rsidRPr="00A04545">
        <w:rPr>
          <w:bCs/>
          <w:sz w:val="22"/>
        </w:rPr>
        <w:t xml:space="preserve"> που περιλαμβάνονται στον προϋπολογ</w:t>
      </w:r>
      <w:r w:rsidRPr="00A04545">
        <w:rPr>
          <w:bCs/>
          <w:sz w:val="22"/>
        </w:rPr>
        <w:t>ι</w:t>
      </w:r>
      <w:r w:rsidRPr="00A04545">
        <w:rPr>
          <w:bCs/>
          <w:sz w:val="22"/>
        </w:rPr>
        <w:t>σμό ΕΛΕΓΕΠ (ΕΓΤΕ/Εγγυήσεις)</w:t>
      </w:r>
      <w:r w:rsidR="005466B1">
        <w:rPr>
          <w:bCs/>
          <w:sz w:val="22"/>
        </w:rPr>
        <w:t>,</w:t>
      </w:r>
      <w:r w:rsidRPr="00A04545">
        <w:rPr>
          <w:bCs/>
          <w:sz w:val="22"/>
        </w:rPr>
        <w:t xml:space="preserve"> χρηματοδοτούν τη στήριξη του εισοδήματος του αγροτικού πληθ</w:t>
      </w:r>
      <w:r w:rsidRPr="00A04545">
        <w:rPr>
          <w:bCs/>
          <w:sz w:val="22"/>
        </w:rPr>
        <w:t>υ</w:t>
      </w:r>
      <w:r w:rsidRPr="00A04545">
        <w:rPr>
          <w:bCs/>
          <w:sz w:val="22"/>
        </w:rPr>
        <w:t>σμού και την ανάπτυξη της υπαίθρου. Οι εισροές από το Ευρωπαϊκό Γεωργικό Ταμείο Εγγυήσεων (ΕΓΤΕ) αναμένεται να ανέλθουν σ</w:t>
      </w:r>
      <w:r w:rsidR="00DB3055">
        <w:rPr>
          <w:bCs/>
          <w:sz w:val="22"/>
        </w:rPr>
        <w:t>ε 2.075</w:t>
      </w:r>
      <w:r w:rsidRPr="00A04545">
        <w:rPr>
          <w:bCs/>
          <w:sz w:val="22"/>
        </w:rPr>
        <w:t xml:space="preserve"> εκατ. ευρώ για το </w:t>
      </w:r>
      <w:r w:rsidR="00934B6B">
        <w:rPr>
          <w:bCs/>
          <w:sz w:val="22"/>
        </w:rPr>
        <w:t xml:space="preserve">έτος </w:t>
      </w:r>
      <w:r w:rsidRPr="00A04545">
        <w:rPr>
          <w:bCs/>
          <w:sz w:val="22"/>
        </w:rPr>
        <w:t>201</w:t>
      </w:r>
      <w:r w:rsidR="00DB3055">
        <w:rPr>
          <w:bCs/>
          <w:sz w:val="22"/>
        </w:rPr>
        <w:t>7</w:t>
      </w:r>
      <w:r w:rsidRPr="00A04545">
        <w:rPr>
          <w:bCs/>
          <w:sz w:val="22"/>
        </w:rPr>
        <w:t xml:space="preserve">, αντιπροσωπεύοντας το </w:t>
      </w:r>
      <w:r>
        <w:rPr>
          <w:bCs/>
          <w:sz w:val="22"/>
        </w:rPr>
        <w:t>3</w:t>
      </w:r>
      <w:r w:rsidR="00DB3055">
        <w:rPr>
          <w:bCs/>
          <w:sz w:val="22"/>
        </w:rPr>
        <w:t>6</w:t>
      </w:r>
      <w:r w:rsidRPr="00A04545">
        <w:rPr>
          <w:bCs/>
          <w:sz w:val="22"/>
        </w:rPr>
        <w:t>% του συνόλου των απολήψεων από την ΕΕ.</w:t>
      </w:r>
    </w:p>
    <w:p w:rsidR="00283154" w:rsidRPr="00A04545" w:rsidRDefault="00283154" w:rsidP="00283154">
      <w:pPr>
        <w:keepNext/>
        <w:jc w:val="both"/>
        <w:outlineLvl w:val="4"/>
        <w:rPr>
          <w:rFonts w:ascii="Arial Narrow" w:hAnsi="Arial Narrow"/>
          <w:b/>
          <w:bCs/>
          <w:color w:val="000080"/>
          <w:szCs w:val="22"/>
        </w:rPr>
      </w:pPr>
    </w:p>
    <w:p w:rsidR="00283154" w:rsidRPr="00A04545" w:rsidRDefault="00283154" w:rsidP="00283154">
      <w:pPr>
        <w:keepNext/>
        <w:jc w:val="both"/>
        <w:outlineLvl w:val="4"/>
        <w:rPr>
          <w:rFonts w:ascii="Arial Narrow" w:hAnsi="Arial Narrow"/>
          <w:b/>
          <w:bCs/>
          <w:color w:val="000080"/>
          <w:szCs w:val="22"/>
        </w:rPr>
      </w:pPr>
      <w:r w:rsidRPr="00A04545">
        <w:rPr>
          <w:rFonts w:ascii="Arial Narrow" w:hAnsi="Arial Narrow"/>
          <w:b/>
          <w:bCs/>
          <w:color w:val="000080"/>
          <w:szCs w:val="22"/>
        </w:rPr>
        <w:t>Αποδόσεις</w:t>
      </w:r>
    </w:p>
    <w:p w:rsidR="00283154" w:rsidRPr="00A04545" w:rsidRDefault="00283154" w:rsidP="00283154">
      <w:pPr>
        <w:jc w:val="both"/>
        <w:rPr>
          <w:sz w:val="22"/>
        </w:rPr>
      </w:pPr>
    </w:p>
    <w:p w:rsidR="00283154" w:rsidRPr="00A04545" w:rsidRDefault="00283154" w:rsidP="00283154">
      <w:pPr>
        <w:jc w:val="both"/>
        <w:rPr>
          <w:sz w:val="22"/>
        </w:rPr>
      </w:pPr>
      <w:r w:rsidRPr="00A04545">
        <w:rPr>
          <w:sz w:val="22"/>
        </w:rPr>
        <w:t>Οι συνολικέ</w:t>
      </w:r>
      <w:r w:rsidR="00846BDD">
        <w:rPr>
          <w:sz w:val="22"/>
        </w:rPr>
        <w:t>ς συνεισφορές της Ελλάδας στον κοινοτικό π</w:t>
      </w:r>
      <w:r w:rsidRPr="00A04545">
        <w:rPr>
          <w:sz w:val="22"/>
        </w:rPr>
        <w:t>ροϋπολογι</w:t>
      </w:r>
      <w:r>
        <w:rPr>
          <w:sz w:val="22"/>
        </w:rPr>
        <w:t xml:space="preserve">σμό </w:t>
      </w:r>
      <w:r w:rsidR="00DB3055">
        <w:rPr>
          <w:sz w:val="22"/>
        </w:rPr>
        <w:t>κατά το έτος 2017</w:t>
      </w:r>
      <w:r w:rsidR="00934B6B">
        <w:rPr>
          <w:sz w:val="22"/>
        </w:rPr>
        <w:t xml:space="preserve">, </w:t>
      </w:r>
      <w:r>
        <w:rPr>
          <w:sz w:val="22"/>
        </w:rPr>
        <w:t>εκτιμάται ότι θα ανέλθουν σε</w:t>
      </w:r>
      <w:r w:rsidRPr="00A04545">
        <w:rPr>
          <w:sz w:val="22"/>
        </w:rPr>
        <w:t xml:space="preserve"> </w:t>
      </w:r>
      <w:r>
        <w:rPr>
          <w:sz w:val="22"/>
        </w:rPr>
        <w:t>1.8</w:t>
      </w:r>
      <w:r w:rsidR="00DB3055">
        <w:rPr>
          <w:sz w:val="22"/>
        </w:rPr>
        <w:t>6</w:t>
      </w:r>
      <w:r w:rsidR="003A2948">
        <w:rPr>
          <w:sz w:val="22"/>
        </w:rPr>
        <w:t>1</w:t>
      </w:r>
      <w:r w:rsidRPr="00A04545">
        <w:rPr>
          <w:sz w:val="22"/>
        </w:rPr>
        <w:t xml:space="preserve"> εκατ. ευρώ, το μεγαλύτερο μέρος των οποίων προέρχεται από τις συνεισφ</w:t>
      </w:r>
      <w:r w:rsidRPr="00A04545">
        <w:rPr>
          <w:sz w:val="22"/>
        </w:rPr>
        <w:t>ο</w:t>
      </w:r>
      <w:r w:rsidRPr="00A04545">
        <w:rPr>
          <w:sz w:val="22"/>
        </w:rPr>
        <w:t xml:space="preserve">ρές βάσει </w:t>
      </w:r>
      <w:r w:rsidR="00DB3055">
        <w:rPr>
          <w:sz w:val="22"/>
        </w:rPr>
        <w:t>Ακαθάριστου Εθνικού Εισοδήματος (</w:t>
      </w:r>
      <w:r w:rsidRPr="00A04545">
        <w:rPr>
          <w:sz w:val="22"/>
        </w:rPr>
        <w:t>ΑΕΕ</w:t>
      </w:r>
      <w:r w:rsidR="00DB3055">
        <w:rPr>
          <w:sz w:val="22"/>
        </w:rPr>
        <w:t>)</w:t>
      </w:r>
      <w:r w:rsidRPr="00A04545">
        <w:rPr>
          <w:sz w:val="22"/>
        </w:rPr>
        <w:t>.</w:t>
      </w:r>
      <w:r w:rsidR="009441D7">
        <w:rPr>
          <w:sz w:val="22"/>
        </w:rPr>
        <w:t xml:space="preserve">  </w:t>
      </w:r>
    </w:p>
    <w:p w:rsidR="00283154" w:rsidRPr="00A04545" w:rsidRDefault="00283154" w:rsidP="00283154">
      <w:pPr>
        <w:jc w:val="both"/>
      </w:pPr>
    </w:p>
    <w:p w:rsidR="00934B6B" w:rsidRPr="00A04545" w:rsidRDefault="00934B6B" w:rsidP="00283154">
      <w:pPr>
        <w:jc w:val="both"/>
        <w:rPr>
          <w:sz w:val="22"/>
          <w:szCs w:val="22"/>
        </w:rPr>
      </w:pPr>
    </w:p>
    <w:p w:rsidR="00283154" w:rsidRPr="0040251E" w:rsidRDefault="00283154" w:rsidP="00283154">
      <w:pPr>
        <w:shd w:val="clear" w:color="auto" w:fill="A6A6A6"/>
        <w:jc w:val="both"/>
        <w:rPr>
          <w:rFonts w:ascii="Arial Narrow" w:hAnsi="Arial Narrow"/>
          <w:b/>
          <w:szCs w:val="22"/>
        </w:rPr>
      </w:pPr>
      <w:r w:rsidRPr="0040251E">
        <w:rPr>
          <w:rFonts w:ascii="Arial Narrow" w:hAnsi="Arial Narrow"/>
          <w:b/>
          <w:szCs w:val="22"/>
        </w:rPr>
        <w:t>4.2</w:t>
      </w:r>
      <w:r w:rsidRPr="0040251E">
        <w:rPr>
          <w:rFonts w:ascii="Arial Narrow" w:hAnsi="Arial Narrow"/>
          <w:b/>
          <w:szCs w:val="22"/>
        </w:rPr>
        <w:tab/>
      </w:r>
      <w:r w:rsidR="00A21B56" w:rsidRPr="00A04545">
        <w:rPr>
          <w:rFonts w:ascii="Arial Narrow" w:hAnsi="Arial Narrow"/>
          <w:b/>
          <w:szCs w:val="22"/>
        </w:rPr>
        <w:t>Χρημα</w:t>
      </w:r>
      <w:r w:rsidR="00A21B56">
        <w:rPr>
          <w:rFonts w:ascii="Arial Narrow" w:hAnsi="Arial Narrow"/>
          <w:b/>
          <w:szCs w:val="22"/>
        </w:rPr>
        <w:t>το</w:t>
      </w:r>
      <w:r w:rsidR="00A21B56" w:rsidRPr="00A04545">
        <w:rPr>
          <w:rFonts w:ascii="Arial Narrow" w:hAnsi="Arial Narrow"/>
          <w:b/>
          <w:szCs w:val="22"/>
        </w:rPr>
        <w:t>ροέ</w:t>
      </w:r>
      <w:r w:rsidR="00A21B56">
        <w:rPr>
          <w:rFonts w:ascii="Arial Narrow" w:hAnsi="Arial Narrow"/>
          <w:b/>
          <w:szCs w:val="22"/>
        </w:rPr>
        <w:t>ς μεταξύ Ελλάδας και Ευρωπαϊκής Ένωσης</w:t>
      </w:r>
      <w:r w:rsidR="00846BDD">
        <w:rPr>
          <w:rFonts w:ascii="Arial Narrow" w:hAnsi="Arial Narrow"/>
          <w:b/>
          <w:szCs w:val="22"/>
        </w:rPr>
        <w:t xml:space="preserve"> το 2018</w:t>
      </w:r>
    </w:p>
    <w:p w:rsidR="00283154" w:rsidRPr="0040251E" w:rsidRDefault="00283154" w:rsidP="00283154">
      <w:pPr>
        <w:jc w:val="both"/>
        <w:rPr>
          <w:sz w:val="22"/>
          <w:szCs w:val="22"/>
        </w:rPr>
      </w:pPr>
    </w:p>
    <w:p w:rsidR="00283154" w:rsidRPr="0040251E" w:rsidRDefault="00283154" w:rsidP="00283154">
      <w:pPr>
        <w:jc w:val="both"/>
        <w:rPr>
          <w:bCs/>
          <w:sz w:val="22"/>
        </w:rPr>
      </w:pPr>
      <w:r w:rsidRPr="0040251E">
        <w:rPr>
          <w:sz w:val="22"/>
        </w:rPr>
        <w:t xml:space="preserve">Οι προβλέψεις των χρηματοροών με την </w:t>
      </w:r>
      <w:r w:rsidR="00934B6B">
        <w:rPr>
          <w:sz w:val="22"/>
        </w:rPr>
        <w:t>Ευρωπα</w:t>
      </w:r>
      <w:r w:rsidR="00846BDD">
        <w:rPr>
          <w:sz w:val="22"/>
        </w:rPr>
        <w:t>ϊκή Ένωση για το έτος 2018</w:t>
      </w:r>
      <w:r w:rsidRPr="0040251E">
        <w:rPr>
          <w:sz w:val="22"/>
        </w:rPr>
        <w:t xml:space="preserve"> βασίζονται</w:t>
      </w:r>
      <w:r w:rsidR="005E7236">
        <w:rPr>
          <w:sz w:val="22"/>
        </w:rPr>
        <w:t>,</w:t>
      </w:r>
      <w:r w:rsidRPr="0040251E">
        <w:rPr>
          <w:sz w:val="22"/>
        </w:rPr>
        <w:t xml:space="preserve"> κυρίως</w:t>
      </w:r>
      <w:r w:rsidR="005E7236">
        <w:rPr>
          <w:sz w:val="22"/>
        </w:rPr>
        <w:t>,</w:t>
      </w:r>
      <w:r w:rsidRPr="0040251E">
        <w:rPr>
          <w:sz w:val="22"/>
        </w:rPr>
        <w:t xml:space="preserve"> στο σχέδιο προϋπολογισμού της ΕΕ</w:t>
      </w:r>
      <w:r>
        <w:rPr>
          <w:sz w:val="22"/>
        </w:rPr>
        <w:t xml:space="preserve"> του έτους αυτού</w:t>
      </w:r>
      <w:r w:rsidRPr="0040251E">
        <w:rPr>
          <w:sz w:val="22"/>
        </w:rPr>
        <w:t>, στην πρόοδο υλοποίησης των συγχρηματοδοτούμ</w:t>
      </w:r>
      <w:r w:rsidRPr="0040251E">
        <w:rPr>
          <w:sz w:val="22"/>
        </w:rPr>
        <w:t>ε</w:t>
      </w:r>
      <w:r w:rsidRPr="0040251E">
        <w:rPr>
          <w:sz w:val="22"/>
        </w:rPr>
        <w:t>νων προγραμμάτων και στις εισροές που αναμένονται στον προϋπολογισμό ΕΛΕΓΕΠ</w:t>
      </w:r>
      <w:r w:rsidRPr="0040251E">
        <w:rPr>
          <w:bCs/>
          <w:sz w:val="22"/>
        </w:rPr>
        <w:t>.</w:t>
      </w:r>
    </w:p>
    <w:p w:rsidR="003910E9" w:rsidRPr="0040251E" w:rsidRDefault="003910E9" w:rsidP="003910E9">
      <w:pPr>
        <w:jc w:val="both"/>
        <w:rPr>
          <w:sz w:val="22"/>
        </w:rPr>
      </w:pPr>
    </w:p>
    <w:p w:rsidR="003910E9" w:rsidRPr="0040251E" w:rsidRDefault="003910E9" w:rsidP="003910E9">
      <w:pPr>
        <w:keepNext/>
        <w:jc w:val="both"/>
        <w:outlineLvl w:val="5"/>
        <w:rPr>
          <w:rFonts w:ascii="Arial Narrow" w:hAnsi="Arial Narrow"/>
          <w:b/>
          <w:bCs/>
          <w:color w:val="000080"/>
          <w:szCs w:val="22"/>
        </w:rPr>
      </w:pPr>
      <w:r w:rsidRPr="0040251E">
        <w:rPr>
          <w:rFonts w:ascii="Arial Narrow" w:hAnsi="Arial Narrow"/>
          <w:b/>
          <w:bCs/>
          <w:color w:val="000080"/>
          <w:szCs w:val="22"/>
        </w:rPr>
        <w:t>Απολήψεις</w:t>
      </w:r>
    </w:p>
    <w:p w:rsidR="003910E9" w:rsidRPr="0040251E" w:rsidRDefault="003910E9" w:rsidP="003910E9">
      <w:pPr>
        <w:jc w:val="both"/>
        <w:rPr>
          <w:sz w:val="18"/>
          <w:szCs w:val="22"/>
        </w:rPr>
      </w:pPr>
    </w:p>
    <w:p w:rsidR="003910E9" w:rsidRPr="0040251E" w:rsidRDefault="003910E9" w:rsidP="003910E9">
      <w:pPr>
        <w:jc w:val="both"/>
        <w:rPr>
          <w:sz w:val="22"/>
        </w:rPr>
      </w:pPr>
      <w:r w:rsidRPr="0040251E">
        <w:rPr>
          <w:sz w:val="22"/>
        </w:rPr>
        <w:t xml:space="preserve">Το σύνολο των εισροών της Ελλάδας από την ΕΕ </w:t>
      </w:r>
      <w:r>
        <w:rPr>
          <w:sz w:val="22"/>
        </w:rPr>
        <w:t>προβλέπεται ν</w:t>
      </w:r>
      <w:r w:rsidRPr="0040251E">
        <w:rPr>
          <w:sz w:val="22"/>
        </w:rPr>
        <w:t>α ανέλθει στο ποσό των 6.</w:t>
      </w:r>
      <w:r>
        <w:rPr>
          <w:sz w:val="22"/>
        </w:rPr>
        <w:t xml:space="preserve">094 </w:t>
      </w:r>
      <w:r w:rsidRPr="0040251E">
        <w:rPr>
          <w:sz w:val="22"/>
        </w:rPr>
        <w:t>εκατ. ευρώ</w:t>
      </w:r>
      <w:r>
        <w:rPr>
          <w:sz w:val="22"/>
        </w:rPr>
        <w:t>, παρουσιάζοντας αύξηση 5,8% σε σχέση με το 2017</w:t>
      </w:r>
      <w:r w:rsidRPr="0040251E">
        <w:rPr>
          <w:sz w:val="22"/>
        </w:rPr>
        <w:t>.</w:t>
      </w:r>
    </w:p>
    <w:p w:rsidR="003910E9" w:rsidRPr="0040251E" w:rsidRDefault="003910E9" w:rsidP="003910E9">
      <w:pPr>
        <w:jc w:val="both"/>
        <w:rPr>
          <w:sz w:val="22"/>
        </w:rPr>
      </w:pPr>
    </w:p>
    <w:p w:rsidR="003910E9" w:rsidRPr="0040251E" w:rsidRDefault="003910E9" w:rsidP="003910E9">
      <w:pPr>
        <w:jc w:val="both"/>
        <w:rPr>
          <w:sz w:val="22"/>
        </w:rPr>
      </w:pPr>
      <w:r w:rsidRPr="0040251E">
        <w:rPr>
          <w:sz w:val="22"/>
        </w:rPr>
        <w:t>Ειδικότερα, προβλέπονται τα εξής:</w:t>
      </w:r>
    </w:p>
    <w:p w:rsidR="003910E9" w:rsidRPr="0040251E" w:rsidRDefault="003910E9" w:rsidP="003910E9">
      <w:pPr>
        <w:jc w:val="both"/>
        <w:rPr>
          <w:b/>
          <w:i/>
          <w:sz w:val="22"/>
        </w:rPr>
      </w:pPr>
    </w:p>
    <w:p w:rsidR="003910E9" w:rsidRPr="0040251E" w:rsidRDefault="003910E9" w:rsidP="003910E9">
      <w:pPr>
        <w:jc w:val="both"/>
        <w:outlineLvl w:val="4"/>
        <w:rPr>
          <w:rFonts w:ascii="Arial Narrow" w:hAnsi="Arial Narrow"/>
          <w:b/>
          <w:i/>
          <w:sz w:val="22"/>
        </w:rPr>
      </w:pPr>
      <w:r w:rsidRPr="0040251E">
        <w:rPr>
          <w:rFonts w:ascii="Arial Narrow" w:hAnsi="Arial Narrow"/>
          <w:b/>
          <w:i/>
          <w:sz w:val="22"/>
        </w:rPr>
        <w:t>Τακτικός Προϋπολογισμός</w:t>
      </w:r>
    </w:p>
    <w:p w:rsidR="003910E9" w:rsidRPr="0040251E" w:rsidRDefault="003910E9" w:rsidP="003910E9">
      <w:pPr>
        <w:jc w:val="both"/>
        <w:rPr>
          <w:sz w:val="22"/>
        </w:rPr>
      </w:pPr>
    </w:p>
    <w:p w:rsidR="003910E9" w:rsidRPr="0040251E" w:rsidRDefault="003910E9" w:rsidP="003910E9">
      <w:pPr>
        <w:jc w:val="both"/>
        <w:rPr>
          <w:sz w:val="22"/>
        </w:rPr>
      </w:pPr>
      <w:r w:rsidRPr="0040251E">
        <w:rPr>
          <w:sz w:val="22"/>
        </w:rPr>
        <w:t xml:space="preserve">Οι εισροές </w:t>
      </w:r>
      <w:r>
        <w:rPr>
          <w:sz w:val="22"/>
        </w:rPr>
        <w:t>για</w:t>
      </w:r>
      <w:r w:rsidRPr="0040251E">
        <w:rPr>
          <w:sz w:val="22"/>
        </w:rPr>
        <w:t xml:space="preserve"> τον ΤΠ ανέρχονται συνολικά σε </w:t>
      </w:r>
      <w:r>
        <w:rPr>
          <w:sz w:val="22"/>
        </w:rPr>
        <w:t>331</w:t>
      </w:r>
      <w:r w:rsidRPr="0040251E">
        <w:rPr>
          <w:sz w:val="22"/>
        </w:rPr>
        <w:t xml:space="preserve"> εκατ. ευρώ, το μεγαλύτερο μέρος των οποίων </w:t>
      </w:r>
      <w:r w:rsidRPr="0040251E">
        <w:rPr>
          <w:sz w:val="22"/>
        </w:rPr>
        <w:t>α</w:t>
      </w:r>
      <w:r w:rsidRPr="0040251E">
        <w:rPr>
          <w:sz w:val="22"/>
        </w:rPr>
        <w:t xml:space="preserve">φορά απολήψεις από το ΕΓΤΑΑ για τη χρηματοδότηση μέτρων και δράσεων αγροτικής ανάπτυξης. </w:t>
      </w:r>
      <w:r>
        <w:rPr>
          <w:sz w:val="22"/>
        </w:rPr>
        <w:t>Επίσης, συμπεριλαμβάνονται και κοινοτικές ενισχύσεις για δράσεις στο πεδίο των μεταναστευτικών ροών.</w:t>
      </w:r>
    </w:p>
    <w:p w:rsidR="003910E9" w:rsidRPr="0040251E" w:rsidRDefault="003910E9" w:rsidP="003910E9">
      <w:pPr>
        <w:jc w:val="both"/>
        <w:outlineLvl w:val="4"/>
        <w:rPr>
          <w:rFonts w:ascii="Arial Narrow" w:hAnsi="Arial Narrow"/>
          <w:b/>
          <w:i/>
          <w:sz w:val="22"/>
        </w:rPr>
      </w:pPr>
    </w:p>
    <w:p w:rsidR="003910E9" w:rsidRPr="00005AC0" w:rsidRDefault="003910E9" w:rsidP="003910E9">
      <w:pPr>
        <w:jc w:val="both"/>
        <w:outlineLvl w:val="4"/>
        <w:rPr>
          <w:rFonts w:ascii="Arial Narrow" w:hAnsi="Arial Narrow"/>
          <w:b/>
          <w:i/>
          <w:sz w:val="22"/>
        </w:rPr>
      </w:pPr>
      <w:r w:rsidRPr="00005AC0">
        <w:rPr>
          <w:rFonts w:ascii="Arial Narrow" w:hAnsi="Arial Narrow"/>
          <w:b/>
          <w:i/>
          <w:sz w:val="22"/>
        </w:rPr>
        <w:t>Προϋπολογισμός Δημοσίων Επενδύσεων</w:t>
      </w:r>
    </w:p>
    <w:p w:rsidR="003910E9" w:rsidRPr="00005AC0" w:rsidRDefault="003910E9" w:rsidP="003910E9">
      <w:pPr>
        <w:jc w:val="both"/>
        <w:rPr>
          <w:sz w:val="22"/>
        </w:rPr>
      </w:pPr>
    </w:p>
    <w:p w:rsidR="003910E9" w:rsidRPr="00005AC0" w:rsidRDefault="003910E9" w:rsidP="003910E9">
      <w:pPr>
        <w:jc w:val="both"/>
        <w:rPr>
          <w:sz w:val="22"/>
        </w:rPr>
      </w:pPr>
      <w:r w:rsidRPr="00005AC0">
        <w:rPr>
          <w:sz w:val="22"/>
        </w:rPr>
        <w:t xml:space="preserve">Οι </w:t>
      </w:r>
      <w:r>
        <w:rPr>
          <w:sz w:val="22"/>
        </w:rPr>
        <w:t xml:space="preserve">εισροές </w:t>
      </w:r>
      <w:r w:rsidRPr="00005AC0">
        <w:rPr>
          <w:sz w:val="22"/>
        </w:rPr>
        <w:t>το</w:t>
      </w:r>
      <w:r>
        <w:rPr>
          <w:sz w:val="22"/>
        </w:rPr>
        <w:t>υ</w:t>
      </w:r>
      <w:r w:rsidRPr="00005AC0">
        <w:rPr>
          <w:sz w:val="22"/>
        </w:rPr>
        <w:t xml:space="preserve"> ΠΔΕ προβλέπεται να διαμορφωθούν στο ύψος των </w:t>
      </w:r>
      <w:r>
        <w:rPr>
          <w:sz w:val="22"/>
        </w:rPr>
        <w:t>3.555</w:t>
      </w:r>
      <w:r w:rsidRPr="00005AC0">
        <w:rPr>
          <w:sz w:val="22"/>
        </w:rPr>
        <w:t xml:space="preserve"> εκατ. ευρώ</w:t>
      </w:r>
      <w:r>
        <w:rPr>
          <w:sz w:val="22"/>
        </w:rPr>
        <w:t>,</w:t>
      </w:r>
      <w:r w:rsidRPr="00005AC0">
        <w:rPr>
          <w:sz w:val="22"/>
        </w:rPr>
        <w:t xml:space="preserve"> </w:t>
      </w:r>
      <w:r>
        <w:rPr>
          <w:sz w:val="22"/>
        </w:rPr>
        <w:t>παρουσιάζοντας αύξηση 11,9% σε σχέση με το 2017.</w:t>
      </w:r>
    </w:p>
    <w:p w:rsidR="003910E9" w:rsidRPr="000574DA" w:rsidRDefault="003910E9" w:rsidP="003910E9">
      <w:pPr>
        <w:jc w:val="both"/>
        <w:rPr>
          <w:sz w:val="22"/>
          <w:highlight w:val="lightGray"/>
        </w:rPr>
      </w:pPr>
    </w:p>
    <w:p w:rsidR="003910E9" w:rsidRPr="00005AC0" w:rsidRDefault="003910E9" w:rsidP="003910E9">
      <w:pPr>
        <w:jc w:val="both"/>
        <w:outlineLvl w:val="4"/>
        <w:rPr>
          <w:rFonts w:ascii="Arial Narrow" w:hAnsi="Arial Narrow"/>
          <w:b/>
          <w:i/>
          <w:sz w:val="22"/>
        </w:rPr>
      </w:pPr>
      <w:r w:rsidRPr="00005AC0">
        <w:rPr>
          <w:rFonts w:ascii="Arial Narrow" w:hAnsi="Arial Narrow"/>
          <w:b/>
          <w:i/>
          <w:sz w:val="22"/>
        </w:rPr>
        <w:t>Προϋπολογισμός ΕΛΕΓΕΠ</w:t>
      </w:r>
    </w:p>
    <w:p w:rsidR="003910E9" w:rsidRPr="00005AC0" w:rsidRDefault="003910E9" w:rsidP="003910E9">
      <w:pPr>
        <w:jc w:val="both"/>
        <w:rPr>
          <w:sz w:val="22"/>
        </w:rPr>
      </w:pPr>
    </w:p>
    <w:p w:rsidR="003910E9" w:rsidRPr="00005AC0" w:rsidRDefault="003910E9" w:rsidP="003910E9">
      <w:pPr>
        <w:jc w:val="both"/>
        <w:rPr>
          <w:sz w:val="22"/>
        </w:rPr>
      </w:pPr>
      <w:r w:rsidRPr="00005AC0">
        <w:rPr>
          <w:sz w:val="22"/>
        </w:rPr>
        <w:t xml:space="preserve">Οι απολήψεις του προϋπολογισμού του ΕΛΕΓΕΠ μέσω του ΕΓΤΕ </w:t>
      </w:r>
      <w:r>
        <w:rPr>
          <w:sz w:val="22"/>
        </w:rPr>
        <w:t xml:space="preserve">για το 2018 </w:t>
      </w:r>
      <w:r w:rsidRPr="00005AC0">
        <w:rPr>
          <w:sz w:val="22"/>
        </w:rPr>
        <w:t xml:space="preserve">προβλέπεται ότι θα </w:t>
      </w:r>
      <w:r w:rsidRPr="00005AC0">
        <w:rPr>
          <w:sz w:val="22"/>
        </w:rPr>
        <w:t>α</w:t>
      </w:r>
      <w:r w:rsidRPr="00005AC0">
        <w:rPr>
          <w:sz w:val="22"/>
        </w:rPr>
        <w:t xml:space="preserve">νέλθουν σε </w:t>
      </w:r>
      <w:r>
        <w:rPr>
          <w:sz w:val="22"/>
        </w:rPr>
        <w:t>2.208</w:t>
      </w:r>
      <w:r w:rsidRPr="00005AC0">
        <w:rPr>
          <w:sz w:val="22"/>
        </w:rPr>
        <w:t xml:space="preserve"> εκατ. ευρώ.</w:t>
      </w:r>
    </w:p>
    <w:p w:rsidR="003910E9" w:rsidRDefault="003910E9" w:rsidP="003910E9">
      <w:pPr>
        <w:jc w:val="both"/>
        <w:rPr>
          <w:sz w:val="22"/>
        </w:rPr>
      </w:pPr>
    </w:p>
    <w:p w:rsidR="003910E9" w:rsidRPr="00005AC0" w:rsidRDefault="003910E9" w:rsidP="003910E9">
      <w:pPr>
        <w:keepNext/>
        <w:jc w:val="both"/>
        <w:outlineLvl w:val="5"/>
        <w:rPr>
          <w:rFonts w:ascii="Arial Narrow" w:hAnsi="Arial Narrow"/>
          <w:b/>
          <w:bCs/>
          <w:color w:val="000080"/>
          <w:szCs w:val="22"/>
        </w:rPr>
      </w:pPr>
      <w:r w:rsidRPr="00005AC0">
        <w:rPr>
          <w:rFonts w:ascii="Arial Narrow" w:hAnsi="Arial Narrow"/>
          <w:b/>
          <w:bCs/>
          <w:color w:val="000080"/>
          <w:szCs w:val="22"/>
        </w:rPr>
        <w:t>Αποδόσεις</w:t>
      </w:r>
    </w:p>
    <w:p w:rsidR="003910E9" w:rsidRPr="00005AC0" w:rsidRDefault="003910E9" w:rsidP="003910E9">
      <w:pPr>
        <w:jc w:val="both"/>
        <w:rPr>
          <w:b/>
          <w:bCs/>
          <w:sz w:val="22"/>
        </w:rPr>
      </w:pPr>
    </w:p>
    <w:p w:rsidR="003910E9" w:rsidRPr="00005AC0" w:rsidRDefault="003910E9" w:rsidP="003910E9">
      <w:pPr>
        <w:jc w:val="both"/>
        <w:rPr>
          <w:sz w:val="22"/>
        </w:rPr>
      </w:pPr>
      <w:r w:rsidRPr="00005AC0">
        <w:rPr>
          <w:sz w:val="22"/>
        </w:rPr>
        <w:t xml:space="preserve">Οι </w:t>
      </w:r>
      <w:r>
        <w:rPr>
          <w:sz w:val="22"/>
        </w:rPr>
        <w:t>συνεισφορές της χώρας μας στον κοινοτικό π</w:t>
      </w:r>
      <w:r w:rsidRPr="00005AC0">
        <w:rPr>
          <w:sz w:val="22"/>
        </w:rPr>
        <w:t xml:space="preserve">ροϋπολογισμό για το </w:t>
      </w:r>
      <w:r>
        <w:rPr>
          <w:sz w:val="22"/>
        </w:rPr>
        <w:t>οικονομικό έτος 2018</w:t>
      </w:r>
      <w:r w:rsidRPr="00005AC0">
        <w:rPr>
          <w:sz w:val="22"/>
        </w:rPr>
        <w:t xml:space="preserve"> προβλ</w:t>
      </w:r>
      <w:r w:rsidRPr="00005AC0">
        <w:rPr>
          <w:sz w:val="22"/>
        </w:rPr>
        <w:t>έ</w:t>
      </w:r>
      <w:r w:rsidRPr="00005AC0">
        <w:rPr>
          <w:sz w:val="22"/>
        </w:rPr>
        <w:t>πεται ότι θα ανέλθουν στο ποσό των 1.</w:t>
      </w:r>
      <w:r>
        <w:rPr>
          <w:sz w:val="22"/>
        </w:rPr>
        <w:t>862</w:t>
      </w:r>
      <w:r w:rsidRPr="00005AC0">
        <w:rPr>
          <w:sz w:val="22"/>
        </w:rPr>
        <w:t xml:space="preserve"> εκατ. ευρώ.</w:t>
      </w:r>
    </w:p>
    <w:p w:rsidR="003910E9" w:rsidRDefault="003910E9" w:rsidP="003910E9">
      <w:pPr>
        <w:rPr>
          <w:sz w:val="22"/>
          <w:szCs w:val="22"/>
        </w:rPr>
      </w:pPr>
    </w:p>
    <w:p w:rsidR="003910E9" w:rsidRDefault="003910E9" w:rsidP="003910E9">
      <w:pPr>
        <w:rPr>
          <w:sz w:val="22"/>
          <w:szCs w:val="22"/>
        </w:rPr>
      </w:pPr>
    </w:p>
    <w:p w:rsidR="003910E9" w:rsidRDefault="003910E9" w:rsidP="003910E9">
      <w:pPr>
        <w:rPr>
          <w:sz w:val="22"/>
          <w:szCs w:val="22"/>
        </w:rPr>
      </w:pPr>
    </w:p>
    <w:p w:rsidR="003910E9" w:rsidRDefault="003910E9" w:rsidP="003910E9">
      <w:pPr>
        <w:rPr>
          <w:sz w:val="22"/>
          <w:szCs w:val="22"/>
        </w:rPr>
      </w:pPr>
    </w:p>
    <w:p w:rsidR="003910E9" w:rsidRPr="009A4099" w:rsidRDefault="003910E9" w:rsidP="003910E9">
      <w:pPr>
        <w:rPr>
          <w:sz w:val="22"/>
          <w:szCs w:val="22"/>
        </w:rPr>
      </w:pPr>
    </w:p>
    <w:p w:rsidR="003910E9" w:rsidRPr="009A4099" w:rsidRDefault="003910E9" w:rsidP="00283154">
      <w:pPr>
        <w:jc w:val="both"/>
        <w:rPr>
          <w:sz w:val="22"/>
        </w:rPr>
      </w:pPr>
    </w:p>
    <w:tbl>
      <w:tblPr>
        <w:tblW w:w="9002" w:type="dxa"/>
        <w:tblInd w:w="98" w:type="dxa"/>
        <w:tblLayout w:type="fixed"/>
        <w:tblLook w:val="04A0" w:firstRow="1" w:lastRow="0" w:firstColumn="1" w:lastColumn="0" w:noHBand="0" w:noVBand="1"/>
      </w:tblPr>
      <w:tblGrid>
        <w:gridCol w:w="3440"/>
        <w:gridCol w:w="1310"/>
        <w:gridCol w:w="1276"/>
        <w:gridCol w:w="1276"/>
        <w:gridCol w:w="850"/>
        <w:gridCol w:w="850"/>
      </w:tblGrid>
      <w:tr w:rsidR="00283154" w:rsidRPr="00986E1C" w:rsidTr="00597EBF">
        <w:trPr>
          <w:trHeight w:val="372"/>
        </w:trPr>
        <w:tc>
          <w:tcPr>
            <w:tcW w:w="9002" w:type="dxa"/>
            <w:gridSpan w:val="6"/>
            <w:vMerge w:val="restart"/>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hideMark/>
          </w:tcPr>
          <w:p w:rsidR="00283154" w:rsidRPr="00986E1C" w:rsidRDefault="00185230" w:rsidP="005512EC">
            <w:pPr>
              <w:spacing w:before="120"/>
              <w:jc w:val="center"/>
              <w:rPr>
                <w:rFonts w:ascii="Arial Narrow" w:hAnsi="Arial Narrow"/>
                <w:b/>
                <w:bCs/>
                <w:color w:val="FFFFFF"/>
                <w:szCs w:val="22"/>
              </w:rPr>
            </w:pPr>
            <w:bookmarkStart w:id="29" w:name="RANGE!A3:G46"/>
            <w:r>
              <w:rPr>
                <w:rFonts w:ascii="Arial Narrow" w:hAnsi="Arial Narrow"/>
                <w:b/>
                <w:bCs/>
                <w:color w:val="FFFFFF"/>
                <w:szCs w:val="22"/>
              </w:rPr>
              <w:t>Πίνακας 3.16</w:t>
            </w:r>
            <w:r w:rsidR="009441D7">
              <w:rPr>
                <w:rFonts w:ascii="Arial Narrow" w:hAnsi="Arial Narrow"/>
                <w:b/>
                <w:bCs/>
                <w:color w:val="FFFFFF"/>
                <w:szCs w:val="22"/>
              </w:rPr>
              <w:t xml:space="preserve"> </w:t>
            </w:r>
            <w:r w:rsidR="00283154" w:rsidRPr="00986E1C">
              <w:rPr>
                <w:rFonts w:ascii="Arial Narrow" w:hAnsi="Arial Narrow"/>
                <w:b/>
                <w:bCs/>
                <w:color w:val="FFFFFF"/>
                <w:szCs w:val="22"/>
              </w:rPr>
              <w:t xml:space="preserve"> Χρηματ</w:t>
            </w:r>
            <w:r w:rsidR="0011067E">
              <w:rPr>
                <w:rFonts w:ascii="Arial Narrow" w:hAnsi="Arial Narrow"/>
                <w:b/>
                <w:bCs/>
                <w:color w:val="FFFFFF"/>
                <w:szCs w:val="22"/>
              </w:rPr>
              <w:t>οροές μεταξύ Ελλάδας και ΕΕ</w:t>
            </w:r>
            <w:r w:rsidR="00C42A78">
              <w:rPr>
                <w:rFonts w:ascii="Arial Narrow" w:hAnsi="Arial Narrow"/>
                <w:b/>
                <w:bCs/>
                <w:color w:val="FFFFFF"/>
                <w:szCs w:val="22"/>
              </w:rPr>
              <w:t xml:space="preserve"> 2016-2018</w:t>
            </w:r>
          </w:p>
          <w:p w:rsidR="00283154" w:rsidRPr="00986E1C" w:rsidRDefault="00283154" w:rsidP="005512EC">
            <w:pPr>
              <w:spacing w:after="120"/>
              <w:jc w:val="center"/>
              <w:rPr>
                <w:rFonts w:ascii="Arial Narrow" w:hAnsi="Arial Narrow"/>
                <w:b/>
                <w:bCs/>
                <w:color w:val="FFFFFF"/>
                <w:sz w:val="22"/>
                <w:szCs w:val="22"/>
              </w:rPr>
            </w:pPr>
            <w:r w:rsidRPr="00986E1C">
              <w:rPr>
                <w:rFonts w:ascii="Arial Narrow" w:hAnsi="Arial Narrow"/>
                <w:b/>
                <w:bCs/>
                <w:color w:val="FFFFFF"/>
                <w:szCs w:val="22"/>
              </w:rPr>
              <w:t>(σε εκατ. ευρώ)</w:t>
            </w:r>
            <w:bookmarkEnd w:id="29"/>
          </w:p>
        </w:tc>
      </w:tr>
      <w:tr w:rsidR="00283154" w:rsidRPr="00986E1C" w:rsidTr="00597EBF">
        <w:trPr>
          <w:trHeight w:val="300"/>
        </w:trPr>
        <w:tc>
          <w:tcPr>
            <w:tcW w:w="9002" w:type="dxa"/>
            <w:gridSpan w:val="6"/>
            <w:vMerge/>
            <w:tcBorders>
              <w:top w:val="single" w:sz="4" w:space="0" w:color="auto"/>
              <w:left w:val="single" w:sz="4" w:space="0" w:color="auto"/>
              <w:bottom w:val="nil"/>
              <w:right w:val="single" w:sz="4" w:space="0" w:color="000000"/>
            </w:tcBorders>
            <w:shd w:val="clear" w:color="auto" w:fill="404040" w:themeFill="text1" w:themeFillTint="BF"/>
            <w:tcMar>
              <w:left w:w="28" w:type="dxa"/>
              <w:right w:w="28" w:type="dxa"/>
            </w:tcMar>
            <w:vAlign w:val="center"/>
            <w:hideMark/>
          </w:tcPr>
          <w:p w:rsidR="00283154" w:rsidRPr="00986E1C" w:rsidRDefault="00283154" w:rsidP="005512EC">
            <w:pPr>
              <w:rPr>
                <w:rFonts w:ascii="Arial Narrow" w:hAnsi="Arial Narrow"/>
                <w:b/>
                <w:bCs/>
                <w:color w:val="FFFFFF"/>
                <w:sz w:val="22"/>
                <w:szCs w:val="22"/>
              </w:rPr>
            </w:pPr>
          </w:p>
        </w:tc>
      </w:tr>
      <w:tr w:rsidR="00F249A4" w:rsidRPr="00986E1C" w:rsidTr="00597EBF">
        <w:trPr>
          <w:trHeight w:val="20"/>
        </w:trPr>
        <w:tc>
          <w:tcPr>
            <w:tcW w:w="3440" w:type="dxa"/>
            <w:tcBorders>
              <w:top w:val="nil"/>
              <w:left w:val="single" w:sz="4" w:space="0" w:color="auto"/>
              <w:bottom w:val="single" w:sz="4" w:space="0" w:color="auto"/>
              <w:right w:val="nil"/>
            </w:tcBorders>
            <w:shd w:val="clear" w:color="auto" w:fill="auto"/>
            <w:tcMar>
              <w:left w:w="28" w:type="dxa"/>
              <w:right w:w="28" w:type="dxa"/>
            </w:tcMar>
            <w:vAlign w:val="bottom"/>
            <w:hideMark/>
          </w:tcPr>
          <w:p w:rsidR="00F249A4" w:rsidRPr="00986E1C" w:rsidRDefault="00F249A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1310" w:type="dxa"/>
            <w:tcBorders>
              <w:top w:val="nil"/>
              <w:left w:val="nil"/>
              <w:bottom w:val="single" w:sz="4" w:space="0" w:color="auto"/>
              <w:right w:val="nil"/>
            </w:tcBorders>
            <w:shd w:val="clear" w:color="auto" w:fill="auto"/>
            <w:tcMar>
              <w:left w:w="28" w:type="dxa"/>
              <w:right w:w="28" w:type="dxa"/>
            </w:tcMar>
            <w:vAlign w:val="bottom"/>
            <w:hideMark/>
          </w:tcPr>
          <w:p w:rsidR="00F249A4" w:rsidRPr="00986E1C" w:rsidRDefault="00F249A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1276" w:type="dxa"/>
            <w:tcBorders>
              <w:top w:val="nil"/>
              <w:left w:val="nil"/>
              <w:bottom w:val="single" w:sz="4" w:space="0" w:color="auto"/>
              <w:right w:val="nil"/>
            </w:tcBorders>
            <w:shd w:val="clear" w:color="auto" w:fill="auto"/>
            <w:tcMar>
              <w:left w:w="28" w:type="dxa"/>
              <w:right w:w="28" w:type="dxa"/>
            </w:tcMar>
            <w:vAlign w:val="bottom"/>
            <w:hideMark/>
          </w:tcPr>
          <w:p w:rsidR="00F249A4" w:rsidRPr="00986E1C" w:rsidRDefault="00F249A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p w:rsidR="00F249A4" w:rsidRPr="00986E1C" w:rsidRDefault="00F249A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c>
          <w:tcPr>
            <w:tcW w:w="1276" w:type="dxa"/>
            <w:tcBorders>
              <w:top w:val="nil"/>
              <w:left w:val="nil"/>
              <w:bottom w:val="nil"/>
              <w:right w:val="nil"/>
            </w:tcBorders>
            <w:shd w:val="clear" w:color="auto" w:fill="auto"/>
            <w:tcMar>
              <w:left w:w="28" w:type="dxa"/>
              <w:right w:w="28" w:type="dxa"/>
            </w:tcMar>
            <w:vAlign w:val="bottom"/>
            <w:hideMark/>
          </w:tcPr>
          <w:p w:rsidR="00F249A4" w:rsidRPr="00986E1C" w:rsidRDefault="00F249A4" w:rsidP="005512EC">
            <w:pPr>
              <w:jc w:val="center"/>
              <w:rPr>
                <w:rFonts w:ascii="Arial Narrow" w:hAnsi="Arial Narrow"/>
                <w:b/>
                <w:bCs/>
                <w:color w:val="000000"/>
                <w:sz w:val="16"/>
                <w:szCs w:val="22"/>
              </w:rPr>
            </w:pPr>
          </w:p>
        </w:tc>
        <w:tc>
          <w:tcPr>
            <w:tcW w:w="850" w:type="dxa"/>
            <w:tcBorders>
              <w:top w:val="nil"/>
              <w:left w:val="nil"/>
              <w:bottom w:val="nil"/>
              <w:right w:val="nil"/>
            </w:tcBorders>
            <w:shd w:val="clear" w:color="auto" w:fill="auto"/>
            <w:tcMar>
              <w:left w:w="28" w:type="dxa"/>
              <w:right w:w="28" w:type="dxa"/>
            </w:tcMar>
            <w:vAlign w:val="bottom"/>
            <w:hideMark/>
          </w:tcPr>
          <w:p w:rsidR="00F249A4" w:rsidRPr="00986E1C" w:rsidRDefault="00F249A4" w:rsidP="005512EC">
            <w:pPr>
              <w:jc w:val="center"/>
              <w:rPr>
                <w:rFonts w:ascii="Arial Narrow" w:hAnsi="Arial Narrow"/>
                <w:b/>
                <w:bCs/>
                <w:color w:val="000000"/>
                <w:sz w:val="16"/>
                <w:szCs w:val="22"/>
              </w:rPr>
            </w:pPr>
          </w:p>
        </w:tc>
        <w:tc>
          <w:tcPr>
            <w:tcW w:w="850" w:type="dxa"/>
            <w:tcBorders>
              <w:top w:val="nil"/>
              <w:left w:val="nil"/>
              <w:bottom w:val="nil"/>
              <w:right w:val="single" w:sz="4" w:space="0" w:color="auto"/>
            </w:tcBorders>
            <w:shd w:val="clear" w:color="auto" w:fill="auto"/>
            <w:tcMar>
              <w:left w:w="28" w:type="dxa"/>
              <w:right w:w="28" w:type="dxa"/>
            </w:tcMar>
            <w:vAlign w:val="bottom"/>
            <w:hideMark/>
          </w:tcPr>
          <w:p w:rsidR="00F249A4" w:rsidRPr="00986E1C" w:rsidRDefault="00F249A4" w:rsidP="005512EC">
            <w:pPr>
              <w:jc w:val="center"/>
              <w:rPr>
                <w:rFonts w:ascii="Arial Narrow" w:hAnsi="Arial Narrow"/>
                <w:b/>
                <w:bCs/>
                <w:color w:val="000000"/>
                <w:sz w:val="16"/>
                <w:szCs w:val="22"/>
              </w:rPr>
            </w:pPr>
            <w:r w:rsidRPr="00986E1C">
              <w:rPr>
                <w:rFonts w:ascii="Arial Narrow" w:hAnsi="Arial Narrow"/>
                <w:b/>
                <w:bCs/>
                <w:color w:val="000000"/>
                <w:sz w:val="16"/>
                <w:szCs w:val="22"/>
              </w:rPr>
              <w:t> </w:t>
            </w:r>
          </w:p>
        </w:tc>
      </w:tr>
      <w:tr w:rsidR="00283154" w:rsidRPr="00986E1C" w:rsidTr="00597EBF">
        <w:trPr>
          <w:trHeight w:val="20"/>
        </w:trPr>
        <w:tc>
          <w:tcPr>
            <w:tcW w:w="3440" w:type="dxa"/>
            <w:vMerge w:val="restart"/>
            <w:tcBorders>
              <w:top w:val="nil"/>
              <w:left w:val="single" w:sz="4" w:space="0" w:color="auto"/>
              <w:bottom w:val="single" w:sz="4" w:space="0" w:color="000000"/>
              <w:right w:val="nil"/>
            </w:tcBorders>
            <w:shd w:val="clear" w:color="auto" w:fill="auto"/>
            <w:noWrap/>
            <w:tcMar>
              <w:left w:w="28" w:type="dxa"/>
              <w:right w:w="28" w:type="dxa"/>
            </w:tcMar>
            <w:vAlign w:val="bottom"/>
            <w:hideMark/>
          </w:tcPr>
          <w:p w:rsidR="00283154" w:rsidRPr="00986E1C" w:rsidRDefault="00283154" w:rsidP="005512EC">
            <w:pPr>
              <w:rPr>
                <w:rFonts w:ascii="Arial Narrow" w:hAnsi="Arial Narrow"/>
                <w:color w:val="000000"/>
                <w:sz w:val="16"/>
                <w:szCs w:val="16"/>
              </w:rPr>
            </w:pPr>
            <w:r w:rsidRPr="00986E1C">
              <w:rPr>
                <w:rFonts w:ascii="Arial Narrow" w:hAnsi="Arial Narrow"/>
                <w:color w:val="000000"/>
                <w:sz w:val="16"/>
                <w:szCs w:val="16"/>
              </w:rPr>
              <w:t> </w:t>
            </w:r>
          </w:p>
        </w:tc>
        <w:tc>
          <w:tcPr>
            <w:tcW w:w="1310"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283154" w:rsidP="0011067E">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201</w:t>
            </w:r>
            <w:r w:rsidR="00DF5021">
              <w:rPr>
                <w:rFonts w:ascii="Arial Narrow" w:hAnsi="Arial Narrow"/>
                <w:b/>
                <w:bCs/>
                <w:color w:val="000000"/>
                <w:sz w:val="16"/>
                <w:szCs w:val="16"/>
              </w:rPr>
              <w:t>6</w:t>
            </w:r>
          </w:p>
        </w:tc>
        <w:tc>
          <w:tcPr>
            <w:tcW w:w="1276" w:type="dxa"/>
            <w:tcBorders>
              <w:top w:val="single" w:sz="4" w:space="0" w:color="auto"/>
              <w:left w:val="nil"/>
              <w:bottom w:val="single" w:sz="4" w:space="0" w:color="auto"/>
              <w:right w:val="nil"/>
            </w:tcBorders>
            <w:shd w:val="clear" w:color="auto" w:fill="auto"/>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w:t>
            </w:r>
            <w:r w:rsidR="00DF5021">
              <w:rPr>
                <w:rFonts w:ascii="Arial Narrow" w:hAnsi="Arial Narrow"/>
                <w:b/>
                <w:bCs/>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83154" w:rsidRPr="00986E1C" w:rsidRDefault="0011067E"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w:t>
            </w:r>
            <w:r w:rsidR="00F249A4">
              <w:rPr>
                <w:rFonts w:ascii="Arial Narrow" w:hAnsi="Arial Narrow"/>
                <w:b/>
                <w:bCs/>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83154" w:rsidRPr="00986E1C" w:rsidRDefault="00F249A4"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2017</w:t>
            </w:r>
            <w:r w:rsidR="0011067E">
              <w:rPr>
                <w:rFonts w:ascii="Arial Narrow" w:hAnsi="Arial Narrow"/>
                <w:b/>
                <w:bCs/>
                <w:color w:val="000000"/>
                <w:sz w:val="16"/>
                <w:szCs w:val="16"/>
              </w:rPr>
              <w:t>/1</w:t>
            </w:r>
            <w:r>
              <w:rPr>
                <w:rFonts w:ascii="Arial Narrow" w:hAnsi="Arial Narrow"/>
                <w:b/>
                <w:bCs/>
                <w:color w:val="000000"/>
                <w:sz w:val="16"/>
                <w:szCs w:val="16"/>
              </w:rPr>
              <w:t>6</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283154" w:rsidRPr="00986E1C" w:rsidRDefault="00F249A4" w:rsidP="005512EC">
            <w:pPr>
              <w:spacing w:before="80" w:after="80"/>
              <w:jc w:val="center"/>
              <w:rPr>
                <w:rFonts w:ascii="Arial Narrow" w:hAnsi="Arial Narrow"/>
                <w:b/>
                <w:bCs/>
                <w:color w:val="000000"/>
                <w:sz w:val="16"/>
                <w:szCs w:val="16"/>
              </w:rPr>
            </w:pPr>
            <w:r>
              <w:rPr>
                <w:rFonts w:ascii="Arial Narrow" w:hAnsi="Arial Narrow"/>
                <w:b/>
                <w:bCs/>
                <w:color w:val="000000"/>
                <w:sz w:val="16"/>
                <w:szCs w:val="16"/>
              </w:rPr>
              <w:t>2018</w:t>
            </w:r>
            <w:r w:rsidR="0011067E">
              <w:rPr>
                <w:rFonts w:ascii="Arial Narrow" w:hAnsi="Arial Narrow"/>
                <w:b/>
                <w:bCs/>
                <w:color w:val="000000"/>
                <w:sz w:val="16"/>
                <w:szCs w:val="16"/>
              </w:rPr>
              <w:t>/1</w:t>
            </w:r>
            <w:r>
              <w:rPr>
                <w:rFonts w:ascii="Arial Narrow" w:hAnsi="Arial Narrow"/>
                <w:b/>
                <w:bCs/>
                <w:color w:val="000000"/>
                <w:sz w:val="16"/>
                <w:szCs w:val="16"/>
              </w:rPr>
              <w:t>7</w:t>
            </w:r>
          </w:p>
        </w:tc>
      </w:tr>
      <w:tr w:rsidR="00F249A4" w:rsidRPr="00986E1C" w:rsidTr="00597EBF">
        <w:trPr>
          <w:trHeight w:val="20"/>
        </w:trPr>
        <w:tc>
          <w:tcPr>
            <w:tcW w:w="3440" w:type="dxa"/>
            <w:vMerge/>
            <w:tcBorders>
              <w:top w:val="nil"/>
              <w:left w:val="single" w:sz="4" w:space="0" w:color="auto"/>
              <w:bottom w:val="single" w:sz="4" w:space="0" w:color="000000"/>
              <w:right w:val="nil"/>
            </w:tcBorders>
            <w:tcMar>
              <w:left w:w="28" w:type="dxa"/>
              <w:right w:w="28" w:type="dxa"/>
            </w:tcMar>
            <w:vAlign w:val="center"/>
            <w:hideMark/>
          </w:tcPr>
          <w:p w:rsidR="00F249A4" w:rsidRPr="00986E1C" w:rsidRDefault="00F249A4" w:rsidP="005512EC">
            <w:pPr>
              <w:rPr>
                <w:rFonts w:ascii="Arial Narrow" w:hAnsi="Arial Narrow"/>
                <w:color w:val="000000"/>
                <w:sz w:val="16"/>
                <w:szCs w:val="16"/>
              </w:rPr>
            </w:pPr>
          </w:p>
        </w:tc>
        <w:tc>
          <w:tcPr>
            <w:tcW w:w="1310"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F249A4" w:rsidRPr="00986E1C" w:rsidRDefault="00F249A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Πραγμ/σεις</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F249A4" w:rsidRPr="00986E1C" w:rsidRDefault="00F249A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Εκτιμήσεις</w:t>
            </w:r>
          </w:p>
        </w:tc>
        <w:tc>
          <w:tcPr>
            <w:tcW w:w="1276"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F249A4" w:rsidRPr="00986E1C" w:rsidRDefault="00F249A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Προβλέψεις</w:t>
            </w:r>
          </w:p>
        </w:tc>
        <w:tc>
          <w:tcPr>
            <w:tcW w:w="1700"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bottom"/>
            <w:hideMark/>
          </w:tcPr>
          <w:p w:rsidR="00F249A4" w:rsidRPr="00986E1C" w:rsidRDefault="00F249A4" w:rsidP="005512EC">
            <w:pPr>
              <w:spacing w:before="80" w:after="80"/>
              <w:jc w:val="center"/>
              <w:rPr>
                <w:rFonts w:ascii="Arial Narrow" w:hAnsi="Arial Narrow"/>
                <w:b/>
                <w:bCs/>
                <w:color w:val="000000"/>
                <w:sz w:val="16"/>
                <w:szCs w:val="16"/>
              </w:rPr>
            </w:pPr>
            <w:r w:rsidRPr="00986E1C">
              <w:rPr>
                <w:rFonts w:ascii="Arial Narrow" w:hAnsi="Arial Narrow"/>
                <w:b/>
                <w:bCs/>
                <w:color w:val="000000"/>
                <w:sz w:val="16"/>
                <w:szCs w:val="16"/>
              </w:rPr>
              <w:t>Μεταβολή %</w:t>
            </w:r>
          </w:p>
        </w:tc>
      </w:tr>
      <w:tr w:rsidR="00F249A4" w:rsidRPr="00986E1C" w:rsidTr="00597EBF">
        <w:trPr>
          <w:trHeight w:val="20"/>
        </w:trPr>
        <w:tc>
          <w:tcPr>
            <w:tcW w:w="3440" w:type="dxa"/>
            <w:tcBorders>
              <w:top w:val="nil"/>
              <w:left w:val="single" w:sz="4" w:space="0" w:color="auto"/>
              <w:bottom w:val="nil"/>
              <w:right w:val="nil"/>
            </w:tcBorders>
            <w:shd w:val="clear" w:color="auto" w:fill="A6A6A6"/>
            <w:noWrap/>
            <w:tcMar>
              <w:left w:w="28" w:type="dxa"/>
              <w:right w:w="28" w:type="dxa"/>
            </w:tcMar>
            <w:vAlign w:val="bottom"/>
            <w:hideMark/>
          </w:tcPr>
          <w:p w:rsidR="00F249A4" w:rsidRPr="00986E1C" w:rsidRDefault="00F249A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Αποδόσεις στην Ευρωπαϊκή Ένωση (Ι)</w:t>
            </w:r>
          </w:p>
        </w:tc>
        <w:tc>
          <w:tcPr>
            <w:tcW w:w="1310" w:type="dxa"/>
            <w:tcBorders>
              <w:top w:val="nil"/>
              <w:left w:val="nil"/>
              <w:bottom w:val="nil"/>
              <w:right w:val="nil"/>
            </w:tcBorders>
            <w:shd w:val="clear" w:color="auto" w:fill="A6A6A6"/>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1.830</w:t>
            </w:r>
          </w:p>
        </w:tc>
        <w:tc>
          <w:tcPr>
            <w:tcW w:w="1276" w:type="dxa"/>
            <w:tcBorders>
              <w:top w:val="nil"/>
              <w:left w:val="nil"/>
              <w:bottom w:val="nil"/>
              <w:right w:val="nil"/>
            </w:tcBorders>
            <w:shd w:val="clear" w:color="auto" w:fill="A6A6A6"/>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1.861</w:t>
            </w:r>
          </w:p>
        </w:tc>
        <w:tc>
          <w:tcPr>
            <w:tcW w:w="1276" w:type="dxa"/>
            <w:tcBorders>
              <w:top w:val="nil"/>
              <w:left w:val="nil"/>
              <w:bottom w:val="nil"/>
              <w:right w:val="nil"/>
            </w:tcBorders>
            <w:shd w:val="clear" w:color="auto" w:fill="A6A6A6"/>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1.862</w:t>
            </w:r>
          </w:p>
        </w:tc>
        <w:tc>
          <w:tcPr>
            <w:tcW w:w="850" w:type="dxa"/>
            <w:tcBorders>
              <w:top w:val="nil"/>
              <w:left w:val="nil"/>
              <w:bottom w:val="nil"/>
              <w:right w:val="nil"/>
            </w:tcBorders>
            <w:shd w:val="clear" w:color="auto" w:fill="A6A6A6"/>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1,7</w:t>
            </w:r>
          </w:p>
        </w:tc>
        <w:tc>
          <w:tcPr>
            <w:tcW w:w="850" w:type="dxa"/>
            <w:tcBorders>
              <w:top w:val="nil"/>
              <w:left w:val="nil"/>
              <w:bottom w:val="nil"/>
              <w:right w:val="single" w:sz="4" w:space="0" w:color="auto"/>
            </w:tcBorders>
            <w:shd w:val="clear" w:color="auto" w:fill="A6A6A6"/>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0,1</w:t>
            </w:r>
          </w:p>
        </w:tc>
      </w:tr>
      <w:tr w:rsidR="00F249A4" w:rsidRPr="00986E1C" w:rsidTr="00597EBF">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F249A4" w:rsidRPr="00986E1C" w:rsidRDefault="00F249A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Ίδιοι κοινοτικοί πόροι</w:t>
            </w:r>
          </w:p>
        </w:tc>
        <w:tc>
          <w:tcPr>
            <w:tcW w:w="1310"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1.703</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1.640</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1.772</w:t>
            </w:r>
          </w:p>
        </w:tc>
        <w:tc>
          <w:tcPr>
            <w:tcW w:w="850" w:type="dxa"/>
            <w:tcBorders>
              <w:top w:val="nil"/>
              <w:left w:val="nil"/>
              <w:bottom w:val="nil"/>
              <w:right w:val="nil"/>
            </w:tcBorders>
            <w:shd w:val="clear" w:color="auto" w:fill="BFBFBF"/>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-3,7</w:t>
            </w:r>
          </w:p>
        </w:tc>
        <w:tc>
          <w:tcPr>
            <w:tcW w:w="850" w:type="dxa"/>
            <w:tcBorders>
              <w:top w:val="nil"/>
              <w:left w:val="nil"/>
              <w:bottom w:val="nil"/>
              <w:right w:val="single" w:sz="4" w:space="0" w:color="auto"/>
            </w:tcBorders>
            <w:shd w:val="clear" w:color="auto" w:fill="BFBFBF"/>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8,0</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Δασμοί ΚΕΔ και αντιντάμπιγκ</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197</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270</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194</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37,1</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-28,1</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Εισφορές ζάχαρης και ισογλυκόζης</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2</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2</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2</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0,0</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0,0</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Συνεισφορές βάσει ΦΠΑ</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327</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342</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345</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4,6</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0,9</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Συνεισφορές βάσει ΑΕΕ</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1.177</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1.026</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1.231</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-12,8</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20,0</w:t>
            </w:r>
          </w:p>
        </w:tc>
      </w:tr>
      <w:tr w:rsidR="00F249A4" w:rsidRPr="00986E1C" w:rsidTr="00597EBF">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F249A4" w:rsidRPr="00986E1C" w:rsidRDefault="00F249A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Λοιπές συνεισφορές-επιστροφές </w:t>
            </w:r>
          </w:p>
        </w:tc>
        <w:tc>
          <w:tcPr>
            <w:tcW w:w="1310"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71</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150</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10</w:t>
            </w:r>
          </w:p>
        </w:tc>
        <w:tc>
          <w:tcPr>
            <w:tcW w:w="850" w:type="dxa"/>
            <w:tcBorders>
              <w:top w:val="nil"/>
              <w:left w:val="nil"/>
              <w:bottom w:val="nil"/>
              <w:right w:val="nil"/>
            </w:tcBorders>
            <w:shd w:val="clear" w:color="auto" w:fill="BFBFBF"/>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111,9</w:t>
            </w:r>
          </w:p>
        </w:tc>
        <w:tc>
          <w:tcPr>
            <w:tcW w:w="850" w:type="dxa"/>
            <w:tcBorders>
              <w:top w:val="nil"/>
              <w:left w:val="nil"/>
              <w:bottom w:val="nil"/>
              <w:right w:val="single" w:sz="4" w:space="0" w:color="auto"/>
            </w:tcBorders>
            <w:shd w:val="clear" w:color="auto" w:fill="BFBFBF"/>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-93,3</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Πρόσθετες έκτακτες συνεισφορές</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37</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30</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5</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-19,8</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-83,3</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Επιστροφές από ανεκτέλεστα προγράμματα</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33</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120</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5</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259,3</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-95,8</w:t>
            </w:r>
          </w:p>
        </w:tc>
      </w:tr>
      <w:tr w:rsidR="00F249A4" w:rsidRPr="00986E1C" w:rsidTr="00597EBF">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F249A4" w:rsidRPr="00986E1C" w:rsidRDefault="00F249A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Λοιπές συνεισφορές εκτός προϋπολογισμού ΕΕ </w:t>
            </w:r>
          </w:p>
        </w:tc>
        <w:tc>
          <w:tcPr>
            <w:tcW w:w="1310"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56</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71</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80</w:t>
            </w:r>
          </w:p>
        </w:tc>
        <w:tc>
          <w:tcPr>
            <w:tcW w:w="850" w:type="dxa"/>
            <w:tcBorders>
              <w:top w:val="nil"/>
              <w:left w:val="nil"/>
              <w:bottom w:val="nil"/>
              <w:right w:val="nil"/>
            </w:tcBorders>
            <w:shd w:val="clear" w:color="auto" w:fill="BFBFBF"/>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26,8</w:t>
            </w:r>
          </w:p>
        </w:tc>
        <w:tc>
          <w:tcPr>
            <w:tcW w:w="850" w:type="dxa"/>
            <w:tcBorders>
              <w:top w:val="nil"/>
              <w:left w:val="nil"/>
              <w:bottom w:val="nil"/>
              <w:right w:val="single" w:sz="4" w:space="0" w:color="auto"/>
            </w:tcBorders>
            <w:shd w:val="clear" w:color="auto" w:fill="BFBFBF"/>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12,7</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Συμμετοχή στο Ευρωπαϊκό Ταμείο Ανάπτυξης</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56</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60</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74</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7,1</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23,3</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Λοιπές αποδόσεις</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0</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11</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6</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 </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-45,5</w:t>
            </w:r>
          </w:p>
        </w:tc>
      </w:tr>
      <w:tr w:rsidR="00F249A4" w:rsidRPr="00986E1C" w:rsidTr="00597EBF">
        <w:trPr>
          <w:trHeight w:val="20"/>
        </w:trPr>
        <w:tc>
          <w:tcPr>
            <w:tcW w:w="3440" w:type="dxa"/>
            <w:tcBorders>
              <w:top w:val="nil"/>
              <w:left w:val="single" w:sz="4" w:space="0" w:color="auto"/>
              <w:bottom w:val="nil"/>
              <w:right w:val="nil"/>
            </w:tcBorders>
            <w:shd w:val="clear" w:color="auto" w:fill="A6A6A6"/>
            <w:noWrap/>
            <w:tcMar>
              <w:left w:w="28" w:type="dxa"/>
              <w:right w:w="28" w:type="dxa"/>
            </w:tcMar>
            <w:vAlign w:val="bottom"/>
            <w:hideMark/>
          </w:tcPr>
          <w:p w:rsidR="00F249A4" w:rsidRPr="00986E1C" w:rsidRDefault="00F249A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Απολήψεις από την Ευρωπαϊκή Ένωση (ΙΙ)</w:t>
            </w:r>
          </w:p>
        </w:tc>
        <w:tc>
          <w:tcPr>
            <w:tcW w:w="1310" w:type="dxa"/>
            <w:tcBorders>
              <w:top w:val="nil"/>
              <w:left w:val="nil"/>
              <w:bottom w:val="nil"/>
              <w:right w:val="nil"/>
            </w:tcBorders>
            <w:shd w:val="clear" w:color="auto" w:fill="A6A6A6"/>
            <w:tcMar>
              <w:left w:w="28" w:type="dxa"/>
              <w:right w:w="28" w:type="dxa"/>
            </w:tcMar>
            <w:vAlign w:val="center"/>
            <w:hideMark/>
          </w:tcPr>
          <w:p w:rsidR="00F249A4" w:rsidRDefault="00742FB7" w:rsidP="00F249A4">
            <w:pPr>
              <w:tabs>
                <w:tab w:val="decimal" w:pos="857"/>
              </w:tabs>
              <w:jc w:val="both"/>
              <w:rPr>
                <w:rFonts w:ascii="Arial Narrow" w:hAnsi="Arial Narrow" w:cs="Arial"/>
                <w:b/>
                <w:bCs/>
                <w:sz w:val="16"/>
                <w:szCs w:val="16"/>
              </w:rPr>
            </w:pPr>
            <w:r>
              <w:rPr>
                <w:rFonts w:ascii="Arial Narrow" w:hAnsi="Arial Narrow" w:cs="Arial"/>
                <w:b/>
                <w:bCs/>
                <w:sz w:val="16"/>
                <w:szCs w:val="16"/>
              </w:rPr>
              <w:t>6.20</w:t>
            </w:r>
            <w:r w:rsidR="00AA7D37">
              <w:rPr>
                <w:rFonts w:ascii="Arial Narrow" w:hAnsi="Arial Narrow" w:cs="Arial"/>
                <w:b/>
                <w:bCs/>
                <w:sz w:val="16"/>
                <w:szCs w:val="16"/>
              </w:rPr>
              <w:t>7</w:t>
            </w:r>
          </w:p>
        </w:tc>
        <w:tc>
          <w:tcPr>
            <w:tcW w:w="1276" w:type="dxa"/>
            <w:tcBorders>
              <w:top w:val="nil"/>
              <w:left w:val="nil"/>
              <w:bottom w:val="nil"/>
              <w:right w:val="nil"/>
            </w:tcBorders>
            <w:shd w:val="clear" w:color="auto" w:fill="A6A6A6"/>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5.762</w:t>
            </w:r>
          </w:p>
        </w:tc>
        <w:tc>
          <w:tcPr>
            <w:tcW w:w="1276" w:type="dxa"/>
            <w:tcBorders>
              <w:top w:val="nil"/>
              <w:left w:val="nil"/>
              <w:bottom w:val="nil"/>
              <w:right w:val="nil"/>
            </w:tcBorders>
            <w:shd w:val="clear" w:color="auto" w:fill="A6A6A6"/>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6.094</w:t>
            </w:r>
          </w:p>
        </w:tc>
        <w:tc>
          <w:tcPr>
            <w:tcW w:w="850" w:type="dxa"/>
            <w:tcBorders>
              <w:top w:val="nil"/>
              <w:left w:val="nil"/>
              <w:bottom w:val="nil"/>
              <w:right w:val="nil"/>
            </w:tcBorders>
            <w:shd w:val="clear" w:color="auto" w:fill="A6A6A6"/>
            <w:noWrap/>
            <w:tcMar>
              <w:left w:w="28" w:type="dxa"/>
              <w:right w:w="28" w:type="dxa"/>
            </w:tcMar>
            <w:vAlign w:val="center"/>
            <w:hideMark/>
          </w:tcPr>
          <w:p w:rsidR="00F249A4" w:rsidRDefault="00AA7D37" w:rsidP="00F249A4">
            <w:pPr>
              <w:tabs>
                <w:tab w:val="decimal" w:pos="539"/>
              </w:tabs>
              <w:jc w:val="both"/>
              <w:rPr>
                <w:rFonts w:ascii="Arial Narrow" w:hAnsi="Arial Narrow" w:cs="Arial"/>
                <w:b/>
                <w:bCs/>
                <w:sz w:val="16"/>
                <w:szCs w:val="16"/>
              </w:rPr>
            </w:pPr>
            <w:r>
              <w:rPr>
                <w:rFonts w:ascii="Arial Narrow" w:hAnsi="Arial Narrow" w:cs="Arial"/>
                <w:b/>
                <w:bCs/>
                <w:sz w:val="16"/>
                <w:szCs w:val="16"/>
              </w:rPr>
              <w:t>-7,2</w:t>
            </w:r>
          </w:p>
        </w:tc>
        <w:tc>
          <w:tcPr>
            <w:tcW w:w="850" w:type="dxa"/>
            <w:tcBorders>
              <w:top w:val="nil"/>
              <w:left w:val="nil"/>
              <w:bottom w:val="nil"/>
              <w:right w:val="single" w:sz="4" w:space="0" w:color="auto"/>
            </w:tcBorders>
            <w:shd w:val="clear" w:color="auto" w:fill="A6A6A6"/>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5,8</w:t>
            </w:r>
          </w:p>
        </w:tc>
      </w:tr>
      <w:tr w:rsidR="00F249A4" w:rsidRPr="00986E1C" w:rsidTr="00597EBF">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F249A4" w:rsidRPr="00986E1C" w:rsidRDefault="00F249A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 xml:space="preserve">Τακτικός Προϋπολογισμός </w:t>
            </w:r>
          </w:p>
        </w:tc>
        <w:tc>
          <w:tcPr>
            <w:tcW w:w="1310" w:type="dxa"/>
            <w:tcBorders>
              <w:top w:val="nil"/>
              <w:left w:val="nil"/>
              <w:bottom w:val="nil"/>
              <w:right w:val="nil"/>
            </w:tcBorders>
            <w:shd w:val="clear" w:color="auto" w:fill="BFBFBF"/>
            <w:tcMar>
              <w:left w:w="28" w:type="dxa"/>
              <w:right w:w="28" w:type="dxa"/>
            </w:tcMar>
            <w:vAlign w:val="center"/>
            <w:hideMark/>
          </w:tcPr>
          <w:p w:rsidR="00F249A4" w:rsidRDefault="00742FB7" w:rsidP="00F249A4">
            <w:pPr>
              <w:tabs>
                <w:tab w:val="decimal" w:pos="857"/>
              </w:tabs>
              <w:jc w:val="both"/>
              <w:rPr>
                <w:rFonts w:ascii="Arial Narrow" w:hAnsi="Arial Narrow" w:cs="Arial"/>
                <w:b/>
                <w:bCs/>
                <w:sz w:val="16"/>
                <w:szCs w:val="16"/>
              </w:rPr>
            </w:pPr>
            <w:r>
              <w:rPr>
                <w:rFonts w:ascii="Arial Narrow" w:hAnsi="Arial Narrow" w:cs="Arial"/>
                <w:b/>
                <w:bCs/>
                <w:sz w:val="16"/>
                <w:szCs w:val="16"/>
              </w:rPr>
              <w:t>41</w:t>
            </w:r>
            <w:r w:rsidR="00AA7D37">
              <w:rPr>
                <w:rFonts w:ascii="Arial Narrow" w:hAnsi="Arial Narrow" w:cs="Arial"/>
                <w:b/>
                <w:bCs/>
                <w:sz w:val="16"/>
                <w:szCs w:val="16"/>
              </w:rPr>
              <w:t>5</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color w:val="000000"/>
                <w:sz w:val="16"/>
                <w:szCs w:val="16"/>
              </w:rPr>
            </w:pPr>
            <w:r>
              <w:rPr>
                <w:rFonts w:ascii="Arial Narrow" w:hAnsi="Arial Narrow" w:cs="Arial"/>
                <w:b/>
                <w:bCs/>
                <w:color w:val="000000"/>
                <w:sz w:val="16"/>
                <w:szCs w:val="16"/>
              </w:rPr>
              <w:t>510</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color w:val="000000"/>
                <w:sz w:val="16"/>
                <w:szCs w:val="16"/>
              </w:rPr>
            </w:pPr>
            <w:r>
              <w:rPr>
                <w:rFonts w:ascii="Arial Narrow" w:hAnsi="Arial Narrow" w:cs="Arial"/>
                <w:b/>
                <w:bCs/>
                <w:color w:val="000000"/>
                <w:sz w:val="16"/>
                <w:szCs w:val="16"/>
              </w:rPr>
              <w:t>331</w:t>
            </w:r>
          </w:p>
        </w:tc>
        <w:tc>
          <w:tcPr>
            <w:tcW w:w="850" w:type="dxa"/>
            <w:tcBorders>
              <w:top w:val="nil"/>
              <w:left w:val="nil"/>
              <w:bottom w:val="nil"/>
              <w:right w:val="nil"/>
            </w:tcBorders>
            <w:shd w:val="clear" w:color="auto" w:fill="BFBFBF"/>
            <w:noWrap/>
            <w:tcMar>
              <w:left w:w="28" w:type="dxa"/>
              <w:right w:w="28" w:type="dxa"/>
            </w:tcMar>
            <w:vAlign w:val="center"/>
            <w:hideMark/>
          </w:tcPr>
          <w:p w:rsidR="00F249A4" w:rsidRDefault="00AA7D37" w:rsidP="00F249A4">
            <w:pPr>
              <w:tabs>
                <w:tab w:val="decimal" w:pos="539"/>
              </w:tabs>
              <w:jc w:val="both"/>
              <w:rPr>
                <w:rFonts w:ascii="Arial Narrow" w:hAnsi="Arial Narrow" w:cs="Arial"/>
                <w:b/>
                <w:bCs/>
                <w:sz w:val="16"/>
                <w:szCs w:val="16"/>
              </w:rPr>
            </w:pPr>
            <w:r>
              <w:rPr>
                <w:rFonts w:ascii="Arial Narrow" w:hAnsi="Arial Narrow" w:cs="Arial"/>
                <w:b/>
                <w:bCs/>
                <w:sz w:val="16"/>
                <w:szCs w:val="16"/>
              </w:rPr>
              <w:t>23,1</w:t>
            </w:r>
          </w:p>
        </w:tc>
        <w:tc>
          <w:tcPr>
            <w:tcW w:w="850" w:type="dxa"/>
            <w:tcBorders>
              <w:top w:val="nil"/>
              <w:left w:val="nil"/>
              <w:bottom w:val="nil"/>
              <w:right w:val="single" w:sz="4" w:space="0" w:color="auto"/>
            </w:tcBorders>
            <w:shd w:val="clear" w:color="auto" w:fill="BFBFBF"/>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-35,1</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Έξοδα είσπραξης ιδίων πόρων</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47</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40</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39</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AA7D37" w:rsidP="00F249A4">
            <w:pPr>
              <w:tabs>
                <w:tab w:val="decimal" w:pos="539"/>
              </w:tabs>
              <w:jc w:val="both"/>
              <w:rPr>
                <w:rFonts w:ascii="Arial Narrow" w:hAnsi="Arial Narrow" w:cs="Arial"/>
                <w:b/>
                <w:bCs/>
                <w:sz w:val="16"/>
                <w:szCs w:val="16"/>
              </w:rPr>
            </w:pPr>
            <w:r>
              <w:rPr>
                <w:rFonts w:ascii="Arial Narrow" w:hAnsi="Arial Narrow" w:cs="Arial"/>
                <w:b/>
                <w:bCs/>
                <w:sz w:val="16"/>
                <w:szCs w:val="16"/>
              </w:rPr>
              <w:t>-16,2</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-1,0</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Pr>
                <w:rFonts w:ascii="Arial Narrow" w:hAnsi="Arial Narrow"/>
                <w:color w:val="000000"/>
                <w:sz w:val="16"/>
                <w:szCs w:val="16"/>
              </w:rPr>
              <w:t>Επιστροφές από ΕΕ</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0</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114</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0</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 </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Απολήψεις ΕΓΤΑΑ</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253</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236</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170</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-6,6</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-28,0</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Λοιπές απολήψεις</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742FB7" w:rsidP="00F249A4">
            <w:pPr>
              <w:tabs>
                <w:tab w:val="decimal" w:pos="857"/>
              </w:tabs>
              <w:jc w:val="both"/>
              <w:rPr>
                <w:rFonts w:ascii="Arial Narrow" w:hAnsi="Arial Narrow" w:cs="Arial"/>
                <w:sz w:val="16"/>
                <w:szCs w:val="16"/>
              </w:rPr>
            </w:pPr>
            <w:r>
              <w:rPr>
                <w:rFonts w:ascii="Arial Narrow" w:hAnsi="Arial Narrow" w:cs="Arial"/>
                <w:sz w:val="16"/>
                <w:szCs w:val="16"/>
              </w:rPr>
              <w:t>43</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20</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22</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 </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10,0</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Pr>
                <w:rFonts w:ascii="Arial Narrow" w:hAnsi="Arial Narrow"/>
                <w:color w:val="000000"/>
                <w:sz w:val="16"/>
                <w:szCs w:val="16"/>
              </w:rPr>
              <w:t>Εισροές από δράσεις που αφορούν μεταναστευτικές ροές</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71</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100</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100</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AA7D37" w:rsidP="00F249A4">
            <w:pPr>
              <w:tabs>
                <w:tab w:val="decimal" w:pos="539"/>
              </w:tabs>
              <w:jc w:val="both"/>
              <w:rPr>
                <w:rFonts w:ascii="Arial Narrow" w:hAnsi="Arial Narrow" w:cs="Arial"/>
                <w:b/>
                <w:bCs/>
                <w:sz w:val="16"/>
                <w:szCs w:val="16"/>
              </w:rPr>
            </w:pPr>
            <w:r>
              <w:rPr>
                <w:rFonts w:ascii="Arial Narrow" w:hAnsi="Arial Narrow" w:cs="Arial"/>
                <w:b/>
                <w:bCs/>
                <w:sz w:val="16"/>
                <w:szCs w:val="16"/>
              </w:rPr>
              <w:t>40,7</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0,0</w:t>
            </w:r>
          </w:p>
        </w:tc>
      </w:tr>
      <w:tr w:rsidR="00F249A4" w:rsidRPr="00986E1C" w:rsidTr="00597EBF">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F249A4" w:rsidRPr="00986E1C" w:rsidRDefault="00F249A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Προϋπολογισμός Δημοσίων Επενδύσεων</w:t>
            </w:r>
          </w:p>
        </w:tc>
        <w:tc>
          <w:tcPr>
            <w:tcW w:w="1310"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3.861</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color w:val="000000"/>
                <w:sz w:val="16"/>
                <w:szCs w:val="16"/>
              </w:rPr>
            </w:pPr>
            <w:r>
              <w:rPr>
                <w:rFonts w:ascii="Arial Narrow" w:hAnsi="Arial Narrow" w:cs="Arial"/>
                <w:b/>
                <w:bCs/>
                <w:color w:val="000000"/>
                <w:sz w:val="16"/>
                <w:szCs w:val="16"/>
              </w:rPr>
              <w:t>3.177</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color w:val="000000"/>
                <w:sz w:val="16"/>
                <w:szCs w:val="16"/>
              </w:rPr>
            </w:pPr>
            <w:r>
              <w:rPr>
                <w:rFonts w:ascii="Arial Narrow" w:hAnsi="Arial Narrow" w:cs="Arial"/>
                <w:b/>
                <w:bCs/>
                <w:color w:val="000000"/>
                <w:sz w:val="16"/>
                <w:szCs w:val="16"/>
              </w:rPr>
              <w:t>3.555</w:t>
            </w:r>
          </w:p>
        </w:tc>
        <w:tc>
          <w:tcPr>
            <w:tcW w:w="850" w:type="dxa"/>
            <w:tcBorders>
              <w:top w:val="nil"/>
              <w:left w:val="nil"/>
              <w:bottom w:val="nil"/>
              <w:right w:val="nil"/>
            </w:tcBorders>
            <w:shd w:val="clear" w:color="auto" w:fill="BFBFBF"/>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-17,7</w:t>
            </w:r>
          </w:p>
        </w:tc>
        <w:tc>
          <w:tcPr>
            <w:tcW w:w="850" w:type="dxa"/>
            <w:tcBorders>
              <w:top w:val="nil"/>
              <w:left w:val="nil"/>
              <w:bottom w:val="nil"/>
              <w:right w:val="single" w:sz="4" w:space="0" w:color="auto"/>
            </w:tcBorders>
            <w:shd w:val="clear" w:color="auto" w:fill="BFBFBF"/>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11,9</w:t>
            </w:r>
          </w:p>
        </w:tc>
      </w:tr>
      <w:tr w:rsidR="00F249A4" w:rsidRPr="00986E1C" w:rsidTr="00597EBF">
        <w:trPr>
          <w:trHeight w:val="20"/>
        </w:trPr>
        <w:tc>
          <w:tcPr>
            <w:tcW w:w="3440" w:type="dxa"/>
            <w:tcBorders>
              <w:top w:val="nil"/>
              <w:left w:val="single" w:sz="4" w:space="0" w:color="auto"/>
              <w:bottom w:val="nil"/>
              <w:right w:val="nil"/>
            </w:tcBorders>
            <w:shd w:val="clear" w:color="auto" w:fill="BFBFBF"/>
            <w:noWrap/>
            <w:tcMar>
              <w:left w:w="28" w:type="dxa"/>
              <w:right w:w="28" w:type="dxa"/>
            </w:tcMar>
            <w:vAlign w:val="bottom"/>
            <w:hideMark/>
          </w:tcPr>
          <w:p w:rsidR="00F249A4" w:rsidRPr="00986E1C" w:rsidRDefault="00F249A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Προϋπολογισμός ΕΛΕΓΕΠ</w:t>
            </w:r>
          </w:p>
        </w:tc>
        <w:tc>
          <w:tcPr>
            <w:tcW w:w="1310"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color w:val="000000"/>
                <w:sz w:val="16"/>
                <w:szCs w:val="16"/>
              </w:rPr>
            </w:pPr>
            <w:r>
              <w:rPr>
                <w:rFonts w:ascii="Arial Narrow" w:hAnsi="Arial Narrow" w:cs="Arial"/>
                <w:b/>
                <w:bCs/>
                <w:color w:val="000000"/>
                <w:sz w:val="16"/>
                <w:szCs w:val="16"/>
              </w:rPr>
              <w:t>1.931</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color w:val="000000"/>
                <w:sz w:val="16"/>
                <w:szCs w:val="16"/>
              </w:rPr>
            </w:pPr>
            <w:r>
              <w:rPr>
                <w:rFonts w:ascii="Arial Narrow" w:hAnsi="Arial Narrow" w:cs="Arial"/>
                <w:b/>
                <w:bCs/>
                <w:color w:val="000000"/>
                <w:sz w:val="16"/>
                <w:szCs w:val="16"/>
              </w:rPr>
              <w:t>2.075</w:t>
            </w:r>
          </w:p>
        </w:tc>
        <w:tc>
          <w:tcPr>
            <w:tcW w:w="1276" w:type="dxa"/>
            <w:tcBorders>
              <w:top w:val="nil"/>
              <w:left w:val="nil"/>
              <w:bottom w:val="nil"/>
              <w:right w:val="nil"/>
            </w:tcBorders>
            <w:shd w:val="clear" w:color="auto" w:fill="BFBFBF"/>
            <w:tcMar>
              <w:left w:w="28" w:type="dxa"/>
              <w:right w:w="28" w:type="dxa"/>
            </w:tcMar>
            <w:vAlign w:val="center"/>
            <w:hideMark/>
          </w:tcPr>
          <w:p w:rsidR="00F249A4" w:rsidRDefault="00F249A4" w:rsidP="00F249A4">
            <w:pPr>
              <w:tabs>
                <w:tab w:val="decimal" w:pos="857"/>
              </w:tabs>
              <w:jc w:val="both"/>
              <w:rPr>
                <w:rFonts w:ascii="Arial Narrow" w:hAnsi="Arial Narrow" w:cs="Arial"/>
                <w:b/>
                <w:bCs/>
                <w:color w:val="000000"/>
                <w:sz w:val="16"/>
                <w:szCs w:val="16"/>
              </w:rPr>
            </w:pPr>
            <w:r>
              <w:rPr>
                <w:rFonts w:ascii="Arial Narrow" w:hAnsi="Arial Narrow" w:cs="Arial"/>
                <w:b/>
                <w:bCs/>
                <w:color w:val="000000"/>
                <w:sz w:val="16"/>
                <w:szCs w:val="16"/>
              </w:rPr>
              <w:t>2.208</w:t>
            </w:r>
          </w:p>
        </w:tc>
        <w:tc>
          <w:tcPr>
            <w:tcW w:w="850" w:type="dxa"/>
            <w:tcBorders>
              <w:top w:val="nil"/>
              <w:left w:val="nil"/>
              <w:bottom w:val="nil"/>
              <w:right w:val="nil"/>
            </w:tcBorders>
            <w:shd w:val="clear" w:color="auto" w:fill="BFBFBF"/>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7,5</w:t>
            </w:r>
          </w:p>
        </w:tc>
        <w:tc>
          <w:tcPr>
            <w:tcW w:w="850" w:type="dxa"/>
            <w:tcBorders>
              <w:top w:val="nil"/>
              <w:left w:val="nil"/>
              <w:bottom w:val="nil"/>
              <w:right w:val="single" w:sz="4" w:space="0" w:color="auto"/>
            </w:tcBorders>
            <w:shd w:val="clear" w:color="auto" w:fill="BFBFBF"/>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6,4</w:t>
            </w:r>
          </w:p>
        </w:tc>
      </w:tr>
      <w:tr w:rsidR="00F249A4" w:rsidRPr="00986E1C" w:rsidTr="00597EBF">
        <w:trPr>
          <w:trHeight w:val="20"/>
        </w:trPr>
        <w:tc>
          <w:tcPr>
            <w:tcW w:w="3440" w:type="dxa"/>
            <w:tcBorders>
              <w:top w:val="nil"/>
              <w:left w:val="single" w:sz="4" w:space="0" w:color="auto"/>
              <w:bottom w:val="nil"/>
              <w:right w:val="nil"/>
            </w:tcBorders>
            <w:shd w:val="clear" w:color="auto" w:fill="auto"/>
            <w:noWrap/>
            <w:tcMar>
              <w:left w:w="28" w:type="dxa"/>
              <w:right w:w="28" w:type="dxa"/>
            </w:tcMar>
            <w:vAlign w:val="bottom"/>
            <w:hideMark/>
          </w:tcPr>
          <w:p w:rsidR="00F249A4" w:rsidRPr="00986E1C" w:rsidRDefault="00F249A4" w:rsidP="005512EC">
            <w:pPr>
              <w:rPr>
                <w:rFonts w:ascii="Arial Narrow" w:hAnsi="Arial Narrow"/>
                <w:color w:val="000000"/>
                <w:sz w:val="16"/>
                <w:szCs w:val="16"/>
              </w:rPr>
            </w:pPr>
            <w:r w:rsidRPr="00986E1C">
              <w:rPr>
                <w:rFonts w:ascii="Arial Narrow" w:hAnsi="Arial Narrow"/>
                <w:color w:val="000000"/>
                <w:sz w:val="16"/>
                <w:szCs w:val="16"/>
              </w:rPr>
              <w:t>Απολήψεις από ΕΓΤΕ</w:t>
            </w:r>
          </w:p>
        </w:tc>
        <w:tc>
          <w:tcPr>
            <w:tcW w:w="1310"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1.931</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2.075</w:t>
            </w:r>
          </w:p>
        </w:tc>
        <w:tc>
          <w:tcPr>
            <w:tcW w:w="1276" w:type="dxa"/>
            <w:tcBorders>
              <w:top w:val="nil"/>
              <w:left w:val="nil"/>
              <w:bottom w:val="nil"/>
              <w:right w:val="nil"/>
            </w:tcBorders>
            <w:shd w:val="clear" w:color="auto" w:fill="auto"/>
            <w:tcMar>
              <w:left w:w="28" w:type="dxa"/>
              <w:right w:w="28" w:type="dxa"/>
            </w:tcMar>
            <w:vAlign w:val="center"/>
            <w:hideMark/>
          </w:tcPr>
          <w:p w:rsidR="00F249A4" w:rsidRDefault="00F249A4" w:rsidP="00F249A4">
            <w:pPr>
              <w:tabs>
                <w:tab w:val="decimal" w:pos="857"/>
              </w:tabs>
              <w:jc w:val="both"/>
              <w:rPr>
                <w:rFonts w:ascii="Arial Narrow" w:hAnsi="Arial Narrow" w:cs="Arial"/>
                <w:sz w:val="16"/>
                <w:szCs w:val="16"/>
              </w:rPr>
            </w:pPr>
            <w:r>
              <w:rPr>
                <w:rFonts w:ascii="Arial Narrow" w:hAnsi="Arial Narrow" w:cs="Arial"/>
                <w:sz w:val="16"/>
                <w:szCs w:val="16"/>
              </w:rPr>
              <w:t>2.208</w:t>
            </w:r>
          </w:p>
        </w:tc>
        <w:tc>
          <w:tcPr>
            <w:tcW w:w="850" w:type="dxa"/>
            <w:tcBorders>
              <w:top w:val="nil"/>
              <w:left w:val="nil"/>
              <w:bottom w:val="nil"/>
              <w:right w:val="nil"/>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7,5</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6,4</w:t>
            </w:r>
          </w:p>
        </w:tc>
      </w:tr>
      <w:tr w:rsidR="00F249A4" w:rsidRPr="00986E1C" w:rsidTr="00597EBF">
        <w:trPr>
          <w:trHeight w:val="20"/>
        </w:trPr>
        <w:tc>
          <w:tcPr>
            <w:tcW w:w="3440" w:type="dxa"/>
            <w:tcBorders>
              <w:top w:val="nil"/>
              <w:left w:val="single" w:sz="4" w:space="0" w:color="auto"/>
              <w:bottom w:val="single" w:sz="4" w:space="0" w:color="auto"/>
              <w:right w:val="nil"/>
            </w:tcBorders>
            <w:shd w:val="clear" w:color="auto" w:fill="A6A6A6"/>
            <w:noWrap/>
            <w:tcMar>
              <w:left w:w="28" w:type="dxa"/>
              <w:right w:w="28" w:type="dxa"/>
            </w:tcMar>
            <w:vAlign w:val="bottom"/>
            <w:hideMark/>
          </w:tcPr>
          <w:p w:rsidR="00F249A4" w:rsidRPr="00986E1C" w:rsidRDefault="00F249A4" w:rsidP="005512EC">
            <w:pPr>
              <w:spacing w:before="80" w:after="80"/>
              <w:rPr>
                <w:rFonts w:ascii="Arial Narrow" w:hAnsi="Arial Narrow"/>
                <w:b/>
                <w:bCs/>
                <w:color w:val="000000"/>
                <w:sz w:val="16"/>
                <w:szCs w:val="16"/>
              </w:rPr>
            </w:pPr>
            <w:r w:rsidRPr="00986E1C">
              <w:rPr>
                <w:rFonts w:ascii="Arial Narrow" w:hAnsi="Arial Narrow"/>
                <w:b/>
                <w:bCs/>
                <w:color w:val="000000"/>
                <w:sz w:val="16"/>
                <w:szCs w:val="16"/>
              </w:rPr>
              <w:t>Ταμειακό αποτέλεσμα  ( ΙΙ-Ι )</w:t>
            </w:r>
          </w:p>
        </w:tc>
        <w:tc>
          <w:tcPr>
            <w:tcW w:w="1310" w:type="dxa"/>
            <w:tcBorders>
              <w:top w:val="nil"/>
              <w:left w:val="nil"/>
              <w:bottom w:val="single" w:sz="4" w:space="0" w:color="auto"/>
              <w:right w:val="nil"/>
            </w:tcBorders>
            <w:shd w:val="clear" w:color="auto" w:fill="A6A6A6"/>
            <w:tcMar>
              <w:left w:w="28" w:type="dxa"/>
              <w:right w:w="28" w:type="dxa"/>
            </w:tcMar>
            <w:vAlign w:val="center"/>
            <w:hideMark/>
          </w:tcPr>
          <w:p w:rsidR="00F249A4" w:rsidRDefault="00742FB7" w:rsidP="00F249A4">
            <w:pPr>
              <w:tabs>
                <w:tab w:val="decimal" w:pos="857"/>
              </w:tabs>
              <w:jc w:val="both"/>
              <w:rPr>
                <w:rFonts w:ascii="Arial Narrow" w:hAnsi="Arial Narrow" w:cs="Arial"/>
                <w:b/>
                <w:bCs/>
                <w:sz w:val="16"/>
                <w:szCs w:val="16"/>
              </w:rPr>
            </w:pPr>
            <w:r>
              <w:rPr>
                <w:rFonts w:ascii="Arial Narrow" w:hAnsi="Arial Narrow" w:cs="Arial"/>
                <w:b/>
                <w:bCs/>
                <w:sz w:val="16"/>
                <w:szCs w:val="16"/>
              </w:rPr>
              <w:t>4.37</w:t>
            </w:r>
            <w:r w:rsidR="00AA7D37">
              <w:rPr>
                <w:rFonts w:ascii="Arial Narrow" w:hAnsi="Arial Narrow" w:cs="Arial"/>
                <w:b/>
                <w:bCs/>
                <w:sz w:val="16"/>
                <w:szCs w:val="16"/>
              </w:rPr>
              <w:t>7</w:t>
            </w:r>
          </w:p>
        </w:tc>
        <w:tc>
          <w:tcPr>
            <w:tcW w:w="1276" w:type="dxa"/>
            <w:tcBorders>
              <w:top w:val="nil"/>
              <w:left w:val="nil"/>
              <w:bottom w:val="single" w:sz="4" w:space="0" w:color="auto"/>
              <w:right w:val="nil"/>
            </w:tcBorders>
            <w:shd w:val="clear" w:color="auto" w:fill="A6A6A6"/>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3.901</w:t>
            </w:r>
          </w:p>
        </w:tc>
        <w:tc>
          <w:tcPr>
            <w:tcW w:w="1276" w:type="dxa"/>
            <w:tcBorders>
              <w:top w:val="nil"/>
              <w:left w:val="nil"/>
              <w:bottom w:val="single" w:sz="4" w:space="0" w:color="auto"/>
              <w:right w:val="nil"/>
            </w:tcBorders>
            <w:shd w:val="clear" w:color="auto" w:fill="A6A6A6"/>
            <w:tcMar>
              <w:left w:w="28" w:type="dxa"/>
              <w:right w:w="28" w:type="dxa"/>
            </w:tcMar>
            <w:vAlign w:val="center"/>
            <w:hideMark/>
          </w:tcPr>
          <w:p w:rsidR="00F249A4" w:rsidRDefault="00F249A4" w:rsidP="00F249A4">
            <w:pPr>
              <w:tabs>
                <w:tab w:val="decimal" w:pos="857"/>
              </w:tabs>
              <w:jc w:val="both"/>
              <w:rPr>
                <w:rFonts w:ascii="Arial Narrow" w:hAnsi="Arial Narrow" w:cs="Arial"/>
                <w:b/>
                <w:bCs/>
                <w:sz w:val="16"/>
                <w:szCs w:val="16"/>
              </w:rPr>
            </w:pPr>
            <w:r>
              <w:rPr>
                <w:rFonts w:ascii="Arial Narrow" w:hAnsi="Arial Narrow" w:cs="Arial"/>
                <w:b/>
                <w:bCs/>
                <w:sz w:val="16"/>
                <w:szCs w:val="16"/>
              </w:rPr>
              <w:t>4.232</w:t>
            </w:r>
          </w:p>
        </w:tc>
        <w:tc>
          <w:tcPr>
            <w:tcW w:w="850" w:type="dxa"/>
            <w:tcBorders>
              <w:top w:val="nil"/>
              <w:left w:val="nil"/>
              <w:bottom w:val="single" w:sz="4" w:space="0" w:color="auto"/>
              <w:right w:val="nil"/>
            </w:tcBorders>
            <w:shd w:val="clear" w:color="auto" w:fill="A6A6A6"/>
            <w:noWrap/>
            <w:tcMar>
              <w:left w:w="28" w:type="dxa"/>
              <w:right w:w="28" w:type="dxa"/>
            </w:tcMar>
            <w:vAlign w:val="center"/>
            <w:hideMark/>
          </w:tcPr>
          <w:p w:rsidR="00F249A4" w:rsidRDefault="00AA7D37" w:rsidP="00F249A4">
            <w:pPr>
              <w:tabs>
                <w:tab w:val="decimal" w:pos="539"/>
              </w:tabs>
              <w:jc w:val="both"/>
              <w:rPr>
                <w:rFonts w:ascii="Arial Narrow" w:hAnsi="Arial Narrow" w:cs="Arial"/>
                <w:b/>
                <w:bCs/>
                <w:sz w:val="16"/>
                <w:szCs w:val="16"/>
              </w:rPr>
            </w:pPr>
            <w:r>
              <w:rPr>
                <w:rFonts w:ascii="Arial Narrow" w:hAnsi="Arial Narrow" w:cs="Arial"/>
                <w:b/>
                <w:bCs/>
                <w:sz w:val="16"/>
                <w:szCs w:val="16"/>
              </w:rPr>
              <w:t>-10,9</w:t>
            </w:r>
          </w:p>
        </w:tc>
        <w:tc>
          <w:tcPr>
            <w:tcW w:w="850" w:type="dxa"/>
            <w:tcBorders>
              <w:top w:val="nil"/>
              <w:left w:val="nil"/>
              <w:bottom w:val="single" w:sz="4" w:space="0" w:color="auto"/>
              <w:right w:val="single" w:sz="4" w:space="0" w:color="auto"/>
            </w:tcBorders>
            <w:shd w:val="clear" w:color="auto" w:fill="A6A6A6"/>
            <w:noWrap/>
            <w:tcMar>
              <w:left w:w="28" w:type="dxa"/>
              <w:right w:w="28" w:type="dxa"/>
            </w:tcMar>
            <w:vAlign w:val="center"/>
            <w:hideMark/>
          </w:tcPr>
          <w:p w:rsidR="00F249A4" w:rsidRDefault="00F249A4" w:rsidP="00F249A4">
            <w:pPr>
              <w:tabs>
                <w:tab w:val="decimal" w:pos="539"/>
              </w:tabs>
              <w:jc w:val="both"/>
              <w:rPr>
                <w:rFonts w:ascii="Arial Narrow" w:hAnsi="Arial Narrow" w:cs="Arial"/>
                <w:b/>
                <w:bCs/>
                <w:sz w:val="16"/>
                <w:szCs w:val="16"/>
              </w:rPr>
            </w:pPr>
            <w:r>
              <w:rPr>
                <w:rFonts w:ascii="Arial Narrow" w:hAnsi="Arial Narrow" w:cs="Arial"/>
                <w:b/>
                <w:bCs/>
                <w:sz w:val="16"/>
                <w:szCs w:val="16"/>
              </w:rPr>
              <w:t>8,5</w:t>
            </w:r>
          </w:p>
        </w:tc>
      </w:tr>
    </w:tbl>
    <w:p w:rsidR="00283154" w:rsidRDefault="00283154" w:rsidP="00283154">
      <w:pPr>
        <w:jc w:val="both"/>
        <w:rPr>
          <w:rFonts w:ascii="Arial Narrow" w:hAnsi="Arial Narrow" w:cs="Arial"/>
          <w:b/>
          <w:sz w:val="16"/>
          <w:szCs w:val="16"/>
        </w:rPr>
      </w:pPr>
    </w:p>
    <w:p w:rsidR="00283154" w:rsidRDefault="00283154" w:rsidP="00283154">
      <w:pPr>
        <w:jc w:val="both"/>
        <w:rPr>
          <w:sz w:val="22"/>
        </w:rPr>
      </w:pPr>
    </w:p>
    <w:p w:rsidR="00F41E5D" w:rsidRDefault="00F41E5D">
      <w:pPr>
        <w:rPr>
          <w:rFonts w:ascii="Arial Narrow" w:hAnsi="Arial Narrow"/>
          <w:b/>
          <w:color w:val="000080"/>
          <w:sz w:val="22"/>
        </w:rPr>
      </w:pPr>
      <w:r>
        <w:rPr>
          <w:rFonts w:ascii="Arial Narrow" w:hAnsi="Arial Narrow"/>
          <w:b/>
          <w:color w:val="000080"/>
          <w:sz w:val="22"/>
        </w:rPr>
        <w:br w:type="page"/>
      </w:r>
    </w:p>
    <w:p w:rsidR="005B36EA" w:rsidRPr="000574DA" w:rsidRDefault="005B36EA" w:rsidP="005B36EA">
      <w:pPr>
        <w:rPr>
          <w:sz w:val="22"/>
          <w:szCs w:val="22"/>
          <w:highlight w:val="lightGray"/>
        </w:rPr>
      </w:pPr>
    </w:p>
    <w:p w:rsidR="005B36EA" w:rsidRPr="0063065A" w:rsidRDefault="005B36EA" w:rsidP="005B36EA">
      <w:pPr>
        <w:shd w:val="clear" w:color="auto" w:fill="595959"/>
        <w:jc w:val="both"/>
        <w:rPr>
          <w:rFonts w:ascii="Arial Narrow" w:hAnsi="Arial Narrow"/>
          <w:b/>
          <w:color w:val="FFFFFF"/>
          <w:sz w:val="26"/>
          <w:szCs w:val="22"/>
        </w:rPr>
      </w:pPr>
      <w:r w:rsidRPr="0063065A">
        <w:rPr>
          <w:rFonts w:ascii="Arial Narrow" w:hAnsi="Arial Narrow"/>
          <w:b/>
          <w:color w:val="FFFFFF"/>
          <w:sz w:val="26"/>
          <w:szCs w:val="22"/>
        </w:rPr>
        <w:t>5.</w:t>
      </w:r>
      <w:r w:rsidRPr="0063065A">
        <w:rPr>
          <w:rFonts w:ascii="Arial Narrow" w:hAnsi="Arial Narrow"/>
          <w:b/>
          <w:color w:val="FFFFFF"/>
          <w:sz w:val="26"/>
          <w:szCs w:val="22"/>
        </w:rPr>
        <w:tab/>
        <w:t xml:space="preserve">Νομικά </w:t>
      </w:r>
      <w:r w:rsidR="00586A5F" w:rsidRPr="0063065A">
        <w:rPr>
          <w:rFonts w:ascii="Arial Narrow" w:hAnsi="Arial Narrow"/>
          <w:b/>
          <w:color w:val="FFFFFF"/>
          <w:sz w:val="26"/>
          <w:szCs w:val="22"/>
        </w:rPr>
        <w:t xml:space="preserve">Πρόσωπα </w:t>
      </w:r>
      <w:r w:rsidR="00F46C27">
        <w:rPr>
          <w:rFonts w:ascii="Arial Narrow" w:hAnsi="Arial Narrow"/>
          <w:b/>
          <w:color w:val="FFFFFF"/>
          <w:sz w:val="26"/>
          <w:szCs w:val="22"/>
        </w:rPr>
        <w:t>πλην ΔΕΚΟ</w:t>
      </w:r>
      <w:r w:rsidR="00F46C27">
        <w:rPr>
          <w:rFonts w:ascii="Arial Narrow" w:hAnsi="Arial Narrow"/>
          <w:b/>
          <w:color w:val="FFFFFF"/>
          <w:sz w:val="26"/>
          <w:szCs w:val="22"/>
        </w:rPr>
        <w:tab/>
      </w:r>
    </w:p>
    <w:p w:rsidR="005B36EA" w:rsidRPr="0063065A" w:rsidRDefault="005B36EA" w:rsidP="005B36EA">
      <w:pPr>
        <w:jc w:val="both"/>
        <w:rPr>
          <w:b/>
          <w:sz w:val="22"/>
          <w:szCs w:val="22"/>
        </w:rPr>
      </w:pPr>
    </w:p>
    <w:p w:rsidR="007921AC" w:rsidRPr="00045F21" w:rsidRDefault="007921AC" w:rsidP="007921AC">
      <w:pPr>
        <w:jc w:val="both"/>
        <w:rPr>
          <w:sz w:val="22"/>
          <w:szCs w:val="22"/>
        </w:rPr>
      </w:pPr>
      <w:r w:rsidRPr="00045F21">
        <w:rPr>
          <w:sz w:val="22"/>
          <w:szCs w:val="22"/>
        </w:rPr>
        <w:t xml:space="preserve">Ο προϋπολογισμός των </w:t>
      </w:r>
      <w:r w:rsidR="00F46C27">
        <w:rPr>
          <w:sz w:val="22"/>
          <w:szCs w:val="22"/>
        </w:rPr>
        <w:t xml:space="preserve">λοιπών </w:t>
      </w:r>
      <w:r w:rsidRPr="00045F21">
        <w:rPr>
          <w:sz w:val="22"/>
          <w:szCs w:val="22"/>
        </w:rPr>
        <w:t>νομικών προσώπων</w:t>
      </w:r>
      <w:r>
        <w:rPr>
          <w:sz w:val="22"/>
          <w:szCs w:val="22"/>
        </w:rPr>
        <w:t xml:space="preserve"> </w:t>
      </w:r>
      <w:r w:rsidR="00F46C27">
        <w:rPr>
          <w:sz w:val="22"/>
          <w:szCs w:val="22"/>
        </w:rPr>
        <w:t xml:space="preserve">της </w:t>
      </w:r>
      <w:r>
        <w:rPr>
          <w:sz w:val="22"/>
          <w:szCs w:val="22"/>
        </w:rPr>
        <w:t>Γενικής Κυβέρνησης</w:t>
      </w:r>
      <w:r w:rsidR="00F46C27">
        <w:rPr>
          <w:sz w:val="22"/>
          <w:szCs w:val="22"/>
        </w:rPr>
        <w:t xml:space="preserve"> πλην ΔΕΚΟ </w:t>
      </w:r>
      <w:r>
        <w:rPr>
          <w:sz w:val="22"/>
          <w:szCs w:val="22"/>
        </w:rPr>
        <w:t>απεικονίζ</w:t>
      </w:r>
      <w:r w:rsidR="00F46C27">
        <w:rPr>
          <w:sz w:val="22"/>
          <w:szCs w:val="22"/>
        </w:rPr>
        <w:t>ε</w:t>
      </w:r>
      <w:r w:rsidRPr="00915302">
        <w:rPr>
          <w:sz w:val="22"/>
          <w:szCs w:val="22"/>
        </w:rPr>
        <w:t>ται στους πίνακες 3</w:t>
      </w:r>
      <w:r w:rsidR="00F8198D" w:rsidRPr="00915302">
        <w:rPr>
          <w:sz w:val="22"/>
          <w:szCs w:val="22"/>
        </w:rPr>
        <w:t>.17</w:t>
      </w:r>
      <w:r w:rsidR="00F46C27" w:rsidRPr="00915302">
        <w:rPr>
          <w:sz w:val="22"/>
          <w:szCs w:val="22"/>
        </w:rPr>
        <w:t>, 3</w:t>
      </w:r>
      <w:r w:rsidR="00F8198D" w:rsidRPr="00915302">
        <w:rPr>
          <w:sz w:val="22"/>
          <w:szCs w:val="22"/>
        </w:rPr>
        <w:t>.18</w:t>
      </w:r>
      <w:r w:rsidR="00F46C27" w:rsidRPr="00915302">
        <w:rPr>
          <w:sz w:val="22"/>
          <w:szCs w:val="22"/>
        </w:rPr>
        <w:t>, 3</w:t>
      </w:r>
      <w:r w:rsidR="00F8198D" w:rsidRPr="00915302">
        <w:rPr>
          <w:sz w:val="22"/>
          <w:szCs w:val="22"/>
        </w:rPr>
        <w:t>.19</w:t>
      </w:r>
      <w:r w:rsidRPr="00915302">
        <w:rPr>
          <w:sz w:val="22"/>
          <w:szCs w:val="22"/>
        </w:rPr>
        <w:t xml:space="preserve"> και 3</w:t>
      </w:r>
      <w:r w:rsidR="00F8198D" w:rsidRPr="00915302">
        <w:rPr>
          <w:sz w:val="22"/>
          <w:szCs w:val="22"/>
        </w:rPr>
        <w:t>.20</w:t>
      </w:r>
    </w:p>
    <w:p w:rsidR="007921AC" w:rsidRDefault="007921AC" w:rsidP="007921AC">
      <w:pPr>
        <w:jc w:val="both"/>
        <w:rPr>
          <w:b/>
          <w:sz w:val="22"/>
          <w:szCs w:val="22"/>
        </w:rPr>
      </w:pPr>
    </w:p>
    <w:p w:rsidR="007921AC" w:rsidRPr="0063065A" w:rsidRDefault="007921AC" w:rsidP="007921AC">
      <w:pPr>
        <w:jc w:val="both"/>
        <w:rPr>
          <w:b/>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4882"/>
        <w:gridCol w:w="1934"/>
        <w:gridCol w:w="1934"/>
      </w:tblGrid>
      <w:tr w:rsidR="007921AC" w:rsidRPr="00E820AC" w:rsidTr="007921AC">
        <w:trPr>
          <w:trHeight w:val="887"/>
          <w:jc w:val="center"/>
        </w:trPr>
        <w:tc>
          <w:tcPr>
            <w:tcW w:w="8750" w:type="dxa"/>
            <w:gridSpan w:val="3"/>
            <w:tcBorders>
              <w:top w:val="single" w:sz="6" w:space="0" w:color="auto"/>
              <w:left w:val="single" w:sz="6" w:space="0" w:color="auto"/>
              <w:bottom w:val="nil"/>
              <w:right w:val="single" w:sz="6" w:space="0" w:color="auto"/>
            </w:tcBorders>
            <w:shd w:val="clear" w:color="auto" w:fill="404040" w:themeFill="text1" w:themeFillTint="BF"/>
          </w:tcPr>
          <w:p w:rsidR="007921AC" w:rsidRPr="007921AC" w:rsidRDefault="00F8198D" w:rsidP="0030661C">
            <w:pPr>
              <w:autoSpaceDE w:val="0"/>
              <w:autoSpaceDN w:val="0"/>
              <w:adjustRightInd w:val="0"/>
              <w:jc w:val="center"/>
              <w:rPr>
                <w:rFonts w:ascii="Arial Narrow" w:eastAsiaTheme="minorHAnsi" w:hAnsi="Arial Narrow" w:cs="Calibri"/>
                <w:b/>
                <w:color w:val="FFFFFF"/>
                <w:szCs w:val="28"/>
                <w:lang w:eastAsia="en-US"/>
              </w:rPr>
            </w:pPr>
            <w:r>
              <w:rPr>
                <w:rFonts w:ascii="Arial Narrow" w:eastAsiaTheme="minorHAnsi" w:hAnsi="Arial Narrow" w:cs="Calibri"/>
                <w:b/>
                <w:color w:val="FFFFFF"/>
                <w:szCs w:val="28"/>
                <w:lang w:eastAsia="en-US"/>
              </w:rPr>
              <w:t>Πίνακας 3.17</w:t>
            </w:r>
            <w:r w:rsidR="007921AC" w:rsidRPr="007921AC">
              <w:rPr>
                <w:rFonts w:ascii="Arial Narrow" w:eastAsiaTheme="minorHAnsi" w:hAnsi="Arial Narrow" w:cs="Calibri"/>
                <w:b/>
                <w:color w:val="FFFFFF"/>
                <w:szCs w:val="28"/>
                <w:lang w:eastAsia="en-US"/>
              </w:rPr>
              <w:t xml:space="preserve"> Ενοποιημένος Προϋπολογισμός νομικών προσώπων</w:t>
            </w:r>
          </w:p>
          <w:p w:rsidR="007921AC" w:rsidRPr="007921AC" w:rsidRDefault="007921AC" w:rsidP="0030661C">
            <w:pPr>
              <w:autoSpaceDE w:val="0"/>
              <w:autoSpaceDN w:val="0"/>
              <w:adjustRightInd w:val="0"/>
              <w:jc w:val="center"/>
              <w:rPr>
                <w:rFonts w:ascii="Arial Narrow" w:eastAsiaTheme="minorHAnsi" w:hAnsi="Arial Narrow" w:cs="Calibri"/>
                <w:b/>
                <w:color w:val="FFFFFF"/>
                <w:szCs w:val="28"/>
                <w:lang w:eastAsia="en-US"/>
              </w:rPr>
            </w:pPr>
            <w:r w:rsidRPr="007921AC">
              <w:rPr>
                <w:rFonts w:ascii="Arial Narrow" w:eastAsiaTheme="minorHAnsi" w:hAnsi="Arial Narrow" w:cs="Calibri"/>
                <w:b/>
                <w:color w:val="FFFFFF"/>
                <w:szCs w:val="28"/>
                <w:lang w:eastAsia="en-US"/>
              </w:rPr>
              <w:t xml:space="preserve">Γενικής Κυβέρνησης (περιλαμβάνονται </w:t>
            </w:r>
            <w:r w:rsidR="00485DB7">
              <w:rPr>
                <w:rFonts w:ascii="Arial Narrow" w:eastAsiaTheme="minorHAnsi" w:hAnsi="Arial Narrow" w:cs="Calibri"/>
                <w:b/>
                <w:color w:val="FFFFFF"/>
                <w:szCs w:val="28"/>
                <w:lang w:eastAsia="en-US"/>
              </w:rPr>
              <w:t xml:space="preserve">οι </w:t>
            </w:r>
            <w:r w:rsidRPr="007921AC">
              <w:rPr>
                <w:rFonts w:ascii="Arial Narrow" w:eastAsiaTheme="minorHAnsi" w:hAnsi="Arial Narrow" w:cs="Calibri"/>
                <w:b/>
                <w:color w:val="FFFFFF"/>
                <w:szCs w:val="28"/>
                <w:lang w:eastAsia="en-US"/>
              </w:rPr>
              <w:t xml:space="preserve">ΑΔΑ και </w:t>
            </w:r>
            <w:r w:rsidR="00485DB7">
              <w:rPr>
                <w:rFonts w:ascii="Arial Narrow" w:eastAsiaTheme="minorHAnsi" w:hAnsi="Arial Narrow" w:cs="Calibri"/>
                <w:b/>
                <w:color w:val="FFFFFF"/>
                <w:szCs w:val="28"/>
                <w:lang w:eastAsia="en-US"/>
              </w:rPr>
              <w:t xml:space="preserve">το </w:t>
            </w:r>
            <w:r w:rsidRPr="007921AC">
              <w:rPr>
                <w:rFonts w:ascii="Arial Narrow" w:eastAsiaTheme="minorHAnsi" w:hAnsi="Arial Narrow" w:cs="Calibri"/>
                <w:b/>
                <w:color w:val="FFFFFF"/>
                <w:szCs w:val="28"/>
                <w:lang w:eastAsia="en-US"/>
              </w:rPr>
              <w:t>ΑΚΑΓΕ)</w:t>
            </w:r>
          </w:p>
          <w:p w:rsidR="007921AC" w:rsidRPr="007921AC" w:rsidRDefault="007921AC" w:rsidP="0030661C">
            <w:pPr>
              <w:autoSpaceDE w:val="0"/>
              <w:autoSpaceDN w:val="0"/>
              <w:adjustRightInd w:val="0"/>
              <w:jc w:val="center"/>
              <w:rPr>
                <w:rFonts w:ascii="Calibri" w:eastAsiaTheme="minorHAnsi" w:hAnsi="Calibri" w:cs="Calibri"/>
                <w:b/>
                <w:color w:val="FFFFFF"/>
                <w:szCs w:val="28"/>
                <w:lang w:eastAsia="en-US"/>
              </w:rPr>
            </w:pPr>
            <w:r w:rsidRPr="007921AC">
              <w:rPr>
                <w:rFonts w:ascii="Arial Narrow" w:eastAsiaTheme="minorHAnsi" w:hAnsi="Arial Narrow" w:cs="Calibri"/>
                <w:b/>
                <w:color w:val="FFFFFF"/>
                <w:szCs w:val="28"/>
                <w:lang w:eastAsia="en-US"/>
              </w:rPr>
              <w:t>(σε εκατ. ευρώ)</w:t>
            </w:r>
          </w:p>
        </w:tc>
      </w:tr>
      <w:tr w:rsidR="007921AC" w:rsidRPr="00E820AC" w:rsidTr="007921AC">
        <w:trPr>
          <w:trHeight w:val="227"/>
          <w:jc w:val="center"/>
        </w:trPr>
        <w:tc>
          <w:tcPr>
            <w:tcW w:w="4882" w:type="dxa"/>
            <w:tcBorders>
              <w:top w:val="nil"/>
              <w:left w:val="single" w:sz="6" w:space="0" w:color="auto"/>
              <w:bottom w:val="single" w:sz="6" w:space="0" w:color="auto"/>
              <w:right w:val="nil"/>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c>
          <w:tcPr>
            <w:tcW w:w="1934" w:type="dxa"/>
            <w:tcBorders>
              <w:top w:val="nil"/>
              <w:left w:val="nil"/>
              <w:bottom w:val="single" w:sz="6" w:space="0" w:color="auto"/>
              <w:right w:val="nil"/>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c>
          <w:tcPr>
            <w:tcW w:w="1934" w:type="dxa"/>
            <w:tcBorders>
              <w:top w:val="nil"/>
              <w:left w:val="nil"/>
              <w:bottom w:val="single" w:sz="6" w:space="0" w:color="auto"/>
              <w:right w:val="single" w:sz="6" w:space="0" w:color="auto"/>
            </w:tcBorders>
            <w:shd w:val="solid" w:color="FFFFFF" w:fill="auto"/>
          </w:tcPr>
          <w:p w:rsidR="007921AC" w:rsidRPr="00E820AC" w:rsidRDefault="007921AC" w:rsidP="007921AC">
            <w:pPr>
              <w:autoSpaceDE w:val="0"/>
              <w:autoSpaceDN w:val="0"/>
              <w:adjustRightInd w:val="0"/>
              <w:jc w:val="right"/>
              <w:rPr>
                <w:rFonts w:ascii="Calibri" w:eastAsiaTheme="minorHAnsi" w:hAnsi="Calibri" w:cs="Calibri"/>
                <w:color w:val="000000"/>
                <w:sz w:val="22"/>
                <w:szCs w:val="22"/>
                <w:lang w:eastAsia="en-US"/>
              </w:rPr>
            </w:pPr>
          </w:p>
        </w:tc>
      </w:tr>
      <w:tr w:rsidR="007921AC" w:rsidRPr="00E820AC" w:rsidTr="007921AC">
        <w:trPr>
          <w:trHeight w:val="227"/>
          <w:jc w:val="center"/>
        </w:trPr>
        <w:tc>
          <w:tcPr>
            <w:tcW w:w="4882" w:type="dxa"/>
            <w:tcBorders>
              <w:top w:val="single" w:sz="6" w:space="0" w:color="auto"/>
              <w:left w:val="single" w:sz="6" w:space="0" w:color="auto"/>
              <w:bottom w:val="nil"/>
              <w:right w:val="single" w:sz="6" w:space="0" w:color="auto"/>
            </w:tcBorders>
            <w:vAlign w:val="center"/>
          </w:tcPr>
          <w:p w:rsidR="007921AC" w:rsidRDefault="007921AC" w:rsidP="007921AC">
            <w:pPr>
              <w:rPr>
                <w:rFonts w:ascii="Arial Greek" w:hAnsi="Arial Greek" w:cs="Arial Greek"/>
                <w:b/>
                <w:bCs/>
                <w:sz w:val="16"/>
                <w:szCs w:val="16"/>
              </w:rPr>
            </w:pPr>
            <w:r>
              <w:rPr>
                <w:rFonts w:ascii="Arial Greek" w:hAnsi="Arial Greek" w:cs="Arial Greek"/>
                <w:b/>
                <w:bCs/>
                <w:sz w:val="16"/>
                <w:szCs w:val="16"/>
              </w:rPr>
              <w:t> </w:t>
            </w:r>
          </w:p>
        </w:tc>
        <w:tc>
          <w:tcPr>
            <w:tcW w:w="1934" w:type="dxa"/>
            <w:tcBorders>
              <w:top w:val="single" w:sz="6" w:space="0" w:color="auto"/>
              <w:left w:val="single" w:sz="6" w:space="0" w:color="auto"/>
              <w:bottom w:val="single" w:sz="6" w:space="0" w:color="auto"/>
              <w:right w:val="single" w:sz="6" w:space="0" w:color="auto"/>
            </w:tcBorders>
            <w:vAlign w:val="bottom"/>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201</w:t>
            </w:r>
            <w:r w:rsidR="003001D6">
              <w:rPr>
                <w:rFonts w:ascii="Arial Narrow" w:hAnsi="Arial Narrow"/>
                <w:b/>
                <w:bCs/>
                <w:color w:val="000000"/>
                <w:sz w:val="16"/>
                <w:szCs w:val="16"/>
              </w:rPr>
              <w:t>7</w:t>
            </w:r>
          </w:p>
        </w:tc>
        <w:tc>
          <w:tcPr>
            <w:tcW w:w="1934" w:type="dxa"/>
            <w:tcBorders>
              <w:top w:val="single" w:sz="6" w:space="0" w:color="auto"/>
              <w:left w:val="single" w:sz="6" w:space="0" w:color="auto"/>
              <w:bottom w:val="single" w:sz="6" w:space="0" w:color="auto"/>
              <w:right w:val="single" w:sz="6" w:space="0" w:color="auto"/>
            </w:tcBorders>
            <w:vAlign w:val="bottom"/>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201</w:t>
            </w:r>
            <w:r w:rsidR="003001D6">
              <w:rPr>
                <w:rFonts w:ascii="Arial Narrow" w:hAnsi="Arial Narrow"/>
                <w:b/>
                <w:bCs/>
                <w:color w:val="000000"/>
                <w:sz w:val="16"/>
                <w:szCs w:val="16"/>
              </w:rPr>
              <w:t>8</w:t>
            </w:r>
          </w:p>
        </w:tc>
      </w:tr>
      <w:tr w:rsidR="007921AC" w:rsidRPr="00E820AC" w:rsidTr="007921AC">
        <w:trPr>
          <w:trHeight w:val="227"/>
          <w:jc w:val="center"/>
        </w:trPr>
        <w:tc>
          <w:tcPr>
            <w:tcW w:w="4882" w:type="dxa"/>
            <w:tcBorders>
              <w:top w:val="nil"/>
              <w:left w:val="single" w:sz="6" w:space="0" w:color="auto"/>
              <w:bottom w:val="single" w:sz="6" w:space="0" w:color="auto"/>
              <w:right w:val="single" w:sz="6" w:space="0" w:color="auto"/>
            </w:tcBorders>
            <w:vAlign w:val="center"/>
          </w:tcPr>
          <w:p w:rsidR="007921AC" w:rsidRDefault="007921AC" w:rsidP="007921AC">
            <w:pPr>
              <w:rPr>
                <w:rFonts w:ascii="Arial Greek" w:hAnsi="Arial Greek" w:cs="Arial Greek"/>
                <w:b/>
                <w:bCs/>
                <w:sz w:val="16"/>
                <w:szCs w:val="16"/>
              </w:rPr>
            </w:pPr>
            <w:r>
              <w:rPr>
                <w:rFonts w:ascii="Arial Greek" w:hAnsi="Arial Greek" w:cs="Arial Greek"/>
                <w:b/>
                <w:bCs/>
                <w:sz w:val="16"/>
                <w:szCs w:val="16"/>
              </w:rPr>
              <w:t> </w:t>
            </w:r>
          </w:p>
        </w:tc>
        <w:tc>
          <w:tcPr>
            <w:tcW w:w="1934" w:type="dxa"/>
            <w:tcBorders>
              <w:top w:val="single" w:sz="6" w:space="0" w:color="auto"/>
              <w:left w:val="single" w:sz="6" w:space="0" w:color="auto"/>
              <w:bottom w:val="single" w:sz="6" w:space="0" w:color="auto"/>
              <w:right w:val="single" w:sz="6" w:space="0" w:color="auto"/>
            </w:tcBorders>
            <w:vAlign w:val="center"/>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Εκτιμήσεις</w:t>
            </w:r>
          </w:p>
        </w:tc>
        <w:tc>
          <w:tcPr>
            <w:tcW w:w="1934" w:type="dxa"/>
            <w:tcBorders>
              <w:top w:val="single" w:sz="6" w:space="0" w:color="auto"/>
              <w:left w:val="single" w:sz="6" w:space="0" w:color="auto"/>
              <w:bottom w:val="single" w:sz="6" w:space="0" w:color="auto"/>
              <w:right w:val="single" w:sz="6" w:space="0" w:color="auto"/>
            </w:tcBorders>
            <w:vAlign w:val="center"/>
          </w:tcPr>
          <w:p w:rsidR="007921AC" w:rsidRDefault="007921AC" w:rsidP="007921AC">
            <w:pPr>
              <w:jc w:val="center"/>
              <w:rPr>
                <w:rFonts w:ascii="Arial Narrow" w:hAnsi="Arial Narrow"/>
                <w:b/>
                <w:bCs/>
                <w:color w:val="000000"/>
                <w:sz w:val="16"/>
                <w:szCs w:val="16"/>
              </w:rPr>
            </w:pPr>
            <w:r>
              <w:rPr>
                <w:rFonts w:ascii="Arial Narrow" w:hAnsi="Arial Narrow"/>
                <w:b/>
                <w:bCs/>
                <w:color w:val="000000"/>
                <w:sz w:val="16"/>
                <w:szCs w:val="16"/>
              </w:rPr>
              <w:t>Προβλέψεις</w:t>
            </w:r>
          </w:p>
        </w:tc>
      </w:tr>
      <w:tr w:rsidR="003001D6" w:rsidRPr="00E820AC" w:rsidTr="007921AC">
        <w:trPr>
          <w:trHeight w:val="227"/>
          <w:jc w:val="center"/>
        </w:trPr>
        <w:tc>
          <w:tcPr>
            <w:tcW w:w="4882" w:type="dxa"/>
            <w:tcBorders>
              <w:top w:val="single" w:sz="6" w:space="0" w:color="auto"/>
              <w:left w:val="single" w:sz="6" w:space="0" w:color="auto"/>
              <w:bottom w:val="nil"/>
              <w:right w:val="nil"/>
            </w:tcBorders>
            <w:shd w:val="solid" w:color="C0C0C0" w:fill="auto"/>
            <w:vAlign w:val="center"/>
          </w:tcPr>
          <w:p w:rsidR="003001D6" w:rsidRDefault="003001D6" w:rsidP="007921AC">
            <w:pPr>
              <w:rPr>
                <w:rFonts w:ascii="Arial Narrow" w:hAnsi="Arial Narrow"/>
                <w:b/>
                <w:bCs/>
                <w:sz w:val="16"/>
                <w:szCs w:val="16"/>
              </w:rPr>
            </w:pPr>
            <w:r>
              <w:rPr>
                <w:rFonts w:ascii="Arial Narrow" w:hAnsi="Arial Narrow"/>
                <w:b/>
                <w:bCs/>
                <w:sz w:val="16"/>
                <w:szCs w:val="16"/>
              </w:rPr>
              <w:t>Έσοδα (ΝΠ και ΑΔΑ)</w:t>
            </w:r>
          </w:p>
        </w:tc>
        <w:tc>
          <w:tcPr>
            <w:tcW w:w="1934" w:type="dxa"/>
            <w:tcBorders>
              <w:top w:val="single" w:sz="6" w:space="0" w:color="auto"/>
              <w:left w:val="nil"/>
              <w:bottom w:val="nil"/>
              <w:right w:val="nil"/>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4.382</w:t>
            </w:r>
          </w:p>
        </w:tc>
        <w:tc>
          <w:tcPr>
            <w:tcW w:w="1934" w:type="dxa"/>
            <w:tcBorders>
              <w:top w:val="single" w:sz="6" w:space="0" w:color="auto"/>
              <w:left w:val="nil"/>
              <w:bottom w:val="nil"/>
              <w:right w:val="single" w:sz="6" w:space="0" w:color="auto"/>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4.178</w:t>
            </w:r>
          </w:p>
        </w:tc>
      </w:tr>
      <w:tr w:rsidR="003001D6"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3001D6" w:rsidRDefault="003001D6" w:rsidP="007921AC">
            <w:pPr>
              <w:rPr>
                <w:rFonts w:ascii="Arial Narrow" w:hAnsi="Arial Narrow"/>
                <w:sz w:val="16"/>
                <w:szCs w:val="16"/>
              </w:rPr>
            </w:pPr>
            <w:r>
              <w:rPr>
                <w:rFonts w:ascii="Arial Narrow" w:hAnsi="Arial Narrow"/>
                <w:sz w:val="16"/>
                <w:szCs w:val="16"/>
              </w:rPr>
              <w:t>Έσοδα υπέρ τρίτων</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62</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75</w:t>
            </w:r>
          </w:p>
        </w:tc>
      </w:tr>
      <w:tr w:rsidR="003001D6"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3001D6" w:rsidRDefault="003001D6" w:rsidP="007921AC">
            <w:pPr>
              <w:rPr>
                <w:rFonts w:ascii="Arial Narrow" w:hAnsi="Arial Narrow"/>
                <w:sz w:val="16"/>
                <w:szCs w:val="16"/>
              </w:rPr>
            </w:pPr>
            <w:r>
              <w:rPr>
                <w:rFonts w:ascii="Arial Narrow" w:hAnsi="Arial Narrow"/>
                <w:sz w:val="16"/>
                <w:szCs w:val="16"/>
              </w:rPr>
              <w:t>Πωλήσεις</w:t>
            </w:r>
          </w:p>
        </w:tc>
        <w:tc>
          <w:tcPr>
            <w:tcW w:w="1934" w:type="dxa"/>
            <w:tcBorders>
              <w:top w:val="nil"/>
              <w:left w:val="nil"/>
              <w:bottom w:val="nil"/>
              <w:right w:val="nil"/>
            </w:tcBorders>
            <w:shd w:val="solid" w:color="FFFFFF" w:fill="auto"/>
            <w:vAlign w:val="center"/>
          </w:tcPr>
          <w:p w:rsidR="003001D6" w:rsidRDefault="00080048" w:rsidP="003001D6">
            <w:pPr>
              <w:ind w:right="709"/>
              <w:jc w:val="right"/>
              <w:rPr>
                <w:rFonts w:ascii="Arial Narrow" w:hAnsi="Arial Narrow"/>
                <w:color w:val="000000"/>
                <w:sz w:val="16"/>
                <w:szCs w:val="16"/>
              </w:rPr>
            </w:pPr>
            <w:r>
              <w:rPr>
                <w:rFonts w:ascii="Arial Narrow" w:hAnsi="Arial Narrow"/>
                <w:color w:val="000000"/>
                <w:sz w:val="16"/>
                <w:szCs w:val="16"/>
              </w:rPr>
              <w:t>424</w:t>
            </w:r>
          </w:p>
        </w:tc>
        <w:tc>
          <w:tcPr>
            <w:tcW w:w="1934" w:type="dxa"/>
            <w:tcBorders>
              <w:top w:val="nil"/>
              <w:left w:val="nil"/>
              <w:bottom w:val="nil"/>
              <w:right w:val="single" w:sz="6" w:space="0" w:color="auto"/>
            </w:tcBorders>
            <w:shd w:val="solid" w:color="FFFFFF" w:fill="auto"/>
            <w:vAlign w:val="center"/>
          </w:tcPr>
          <w:p w:rsidR="003001D6" w:rsidRDefault="00080048" w:rsidP="003001D6">
            <w:pPr>
              <w:ind w:right="709"/>
              <w:jc w:val="right"/>
              <w:rPr>
                <w:rFonts w:ascii="Arial Narrow" w:hAnsi="Arial Narrow"/>
                <w:color w:val="000000"/>
                <w:sz w:val="16"/>
                <w:szCs w:val="16"/>
              </w:rPr>
            </w:pPr>
            <w:r>
              <w:rPr>
                <w:rFonts w:ascii="Arial Narrow" w:hAnsi="Arial Narrow"/>
                <w:color w:val="000000"/>
                <w:sz w:val="16"/>
                <w:szCs w:val="16"/>
              </w:rPr>
              <w:t>448</w:t>
            </w:r>
          </w:p>
        </w:tc>
      </w:tr>
      <w:tr w:rsidR="003001D6"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3001D6" w:rsidRDefault="003001D6" w:rsidP="007921AC">
            <w:pPr>
              <w:rPr>
                <w:rFonts w:ascii="Arial Narrow" w:hAnsi="Arial Narrow"/>
                <w:sz w:val="16"/>
                <w:szCs w:val="16"/>
              </w:rPr>
            </w:pPr>
            <w:r>
              <w:rPr>
                <w:rFonts w:ascii="Arial Narrow" w:hAnsi="Arial Narrow"/>
                <w:sz w:val="16"/>
                <w:szCs w:val="16"/>
              </w:rPr>
              <w:t>Έσοδα από τόκους</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452</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353</w:t>
            </w:r>
          </w:p>
        </w:tc>
      </w:tr>
      <w:tr w:rsidR="003001D6"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3001D6" w:rsidRDefault="003001D6" w:rsidP="007921AC">
            <w:pPr>
              <w:rPr>
                <w:rFonts w:ascii="Arial Narrow" w:hAnsi="Arial Narrow"/>
                <w:sz w:val="16"/>
                <w:szCs w:val="16"/>
              </w:rPr>
            </w:pPr>
            <w:r>
              <w:rPr>
                <w:rFonts w:ascii="Arial Narrow" w:hAnsi="Arial Narrow"/>
                <w:sz w:val="16"/>
                <w:szCs w:val="16"/>
              </w:rPr>
              <w:t>Μεταβιβάσεις από Τακτικό Προϋπολογισμό</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756</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683</w:t>
            </w:r>
          </w:p>
        </w:tc>
      </w:tr>
      <w:tr w:rsidR="003001D6"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3001D6" w:rsidRDefault="003001D6" w:rsidP="007921AC">
            <w:pPr>
              <w:rPr>
                <w:rFonts w:ascii="Arial Narrow" w:hAnsi="Arial Narrow"/>
                <w:sz w:val="16"/>
                <w:szCs w:val="16"/>
              </w:rPr>
            </w:pPr>
            <w:r>
              <w:rPr>
                <w:rFonts w:ascii="Arial Narrow" w:hAnsi="Arial Narrow"/>
                <w:sz w:val="16"/>
                <w:szCs w:val="16"/>
              </w:rPr>
              <w:t>Μεταβιβάσεις από ΠΔΕ</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301</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422</w:t>
            </w:r>
          </w:p>
        </w:tc>
      </w:tr>
      <w:tr w:rsidR="003001D6"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3001D6" w:rsidRDefault="003001D6" w:rsidP="007921AC">
            <w:pPr>
              <w:rPr>
                <w:rFonts w:ascii="Arial Narrow" w:hAnsi="Arial Narrow"/>
                <w:sz w:val="16"/>
                <w:szCs w:val="16"/>
              </w:rPr>
            </w:pPr>
            <w:r>
              <w:rPr>
                <w:rFonts w:ascii="Arial Narrow" w:hAnsi="Arial Narrow"/>
                <w:sz w:val="16"/>
                <w:szCs w:val="16"/>
              </w:rPr>
              <w:t>Λοιπά έσοδα</w:t>
            </w:r>
          </w:p>
        </w:tc>
        <w:tc>
          <w:tcPr>
            <w:tcW w:w="1934" w:type="dxa"/>
            <w:tcBorders>
              <w:top w:val="nil"/>
              <w:left w:val="nil"/>
              <w:bottom w:val="nil"/>
              <w:right w:val="nil"/>
            </w:tcBorders>
            <w:shd w:val="solid" w:color="FFFFFF" w:fill="auto"/>
            <w:vAlign w:val="center"/>
          </w:tcPr>
          <w:p w:rsidR="003001D6" w:rsidRDefault="003001D6" w:rsidP="00080048">
            <w:pPr>
              <w:ind w:right="709"/>
              <w:jc w:val="right"/>
              <w:rPr>
                <w:rFonts w:ascii="Arial Narrow" w:hAnsi="Arial Narrow"/>
                <w:color w:val="000000"/>
                <w:sz w:val="16"/>
                <w:szCs w:val="16"/>
              </w:rPr>
            </w:pPr>
            <w:r>
              <w:rPr>
                <w:rFonts w:ascii="Arial Narrow" w:hAnsi="Arial Narrow"/>
                <w:color w:val="000000"/>
                <w:sz w:val="16"/>
                <w:szCs w:val="16"/>
              </w:rPr>
              <w:t>2.</w:t>
            </w:r>
            <w:r w:rsidR="00080048">
              <w:rPr>
                <w:rFonts w:ascii="Arial Narrow" w:hAnsi="Arial Narrow"/>
                <w:color w:val="000000"/>
                <w:sz w:val="16"/>
                <w:szCs w:val="16"/>
              </w:rPr>
              <w:t>387</w:t>
            </w:r>
          </w:p>
        </w:tc>
        <w:tc>
          <w:tcPr>
            <w:tcW w:w="1934" w:type="dxa"/>
            <w:tcBorders>
              <w:top w:val="nil"/>
              <w:left w:val="nil"/>
              <w:bottom w:val="nil"/>
              <w:right w:val="single" w:sz="6" w:space="0" w:color="auto"/>
            </w:tcBorders>
            <w:shd w:val="solid" w:color="FFFFFF" w:fill="auto"/>
            <w:vAlign w:val="center"/>
          </w:tcPr>
          <w:p w:rsidR="003001D6" w:rsidRDefault="00080048" w:rsidP="003001D6">
            <w:pPr>
              <w:ind w:right="709"/>
              <w:jc w:val="right"/>
              <w:rPr>
                <w:rFonts w:ascii="Arial Narrow" w:hAnsi="Arial Narrow"/>
                <w:color w:val="000000"/>
                <w:sz w:val="16"/>
                <w:szCs w:val="16"/>
              </w:rPr>
            </w:pPr>
            <w:r>
              <w:rPr>
                <w:rFonts w:ascii="Arial Narrow" w:hAnsi="Arial Narrow"/>
                <w:color w:val="000000"/>
                <w:sz w:val="16"/>
                <w:szCs w:val="16"/>
              </w:rPr>
              <w:t>2.197</w:t>
            </w:r>
          </w:p>
        </w:tc>
      </w:tr>
      <w:tr w:rsidR="003001D6"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3001D6" w:rsidRDefault="003001D6" w:rsidP="007921AC">
            <w:pPr>
              <w:rPr>
                <w:rFonts w:ascii="Arial Narrow" w:hAnsi="Arial Narrow"/>
                <w:b/>
                <w:bCs/>
                <w:sz w:val="16"/>
                <w:szCs w:val="16"/>
              </w:rPr>
            </w:pPr>
            <w:r>
              <w:rPr>
                <w:rFonts w:ascii="Arial Narrow" w:hAnsi="Arial Narrow"/>
                <w:b/>
                <w:bCs/>
                <w:sz w:val="16"/>
                <w:szCs w:val="16"/>
              </w:rPr>
              <w:t>Δαπάνες (ΝΠ και ΑΔΑ)</w:t>
            </w:r>
          </w:p>
        </w:tc>
        <w:tc>
          <w:tcPr>
            <w:tcW w:w="1934" w:type="dxa"/>
            <w:tcBorders>
              <w:top w:val="nil"/>
              <w:left w:val="nil"/>
              <w:bottom w:val="nil"/>
              <w:right w:val="nil"/>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3.519</w:t>
            </w:r>
          </w:p>
        </w:tc>
        <w:tc>
          <w:tcPr>
            <w:tcW w:w="1934" w:type="dxa"/>
            <w:tcBorders>
              <w:top w:val="nil"/>
              <w:left w:val="nil"/>
              <w:bottom w:val="nil"/>
              <w:right w:val="single" w:sz="6" w:space="0" w:color="auto"/>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3.786</w:t>
            </w:r>
          </w:p>
        </w:tc>
      </w:tr>
      <w:tr w:rsidR="003001D6" w:rsidRPr="00E820AC" w:rsidTr="007921AC">
        <w:trPr>
          <w:trHeight w:val="227"/>
          <w:jc w:val="center"/>
        </w:trPr>
        <w:tc>
          <w:tcPr>
            <w:tcW w:w="4882" w:type="dxa"/>
            <w:tcBorders>
              <w:top w:val="nil"/>
              <w:left w:val="single" w:sz="6" w:space="0" w:color="auto"/>
              <w:bottom w:val="nil"/>
              <w:right w:val="nil"/>
            </w:tcBorders>
            <w:shd w:val="solid" w:color="FFFFFF" w:fill="auto"/>
            <w:vAlign w:val="center"/>
          </w:tcPr>
          <w:p w:rsidR="003001D6" w:rsidRDefault="00313AE7" w:rsidP="007921AC">
            <w:pPr>
              <w:rPr>
                <w:rFonts w:ascii="Arial Narrow" w:hAnsi="Arial Narrow"/>
                <w:sz w:val="16"/>
                <w:szCs w:val="16"/>
              </w:rPr>
            </w:pPr>
            <w:r>
              <w:rPr>
                <w:rFonts w:ascii="Arial Narrow" w:hAnsi="Arial Narrow"/>
                <w:sz w:val="16"/>
                <w:szCs w:val="16"/>
              </w:rPr>
              <w:t>Αμοιβές</w:t>
            </w:r>
            <w:r w:rsidR="003001D6">
              <w:rPr>
                <w:rFonts w:ascii="Arial Narrow" w:hAnsi="Arial Narrow"/>
                <w:sz w:val="16"/>
                <w:szCs w:val="16"/>
              </w:rPr>
              <w:t xml:space="preserve"> προσωπικού</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552</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576</w:t>
            </w:r>
          </w:p>
        </w:tc>
      </w:tr>
      <w:tr w:rsidR="003001D6" w:rsidRPr="00E820AC" w:rsidTr="007921AC">
        <w:trPr>
          <w:trHeight w:val="227"/>
          <w:jc w:val="center"/>
        </w:trPr>
        <w:tc>
          <w:tcPr>
            <w:tcW w:w="4882" w:type="dxa"/>
            <w:tcBorders>
              <w:top w:val="nil"/>
              <w:left w:val="single" w:sz="6" w:space="0" w:color="auto"/>
              <w:bottom w:val="nil"/>
              <w:right w:val="nil"/>
            </w:tcBorders>
            <w:vAlign w:val="center"/>
          </w:tcPr>
          <w:p w:rsidR="003001D6" w:rsidRDefault="003001D6" w:rsidP="007921AC">
            <w:pPr>
              <w:rPr>
                <w:rFonts w:ascii="Arial Narrow" w:hAnsi="Arial Narrow"/>
                <w:sz w:val="16"/>
                <w:szCs w:val="16"/>
              </w:rPr>
            </w:pPr>
            <w:r>
              <w:rPr>
                <w:rFonts w:ascii="Arial Narrow" w:hAnsi="Arial Narrow"/>
                <w:sz w:val="16"/>
                <w:szCs w:val="16"/>
              </w:rPr>
              <w:t>Αποδόσεις εσόδων υπέρ τρίτων</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69</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84</w:t>
            </w:r>
          </w:p>
        </w:tc>
      </w:tr>
      <w:tr w:rsidR="003001D6" w:rsidRPr="00E820AC" w:rsidTr="007921AC">
        <w:trPr>
          <w:trHeight w:val="227"/>
          <w:jc w:val="center"/>
        </w:trPr>
        <w:tc>
          <w:tcPr>
            <w:tcW w:w="4882" w:type="dxa"/>
            <w:tcBorders>
              <w:top w:val="nil"/>
              <w:left w:val="single" w:sz="6" w:space="0" w:color="auto"/>
              <w:bottom w:val="nil"/>
              <w:right w:val="nil"/>
            </w:tcBorders>
            <w:vAlign w:val="center"/>
          </w:tcPr>
          <w:p w:rsidR="003001D6" w:rsidRDefault="003001D6" w:rsidP="007921AC">
            <w:pPr>
              <w:rPr>
                <w:rFonts w:ascii="Arial Narrow" w:hAnsi="Arial Narrow"/>
                <w:sz w:val="16"/>
                <w:szCs w:val="16"/>
              </w:rPr>
            </w:pPr>
            <w:r>
              <w:rPr>
                <w:rFonts w:ascii="Arial Narrow" w:hAnsi="Arial Narrow"/>
                <w:sz w:val="16"/>
                <w:szCs w:val="16"/>
              </w:rPr>
              <w:t>Λοιπές μεταβιβάσεις</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224</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170</w:t>
            </w:r>
          </w:p>
        </w:tc>
      </w:tr>
      <w:tr w:rsidR="003001D6" w:rsidRPr="00E820AC" w:rsidTr="007921AC">
        <w:trPr>
          <w:trHeight w:val="227"/>
          <w:jc w:val="center"/>
        </w:trPr>
        <w:tc>
          <w:tcPr>
            <w:tcW w:w="4882" w:type="dxa"/>
            <w:tcBorders>
              <w:top w:val="nil"/>
              <w:left w:val="single" w:sz="6" w:space="0" w:color="auto"/>
              <w:bottom w:val="nil"/>
              <w:right w:val="nil"/>
            </w:tcBorders>
            <w:vAlign w:val="center"/>
          </w:tcPr>
          <w:p w:rsidR="003001D6" w:rsidRDefault="003001D6" w:rsidP="007921AC">
            <w:pPr>
              <w:rPr>
                <w:rFonts w:ascii="Arial Narrow" w:hAnsi="Arial Narrow"/>
                <w:sz w:val="16"/>
                <w:szCs w:val="16"/>
              </w:rPr>
            </w:pPr>
            <w:r>
              <w:rPr>
                <w:rFonts w:ascii="Arial Narrow" w:hAnsi="Arial Narrow"/>
                <w:sz w:val="16"/>
                <w:szCs w:val="16"/>
              </w:rPr>
              <w:t>Τόκοι</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135</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131</w:t>
            </w:r>
          </w:p>
        </w:tc>
      </w:tr>
      <w:tr w:rsidR="003001D6" w:rsidRPr="00E820AC" w:rsidTr="007921AC">
        <w:trPr>
          <w:trHeight w:val="227"/>
          <w:jc w:val="center"/>
        </w:trPr>
        <w:tc>
          <w:tcPr>
            <w:tcW w:w="4882" w:type="dxa"/>
            <w:tcBorders>
              <w:top w:val="nil"/>
              <w:left w:val="single" w:sz="6" w:space="0" w:color="auto"/>
              <w:bottom w:val="nil"/>
              <w:right w:val="nil"/>
            </w:tcBorders>
            <w:vAlign w:val="center"/>
          </w:tcPr>
          <w:p w:rsidR="003001D6" w:rsidRDefault="003001D6" w:rsidP="007921AC">
            <w:pPr>
              <w:rPr>
                <w:rFonts w:ascii="Arial Narrow" w:hAnsi="Arial Narrow"/>
                <w:sz w:val="16"/>
                <w:szCs w:val="16"/>
              </w:rPr>
            </w:pPr>
            <w:r>
              <w:rPr>
                <w:rFonts w:ascii="Arial Narrow" w:hAnsi="Arial Narrow"/>
                <w:sz w:val="16"/>
                <w:szCs w:val="16"/>
              </w:rPr>
              <w:t>Δαπάνες επενδύσεων</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325</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494</w:t>
            </w:r>
          </w:p>
        </w:tc>
      </w:tr>
      <w:tr w:rsidR="003001D6" w:rsidRPr="00E820AC" w:rsidTr="007921AC">
        <w:trPr>
          <w:trHeight w:val="227"/>
          <w:jc w:val="center"/>
        </w:trPr>
        <w:tc>
          <w:tcPr>
            <w:tcW w:w="4882" w:type="dxa"/>
            <w:tcBorders>
              <w:top w:val="nil"/>
              <w:left w:val="single" w:sz="6" w:space="0" w:color="auto"/>
              <w:bottom w:val="nil"/>
              <w:right w:val="nil"/>
            </w:tcBorders>
            <w:vAlign w:val="center"/>
          </w:tcPr>
          <w:p w:rsidR="003001D6" w:rsidRDefault="003001D6" w:rsidP="007921AC">
            <w:pPr>
              <w:rPr>
                <w:rFonts w:ascii="Arial Narrow" w:hAnsi="Arial Narrow"/>
                <w:sz w:val="16"/>
                <w:szCs w:val="16"/>
              </w:rPr>
            </w:pPr>
            <w:r>
              <w:rPr>
                <w:rFonts w:ascii="Arial Narrow" w:hAnsi="Arial Narrow"/>
                <w:sz w:val="16"/>
                <w:szCs w:val="16"/>
              </w:rPr>
              <w:t>Λοιπές δαπάνες</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2.214</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2.330</w:t>
            </w:r>
          </w:p>
        </w:tc>
      </w:tr>
      <w:tr w:rsidR="003001D6"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3001D6" w:rsidRDefault="003001D6" w:rsidP="007921AC">
            <w:pPr>
              <w:rPr>
                <w:rFonts w:ascii="Arial Narrow" w:hAnsi="Arial Narrow"/>
                <w:b/>
                <w:bCs/>
                <w:sz w:val="16"/>
                <w:szCs w:val="16"/>
              </w:rPr>
            </w:pPr>
            <w:r>
              <w:rPr>
                <w:rFonts w:ascii="Arial Narrow" w:hAnsi="Arial Narrow"/>
                <w:b/>
                <w:bCs/>
                <w:sz w:val="16"/>
                <w:szCs w:val="16"/>
              </w:rPr>
              <w:t>Ισοζύγιο (ΝΠ και ΑΔΑ)</w:t>
            </w:r>
          </w:p>
        </w:tc>
        <w:tc>
          <w:tcPr>
            <w:tcW w:w="1934" w:type="dxa"/>
            <w:tcBorders>
              <w:top w:val="nil"/>
              <w:left w:val="nil"/>
              <w:bottom w:val="nil"/>
              <w:right w:val="nil"/>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863</w:t>
            </w:r>
          </w:p>
        </w:tc>
        <w:tc>
          <w:tcPr>
            <w:tcW w:w="1934" w:type="dxa"/>
            <w:tcBorders>
              <w:top w:val="nil"/>
              <w:left w:val="nil"/>
              <w:bottom w:val="nil"/>
              <w:right w:val="single" w:sz="6" w:space="0" w:color="auto"/>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392</w:t>
            </w:r>
          </w:p>
        </w:tc>
      </w:tr>
      <w:tr w:rsidR="003001D6" w:rsidRPr="00E820AC" w:rsidTr="009D1A1D">
        <w:trPr>
          <w:trHeight w:val="227"/>
          <w:jc w:val="center"/>
        </w:trPr>
        <w:tc>
          <w:tcPr>
            <w:tcW w:w="4882" w:type="dxa"/>
            <w:tcBorders>
              <w:top w:val="nil"/>
              <w:left w:val="single" w:sz="6" w:space="0" w:color="auto"/>
              <w:bottom w:val="nil"/>
              <w:right w:val="nil"/>
            </w:tcBorders>
            <w:shd w:val="solid" w:color="FFFFFF" w:fill="auto"/>
            <w:vAlign w:val="center"/>
          </w:tcPr>
          <w:p w:rsidR="003001D6" w:rsidRDefault="003001D6" w:rsidP="007921AC">
            <w:pPr>
              <w:rPr>
                <w:rFonts w:ascii="Arial Narrow" w:hAnsi="Arial Narrow"/>
                <w:sz w:val="16"/>
                <w:szCs w:val="16"/>
              </w:rPr>
            </w:pPr>
            <w:r>
              <w:rPr>
                <w:rFonts w:ascii="Arial Narrow" w:hAnsi="Arial Narrow"/>
                <w:sz w:val="16"/>
                <w:szCs w:val="16"/>
              </w:rPr>
              <w:t>Μεταβολή ανεξόφλητων υποχρεώσεων</w:t>
            </w:r>
          </w:p>
        </w:tc>
        <w:tc>
          <w:tcPr>
            <w:tcW w:w="1934" w:type="dxa"/>
            <w:tcBorders>
              <w:top w:val="nil"/>
              <w:left w:val="nil"/>
              <w:bottom w:val="nil"/>
              <w:right w:val="nil"/>
            </w:tcBorders>
            <w:shd w:val="clear" w:color="auto"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-11</w:t>
            </w:r>
          </w:p>
        </w:tc>
        <w:tc>
          <w:tcPr>
            <w:tcW w:w="1934" w:type="dxa"/>
            <w:tcBorders>
              <w:top w:val="nil"/>
              <w:left w:val="nil"/>
              <w:bottom w:val="nil"/>
              <w:right w:val="single" w:sz="6" w:space="0" w:color="auto"/>
            </w:tcBorders>
            <w:shd w:val="clear" w:color="auto"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6</w:t>
            </w:r>
          </w:p>
        </w:tc>
      </w:tr>
      <w:tr w:rsidR="003001D6" w:rsidRPr="00E820AC" w:rsidTr="009D1A1D">
        <w:trPr>
          <w:trHeight w:val="227"/>
          <w:jc w:val="center"/>
        </w:trPr>
        <w:tc>
          <w:tcPr>
            <w:tcW w:w="4882" w:type="dxa"/>
            <w:tcBorders>
              <w:top w:val="nil"/>
              <w:left w:val="single" w:sz="6" w:space="0" w:color="auto"/>
              <w:bottom w:val="nil"/>
              <w:right w:val="nil"/>
            </w:tcBorders>
            <w:shd w:val="solid" w:color="FFFFFF" w:fill="auto"/>
            <w:vAlign w:val="center"/>
          </w:tcPr>
          <w:p w:rsidR="003001D6" w:rsidRDefault="003001D6" w:rsidP="007921AC">
            <w:pPr>
              <w:rPr>
                <w:rFonts w:ascii="Arial Narrow" w:hAnsi="Arial Narrow"/>
                <w:sz w:val="16"/>
                <w:szCs w:val="16"/>
              </w:rPr>
            </w:pPr>
            <w:r>
              <w:rPr>
                <w:rFonts w:ascii="Arial Narrow" w:hAnsi="Arial Narrow"/>
                <w:sz w:val="16"/>
                <w:szCs w:val="16"/>
              </w:rPr>
              <w:t>Λοιπές εθνικολογιστικές προσαρμογές</w:t>
            </w:r>
          </w:p>
        </w:tc>
        <w:tc>
          <w:tcPr>
            <w:tcW w:w="1934" w:type="dxa"/>
            <w:tcBorders>
              <w:top w:val="nil"/>
              <w:left w:val="nil"/>
              <w:bottom w:val="nil"/>
              <w:right w:val="nil"/>
            </w:tcBorders>
            <w:shd w:val="clear" w:color="auto"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0</w:t>
            </w:r>
          </w:p>
        </w:tc>
        <w:tc>
          <w:tcPr>
            <w:tcW w:w="1934" w:type="dxa"/>
            <w:tcBorders>
              <w:top w:val="nil"/>
              <w:left w:val="nil"/>
              <w:bottom w:val="nil"/>
              <w:right w:val="single" w:sz="6" w:space="0" w:color="auto"/>
            </w:tcBorders>
            <w:shd w:val="clear" w:color="auto"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0</w:t>
            </w:r>
          </w:p>
        </w:tc>
      </w:tr>
      <w:tr w:rsidR="003001D6"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3001D6" w:rsidRDefault="003001D6" w:rsidP="007921AC">
            <w:pPr>
              <w:rPr>
                <w:rFonts w:ascii="Arial Narrow" w:hAnsi="Arial Narrow"/>
                <w:b/>
                <w:bCs/>
                <w:sz w:val="16"/>
                <w:szCs w:val="16"/>
              </w:rPr>
            </w:pPr>
            <w:r>
              <w:rPr>
                <w:rFonts w:ascii="Arial Narrow" w:hAnsi="Arial Narrow"/>
                <w:b/>
                <w:bCs/>
                <w:sz w:val="16"/>
                <w:szCs w:val="16"/>
              </w:rPr>
              <w:t>Ισοζύγιο κατά ESA (ΝΠ και ΑΔΑ)</w:t>
            </w:r>
          </w:p>
        </w:tc>
        <w:tc>
          <w:tcPr>
            <w:tcW w:w="1934" w:type="dxa"/>
            <w:tcBorders>
              <w:top w:val="nil"/>
              <w:left w:val="nil"/>
              <w:bottom w:val="nil"/>
              <w:right w:val="nil"/>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852</w:t>
            </w:r>
          </w:p>
        </w:tc>
        <w:tc>
          <w:tcPr>
            <w:tcW w:w="1934" w:type="dxa"/>
            <w:tcBorders>
              <w:top w:val="nil"/>
              <w:left w:val="nil"/>
              <w:bottom w:val="nil"/>
              <w:right w:val="single" w:sz="6" w:space="0" w:color="auto"/>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398</w:t>
            </w:r>
          </w:p>
        </w:tc>
      </w:tr>
      <w:tr w:rsidR="003001D6" w:rsidRPr="00E820AC" w:rsidTr="007921AC">
        <w:trPr>
          <w:trHeight w:val="227"/>
          <w:jc w:val="center"/>
        </w:trPr>
        <w:tc>
          <w:tcPr>
            <w:tcW w:w="4882" w:type="dxa"/>
            <w:tcBorders>
              <w:top w:val="nil"/>
              <w:left w:val="single" w:sz="6" w:space="0" w:color="auto"/>
              <w:bottom w:val="nil"/>
              <w:right w:val="nil"/>
            </w:tcBorders>
            <w:vAlign w:val="center"/>
          </w:tcPr>
          <w:p w:rsidR="003001D6" w:rsidRDefault="003001D6" w:rsidP="007921AC">
            <w:pPr>
              <w:rPr>
                <w:rFonts w:ascii="Arial Narrow" w:hAnsi="Arial Narrow"/>
                <w:sz w:val="16"/>
                <w:szCs w:val="16"/>
              </w:rPr>
            </w:pPr>
            <w:r>
              <w:rPr>
                <w:rFonts w:ascii="Arial Narrow" w:hAnsi="Arial Narrow"/>
                <w:sz w:val="16"/>
                <w:szCs w:val="16"/>
              </w:rPr>
              <w:t>Έσοδα ΑΚΑΓΕ</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1.381</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1.355</w:t>
            </w:r>
          </w:p>
        </w:tc>
      </w:tr>
      <w:tr w:rsidR="003001D6" w:rsidRPr="00E820AC" w:rsidTr="007921AC">
        <w:trPr>
          <w:trHeight w:val="227"/>
          <w:jc w:val="center"/>
        </w:trPr>
        <w:tc>
          <w:tcPr>
            <w:tcW w:w="4882" w:type="dxa"/>
            <w:tcBorders>
              <w:top w:val="nil"/>
              <w:left w:val="single" w:sz="6" w:space="0" w:color="auto"/>
              <w:bottom w:val="nil"/>
              <w:right w:val="nil"/>
            </w:tcBorders>
            <w:vAlign w:val="center"/>
          </w:tcPr>
          <w:p w:rsidR="003001D6" w:rsidRDefault="003001D6" w:rsidP="007921AC">
            <w:pPr>
              <w:rPr>
                <w:rFonts w:ascii="Arial Narrow" w:hAnsi="Arial Narrow"/>
                <w:sz w:val="16"/>
                <w:szCs w:val="16"/>
              </w:rPr>
            </w:pPr>
            <w:r>
              <w:rPr>
                <w:rFonts w:ascii="Arial Narrow" w:hAnsi="Arial Narrow"/>
                <w:sz w:val="16"/>
                <w:szCs w:val="16"/>
              </w:rPr>
              <w:t>Δαπάνες ΑΚΑΓΕ</w:t>
            </w:r>
          </w:p>
        </w:tc>
        <w:tc>
          <w:tcPr>
            <w:tcW w:w="1934" w:type="dxa"/>
            <w:tcBorders>
              <w:top w:val="nil"/>
              <w:left w:val="nil"/>
              <w:bottom w:val="nil"/>
              <w:right w:val="nil"/>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435</w:t>
            </w:r>
          </w:p>
        </w:tc>
        <w:tc>
          <w:tcPr>
            <w:tcW w:w="1934" w:type="dxa"/>
            <w:tcBorders>
              <w:top w:val="nil"/>
              <w:left w:val="nil"/>
              <w:bottom w:val="nil"/>
              <w:right w:val="single" w:sz="6" w:space="0" w:color="auto"/>
            </w:tcBorders>
            <w:shd w:val="solid" w:color="FFFFFF" w:fill="auto"/>
            <w:vAlign w:val="center"/>
          </w:tcPr>
          <w:p w:rsidR="003001D6" w:rsidRDefault="003001D6" w:rsidP="003001D6">
            <w:pPr>
              <w:ind w:right="709"/>
              <w:jc w:val="right"/>
              <w:rPr>
                <w:rFonts w:ascii="Arial Narrow" w:hAnsi="Arial Narrow"/>
                <w:color w:val="000000"/>
                <w:sz w:val="16"/>
                <w:szCs w:val="16"/>
              </w:rPr>
            </w:pPr>
            <w:r>
              <w:rPr>
                <w:rFonts w:ascii="Arial Narrow" w:hAnsi="Arial Narrow"/>
                <w:color w:val="000000"/>
                <w:sz w:val="16"/>
                <w:szCs w:val="16"/>
              </w:rPr>
              <w:t>435</w:t>
            </w:r>
          </w:p>
        </w:tc>
      </w:tr>
      <w:tr w:rsidR="003001D6" w:rsidRPr="00E820AC" w:rsidTr="007921AC">
        <w:trPr>
          <w:trHeight w:val="227"/>
          <w:jc w:val="center"/>
        </w:trPr>
        <w:tc>
          <w:tcPr>
            <w:tcW w:w="4882" w:type="dxa"/>
            <w:tcBorders>
              <w:top w:val="nil"/>
              <w:left w:val="single" w:sz="6" w:space="0" w:color="auto"/>
              <w:bottom w:val="nil"/>
              <w:right w:val="nil"/>
            </w:tcBorders>
            <w:shd w:val="solid" w:color="C0C0C0" w:fill="auto"/>
            <w:vAlign w:val="center"/>
          </w:tcPr>
          <w:p w:rsidR="003001D6" w:rsidRDefault="003001D6" w:rsidP="007921AC">
            <w:pPr>
              <w:rPr>
                <w:rFonts w:ascii="Arial Narrow" w:hAnsi="Arial Narrow"/>
                <w:b/>
                <w:bCs/>
                <w:sz w:val="16"/>
                <w:szCs w:val="16"/>
              </w:rPr>
            </w:pPr>
            <w:r>
              <w:rPr>
                <w:rFonts w:ascii="Arial Narrow" w:hAnsi="Arial Narrow"/>
                <w:b/>
                <w:bCs/>
                <w:sz w:val="16"/>
                <w:szCs w:val="16"/>
              </w:rPr>
              <w:t>Ισοζύγιο ΑΚΑΓΕ</w:t>
            </w:r>
          </w:p>
        </w:tc>
        <w:tc>
          <w:tcPr>
            <w:tcW w:w="1934" w:type="dxa"/>
            <w:tcBorders>
              <w:top w:val="nil"/>
              <w:left w:val="nil"/>
              <w:bottom w:val="nil"/>
              <w:right w:val="nil"/>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946</w:t>
            </w:r>
          </w:p>
        </w:tc>
        <w:tc>
          <w:tcPr>
            <w:tcW w:w="1934" w:type="dxa"/>
            <w:tcBorders>
              <w:top w:val="nil"/>
              <w:left w:val="nil"/>
              <w:bottom w:val="nil"/>
              <w:right w:val="single" w:sz="6" w:space="0" w:color="auto"/>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920</w:t>
            </w:r>
          </w:p>
        </w:tc>
      </w:tr>
      <w:tr w:rsidR="003001D6" w:rsidRPr="00E820AC" w:rsidTr="007921AC">
        <w:trPr>
          <w:trHeight w:val="227"/>
          <w:jc w:val="center"/>
        </w:trPr>
        <w:tc>
          <w:tcPr>
            <w:tcW w:w="4882" w:type="dxa"/>
            <w:tcBorders>
              <w:top w:val="nil"/>
              <w:left w:val="single" w:sz="6" w:space="0" w:color="auto"/>
              <w:bottom w:val="single" w:sz="6" w:space="0" w:color="auto"/>
              <w:right w:val="nil"/>
            </w:tcBorders>
            <w:shd w:val="solid" w:color="C0C0C0" w:fill="auto"/>
            <w:vAlign w:val="center"/>
          </w:tcPr>
          <w:p w:rsidR="003001D6" w:rsidRDefault="003001D6" w:rsidP="007921AC">
            <w:pPr>
              <w:rPr>
                <w:rFonts w:ascii="Arial Narrow" w:hAnsi="Arial Narrow"/>
                <w:b/>
                <w:bCs/>
                <w:sz w:val="16"/>
                <w:szCs w:val="16"/>
              </w:rPr>
            </w:pPr>
            <w:r>
              <w:rPr>
                <w:rFonts w:ascii="Arial Narrow" w:hAnsi="Arial Narrow"/>
                <w:b/>
                <w:bCs/>
                <w:sz w:val="16"/>
                <w:szCs w:val="16"/>
              </w:rPr>
              <w:t>Ισοζύγιο κατά ESA (ΝΠ, ΑΔΑ και ΑΚΑΓΕ)</w:t>
            </w:r>
          </w:p>
        </w:tc>
        <w:tc>
          <w:tcPr>
            <w:tcW w:w="1934" w:type="dxa"/>
            <w:tcBorders>
              <w:top w:val="nil"/>
              <w:left w:val="nil"/>
              <w:bottom w:val="single" w:sz="6" w:space="0" w:color="auto"/>
              <w:right w:val="nil"/>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1.798</w:t>
            </w:r>
          </w:p>
        </w:tc>
        <w:tc>
          <w:tcPr>
            <w:tcW w:w="1934" w:type="dxa"/>
            <w:tcBorders>
              <w:top w:val="nil"/>
              <w:left w:val="nil"/>
              <w:bottom w:val="single" w:sz="6" w:space="0" w:color="auto"/>
              <w:right w:val="single" w:sz="6" w:space="0" w:color="auto"/>
            </w:tcBorders>
            <w:shd w:val="solid" w:color="C0C0C0" w:fill="auto"/>
            <w:vAlign w:val="center"/>
          </w:tcPr>
          <w:p w:rsidR="003001D6" w:rsidRDefault="003001D6" w:rsidP="003001D6">
            <w:pPr>
              <w:ind w:right="709"/>
              <w:jc w:val="right"/>
              <w:rPr>
                <w:rFonts w:ascii="Arial Narrow" w:hAnsi="Arial Narrow"/>
                <w:b/>
                <w:bCs/>
                <w:color w:val="000000"/>
                <w:sz w:val="16"/>
                <w:szCs w:val="16"/>
              </w:rPr>
            </w:pPr>
            <w:r>
              <w:rPr>
                <w:rFonts w:ascii="Arial Narrow" w:hAnsi="Arial Narrow"/>
                <w:b/>
                <w:bCs/>
                <w:color w:val="000000"/>
                <w:sz w:val="16"/>
                <w:szCs w:val="16"/>
              </w:rPr>
              <w:t>1.318</w:t>
            </w:r>
          </w:p>
        </w:tc>
      </w:tr>
    </w:tbl>
    <w:p w:rsidR="007921AC" w:rsidRDefault="007921AC" w:rsidP="00637C95">
      <w:pPr>
        <w:jc w:val="both"/>
        <w:rPr>
          <w:sz w:val="22"/>
          <w:szCs w:val="22"/>
        </w:rPr>
      </w:pPr>
    </w:p>
    <w:p w:rsidR="00CB79D9" w:rsidRPr="00CB79D9" w:rsidRDefault="00CB79D9" w:rsidP="00CB79D9">
      <w:pPr>
        <w:jc w:val="both"/>
        <w:rPr>
          <w:sz w:val="22"/>
          <w:szCs w:val="22"/>
        </w:rPr>
      </w:pPr>
      <w:r w:rsidRPr="00CB79D9">
        <w:rPr>
          <w:sz w:val="22"/>
          <w:szCs w:val="22"/>
        </w:rPr>
        <w:t>Με βάση την πορεία εξέλιξης των μεγεθών των προϋπολογισμών (εσόδων</w:t>
      </w:r>
      <w:r>
        <w:rPr>
          <w:sz w:val="22"/>
          <w:szCs w:val="22"/>
        </w:rPr>
        <w:t xml:space="preserve"> - </w:t>
      </w:r>
      <w:r w:rsidRPr="00CB79D9">
        <w:rPr>
          <w:sz w:val="22"/>
          <w:szCs w:val="22"/>
        </w:rPr>
        <w:t>εξόδων) των νομικών προσώπων, το ισοζύγιο για το 2017 εκτιμάται ότι θα διαμορφωθεί σε πλεόνασμα ύψους 1.798 εκατ. ευρώ, ενώ για το 2018 προβλέπεται ότι θα ανέλθει στα 1.318 εκατ. ευρώ</w:t>
      </w:r>
      <w:r w:rsidR="00E964F4">
        <w:rPr>
          <w:sz w:val="22"/>
          <w:szCs w:val="22"/>
        </w:rPr>
        <w:t>,</w:t>
      </w:r>
      <w:r w:rsidRPr="00CB79D9">
        <w:rPr>
          <w:sz w:val="22"/>
          <w:szCs w:val="22"/>
        </w:rPr>
        <w:t xml:space="preserve"> μειωμένο κατά 480 εκατ. ευρώ. Η μείωση αυτή οφείλεται κυρίως στη</w:t>
      </w:r>
      <w:r w:rsidR="008A2536">
        <w:rPr>
          <w:sz w:val="22"/>
          <w:szCs w:val="22"/>
        </w:rPr>
        <w:t xml:space="preserve"> μη επανάληψη και στο 2018 </w:t>
      </w:r>
      <w:r w:rsidRPr="00CB79D9">
        <w:rPr>
          <w:sz w:val="22"/>
          <w:szCs w:val="22"/>
        </w:rPr>
        <w:t>της θετικής επίπτωσης από την ανάληψη του χρέους του Οργανισμού Μεγάρου Μουσικής Αθη</w:t>
      </w:r>
      <w:r w:rsidR="00224070">
        <w:rPr>
          <w:sz w:val="22"/>
          <w:szCs w:val="22"/>
        </w:rPr>
        <w:t xml:space="preserve">νών (ΟΜΜΑ) ύψους 193 εκατ. ευρώ, συναλλαγή </w:t>
      </w:r>
      <w:r w:rsidR="009624FF">
        <w:rPr>
          <w:sz w:val="22"/>
          <w:szCs w:val="22"/>
        </w:rPr>
        <w:t xml:space="preserve">η οποία </w:t>
      </w:r>
      <w:r w:rsidR="00224070">
        <w:rPr>
          <w:sz w:val="22"/>
          <w:szCs w:val="22"/>
        </w:rPr>
        <w:t xml:space="preserve">ωστόσο </w:t>
      </w:r>
      <w:r w:rsidR="009624FF">
        <w:rPr>
          <w:sz w:val="22"/>
          <w:szCs w:val="22"/>
        </w:rPr>
        <w:t>είναι</w:t>
      </w:r>
      <w:r w:rsidR="00224070">
        <w:rPr>
          <w:sz w:val="22"/>
          <w:szCs w:val="22"/>
        </w:rPr>
        <w:t xml:space="preserve"> ουδέτερη σε επ</w:t>
      </w:r>
      <w:r w:rsidR="007F46CB">
        <w:rPr>
          <w:sz w:val="22"/>
          <w:szCs w:val="22"/>
        </w:rPr>
        <w:t>ίπεδο γ</w:t>
      </w:r>
      <w:r w:rsidR="00224070">
        <w:rPr>
          <w:sz w:val="22"/>
          <w:szCs w:val="22"/>
        </w:rPr>
        <w:t>ενικ</w:t>
      </w:r>
      <w:r w:rsidR="007F46CB">
        <w:rPr>
          <w:sz w:val="22"/>
          <w:szCs w:val="22"/>
        </w:rPr>
        <w:t>ής κ</w:t>
      </w:r>
      <w:r w:rsidR="00224070">
        <w:rPr>
          <w:sz w:val="22"/>
          <w:szCs w:val="22"/>
        </w:rPr>
        <w:t>υβέρνησης.</w:t>
      </w:r>
    </w:p>
    <w:p w:rsidR="00CB79D9" w:rsidRPr="00CB79D9" w:rsidRDefault="00CB79D9" w:rsidP="00CB79D9">
      <w:pPr>
        <w:jc w:val="both"/>
        <w:rPr>
          <w:sz w:val="22"/>
          <w:szCs w:val="22"/>
        </w:rPr>
      </w:pPr>
    </w:p>
    <w:p w:rsidR="00CB79D9" w:rsidRPr="00CB79D9" w:rsidRDefault="00CB79D9" w:rsidP="00CB79D9">
      <w:pPr>
        <w:jc w:val="both"/>
        <w:rPr>
          <w:sz w:val="22"/>
          <w:szCs w:val="22"/>
        </w:rPr>
      </w:pPr>
      <w:r w:rsidRPr="00915302">
        <w:rPr>
          <w:sz w:val="22"/>
          <w:szCs w:val="22"/>
        </w:rPr>
        <w:t xml:space="preserve">Στον πίνακα </w:t>
      </w:r>
      <w:r w:rsidR="00F8198D" w:rsidRPr="00915302">
        <w:rPr>
          <w:sz w:val="22"/>
          <w:szCs w:val="22"/>
        </w:rPr>
        <w:t>3.18</w:t>
      </w:r>
      <w:r w:rsidRPr="00915302">
        <w:rPr>
          <w:sz w:val="22"/>
          <w:szCs w:val="22"/>
        </w:rPr>
        <w:t xml:space="preserve"> εμφανίζονται τα αποτελέσματα (στόχοι), που αναμένεται να πετύ</w:t>
      </w:r>
      <w:r w:rsidR="00E964F4" w:rsidRPr="00915302">
        <w:rPr>
          <w:sz w:val="22"/>
          <w:szCs w:val="22"/>
        </w:rPr>
        <w:t>χουν οι φορείς για</w:t>
      </w:r>
      <w:r w:rsidR="00E964F4">
        <w:rPr>
          <w:sz w:val="22"/>
          <w:szCs w:val="22"/>
        </w:rPr>
        <w:t xml:space="preserve"> το έτος 2018. Στους στόχους αυτούς περιλαμβάνονται</w:t>
      </w:r>
      <w:r w:rsidRPr="00CB79D9">
        <w:rPr>
          <w:sz w:val="22"/>
          <w:szCs w:val="22"/>
        </w:rPr>
        <w:t xml:space="preserve"> οι προσαρμογές</w:t>
      </w:r>
      <w:r w:rsidR="008A2536">
        <w:rPr>
          <w:sz w:val="22"/>
          <w:szCs w:val="22"/>
        </w:rPr>
        <w:t xml:space="preserve"> </w:t>
      </w:r>
      <w:r w:rsidR="009624FF">
        <w:rPr>
          <w:sz w:val="22"/>
          <w:szCs w:val="22"/>
        </w:rPr>
        <w:t>που αφορούν στη</w:t>
      </w:r>
      <w:r w:rsidR="008A2536">
        <w:rPr>
          <w:sz w:val="22"/>
          <w:szCs w:val="22"/>
        </w:rPr>
        <w:t xml:space="preserve"> </w:t>
      </w:r>
      <w:r w:rsidRPr="00CB79D9">
        <w:rPr>
          <w:sz w:val="22"/>
          <w:szCs w:val="22"/>
        </w:rPr>
        <w:t>μεταβολή των απλήρωτων υποχρεώσεων</w:t>
      </w:r>
      <w:r w:rsidR="008A2536">
        <w:rPr>
          <w:sz w:val="22"/>
          <w:szCs w:val="22"/>
        </w:rPr>
        <w:t>, καθώς και οι λοιπές εθνικολογιστικές προσαρμογές.</w:t>
      </w:r>
      <w:r w:rsidRPr="00CB79D9">
        <w:rPr>
          <w:sz w:val="22"/>
          <w:szCs w:val="22"/>
        </w:rPr>
        <w:t xml:space="preserve"> </w:t>
      </w:r>
    </w:p>
    <w:p w:rsidR="00C63EEC" w:rsidRDefault="00C63EEC" w:rsidP="00CB79D9">
      <w:pPr>
        <w:jc w:val="both"/>
        <w:rPr>
          <w:sz w:val="22"/>
          <w:szCs w:val="22"/>
        </w:rPr>
      </w:pPr>
    </w:p>
    <w:p w:rsidR="00C63EEC" w:rsidRDefault="00C63EEC">
      <w:pPr>
        <w:rPr>
          <w:sz w:val="22"/>
          <w:szCs w:val="22"/>
        </w:rPr>
      </w:pPr>
      <w:r>
        <w:rPr>
          <w:sz w:val="22"/>
          <w:szCs w:val="22"/>
        </w:rPr>
        <w:br w:type="page"/>
      </w:r>
    </w:p>
    <w:p w:rsidR="00A24C39" w:rsidRDefault="00A24C39" w:rsidP="00637C95">
      <w:pPr>
        <w:jc w:val="both"/>
        <w:rPr>
          <w:sz w:val="22"/>
        </w:rPr>
      </w:pPr>
    </w:p>
    <w:p w:rsidR="00A52D5B" w:rsidRPr="00900BBE" w:rsidRDefault="00A52D5B" w:rsidP="00637C95">
      <w:pPr>
        <w:jc w:val="both"/>
        <w:rPr>
          <w:sz w:val="22"/>
        </w:rPr>
      </w:pPr>
    </w:p>
    <w:tbl>
      <w:tblPr>
        <w:tblW w:w="8654" w:type="dxa"/>
        <w:jc w:val="center"/>
        <w:tblLook w:val="04A0" w:firstRow="1" w:lastRow="0" w:firstColumn="1" w:lastColumn="0" w:noHBand="0" w:noVBand="1"/>
      </w:tblPr>
      <w:tblGrid>
        <w:gridCol w:w="572"/>
        <w:gridCol w:w="5242"/>
        <w:gridCol w:w="1340"/>
        <w:gridCol w:w="1500"/>
      </w:tblGrid>
      <w:tr w:rsidR="00ED1F78" w:rsidTr="002D69A7">
        <w:trPr>
          <w:trHeight w:val="57"/>
          <w:tblHeader/>
          <w:jc w:val="center"/>
        </w:trPr>
        <w:tc>
          <w:tcPr>
            <w:tcW w:w="8654" w:type="dxa"/>
            <w:gridSpan w:val="4"/>
            <w:tcBorders>
              <w:top w:val="single" w:sz="4" w:space="0" w:color="auto"/>
              <w:left w:val="single" w:sz="4" w:space="0" w:color="auto"/>
              <w:right w:val="single" w:sz="4" w:space="0" w:color="auto"/>
            </w:tcBorders>
            <w:shd w:val="clear" w:color="auto" w:fill="404040" w:themeFill="text1" w:themeFillTint="BF"/>
            <w:vAlign w:val="center"/>
            <w:hideMark/>
          </w:tcPr>
          <w:p w:rsidR="00ED1F78" w:rsidRDefault="00F8198D" w:rsidP="00A24C39">
            <w:pPr>
              <w:spacing w:before="120"/>
              <w:jc w:val="center"/>
              <w:rPr>
                <w:rFonts w:ascii="Arial Narrow" w:hAnsi="Arial Narrow"/>
                <w:b/>
                <w:bCs/>
                <w:color w:val="FFFFFF"/>
              </w:rPr>
            </w:pPr>
            <w:r>
              <w:rPr>
                <w:rFonts w:ascii="Arial Narrow" w:hAnsi="Arial Narrow"/>
                <w:b/>
                <w:bCs/>
                <w:color w:val="FFFFFF"/>
              </w:rPr>
              <w:t>Πίνακας 3.18</w:t>
            </w:r>
            <w:r w:rsidR="00ED1F78">
              <w:rPr>
                <w:rFonts w:ascii="Arial Narrow" w:hAnsi="Arial Narrow"/>
                <w:b/>
                <w:bCs/>
                <w:color w:val="FFFFFF"/>
              </w:rPr>
              <w:t xml:space="preserve"> Ισοζύγιο</w:t>
            </w:r>
            <w:r w:rsidR="00867707">
              <w:rPr>
                <w:rFonts w:ascii="Arial Narrow" w:hAnsi="Arial Narrow"/>
                <w:b/>
                <w:bCs/>
                <w:color w:val="FFFFFF"/>
              </w:rPr>
              <w:t xml:space="preserve"> </w:t>
            </w:r>
            <w:r w:rsidR="00ED1F78">
              <w:rPr>
                <w:rFonts w:ascii="Arial Narrow" w:hAnsi="Arial Narrow"/>
                <w:b/>
                <w:bCs/>
                <w:color w:val="FFFFFF"/>
              </w:rPr>
              <w:t>νομικών προσώπων Γενικής Κυβέρνησης (εκτός ΑΔΑ</w:t>
            </w:r>
            <w:r w:rsidR="002D69A7">
              <w:rPr>
                <w:rFonts w:ascii="Arial Narrow" w:hAnsi="Arial Narrow"/>
                <w:b/>
                <w:bCs/>
                <w:color w:val="FFFFFF"/>
              </w:rPr>
              <w:t xml:space="preserve"> και ΑΚΑΓΕ</w:t>
            </w:r>
            <w:r w:rsidR="00ED1F78">
              <w:rPr>
                <w:rFonts w:ascii="Arial Narrow" w:hAnsi="Arial Narrow"/>
                <w:b/>
                <w:bCs/>
                <w:color w:val="FFFFFF"/>
              </w:rPr>
              <w:t>)</w:t>
            </w:r>
          </w:p>
          <w:p w:rsidR="00ED1F78" w:rsidRDefault="00ED1F78" w:rsidP="00A24C39">
            <w:pPr>
              <w:spacing w:after="120"/>
              <w:jc w:val="center"/>
              <w:rPr>
                <w:rFonts w:ascii="Arial Narrow" w:hAnsi="Arial Narrow"/>
                <w:b/>
                <w:bCs/>
                <w:color w:val="FFFFFF"/>
              </w:rPr>
            </w:pPr>
            <w:r>
              <w:rPr>
                <w:rFonts w:ascii="Arial Narrow" w:hAnsi="Arial Narrow"/>
                <w:b/>
                <w:bCs/>
                <w:color w:val="FFFFFF"/>
              </w:rPr>
              <w:t>ανά Υπουργείο</w:t>
            </w:r>
            <w:r>
              <w:rPr>
                <w:rFonts w:ascii="Arial Narrow" w:hAnsi="Arial Narrow"/>
                <w:b/>
                <w:bCs/>
                <w:color w:val="FFFFFF"/>
              </w:rPr>
              <w:br/>
              <w:t>(σε εκατ. ευρώ)</w:t>
            </w:r>
          </w:p>
        </w:tc>
      </w:tr>
      <w:tr w:rsidR="00ED1F78" w:rsidRPr="00900BBE" w:rsidTr="00A24C39">
        <w:trPr>
          <w:trHeight w:val="170"/>
          <w:tblHeader/>
          <w:jc w:val="center"/>
        </w:trPr>
        <w:tc>
          <w:tcPr>
            <w:tcW w:w="572" w:type="dxa"/>
            <w:tcBorders>
              <w:left w:val="single" w:sz="4" w:space="0" w:color="auto"/>
              <w:bottom w:val="nil"/>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5242" w:type="dxa"/>
            <w:tcBorders>
              <w:left w:val="nil"/>
              <w:bottom w:val="nil"/>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1340" w:type="dxa"/>
            <w:tcBorders>
              <w:left w:val="nil"/>
              <w:bottom w:val="single" w:sz="4" w:space="0" w:color="auto"/>
              <w:right w:val="nil"/>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c>
          <w:tcPr>
            <w:tcW w:w="1500" w:type="dxa"/>
            <w:tcBorders>
              <w:left w:val="nil"/>
              <w:bottom w:val="single" w:sz="4" w:space="0" w:color="auto"/>
              <w:right w:val="single" w:sz="4" w:space="0" w:color="auto"/>
            </w:tcBorders>
            <w:shd w:val="clear" w:color="000000" w:fill="FFFFFF"/>
            <w:vAlign w:val="center"/>
            <w:hideMark/>
          </w:tcPr>
          <w:p w:rsidR="00ED1F78" w:rsidRPr="00900BBE" w:rsidRDefault="00ED1F78">
            <w:pPr>
              <w:jc w:val="center"/>
              <w:rPr>
                <w:rFonts w:ascii="Arial Narrow" w:hAnsi="Arial Narrow"/>
                <w:b/>
                <w:bCs/>
                <w:i/>
                <w:iCs/>
                <w:sz w:val="14"/>
                <w:szCs w:val="16"/>
                <w:u w:val="single"/>
              </w:rPr>
            </w:pPr>
          </w:p>
        </w:tc>
      </w:tr>
      <w:tr w:rsidR="00ED1F78" w:rsidTr="002D69A7">
        <w:trPr>
          <w:trHeight w:val="20"/>
          <w:tblHeader/>
          <w:jc w:val="center"/>
        </w:trPr>
        <w:tc>
          <w:tcPr>
            <w:tcW w:w="572" w:type="dxa"/>
            <w:tcBorders>
              <w:top w:val="single" w:sz="4" w:space="0" w:color="auto"/>
              <w:left w:val="single" w:sz="4" w:space="0" w:color="auto"/>
              <w:bottom w:val="nil"/>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5242" w:type="dxa"/>
            <w:tcBorders>
              <w:top w:val="single" w:sz="4" w:space="0" w:color="auto"/>
              <w:left w:val="nil"/>
              <w:bottom w:val="nil"/>
              <w:right w:val="single" w:sz="4" w:space="0" w:color="auto"/>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ED1F78" w:rsidRDefault="00C63EEC">
            <w:pPr>
              <w:jc w:val="center"/>
              <w:rPr>
                <w:rFonts w:ascii="Arial Narrow" w:hAnsi="Arial Narrow"/>
                <w:b/>
                <w:bCs/>
                <w:color w:val="000000"/>
                <w:sz w:val="16"/>
                <w:szCs w:val="16"/>
              </w:rPr>
            </w:pPr>
            <w:r>
              <w:rPr>
                <w:rFonts w:ascii="Arial Narrow" w:hAnsi="Arial Narrow"/>
                <w:b/>
                <w:bCs/>
                <w:color w:val="000000"/>
                <w:sz w:val="16"/>
                <w:szCs w:val="16"/>
              </w:rPr>
              <w:t>2017</w:t>
            </w:r>
          </w:p>
        </w:tc>
        <w:tc>
          <w:tcPr>
            <w:tcW w:w="1500" w:type="dxa"/>
            <w:tcBorders>
              <w:top w:val="nil"/>
              <w:left w:val="nil"/>
              <w:bottom w:val="single" w:sz="4" w:space="0" w:color="auto"/>
              <w:right w:val="single" w:sz="4" w:space="0" w:color="auto"/>
            </w:tcBorders>
            <w:shd w:val="clear" w:color="auto" w:fill="auto"/>
            <w:noWrap/>
            <w:vAlign w:val="bottom"/>
            <w:hideMark/>
          </w:tcPr>
          <w:p w:rsidR="00ED1F78" w:rsidRDefault="00C63EEC">
            <w:pPr>
              <w:jc w:val="center"/>
              <w:rPr>
                <w:rFonts w:ascii="Arial Narrow" w:hAnsi="Arial Narrow"/>
                <w:b/>
                <w:bCs/>
                <w:color w:val="000000"/>
                <w:sz w:val="16"/>
                <w:szCs w:val="16"/>
              </w:rPr>
            </w:pPr>
            <w:r>
              <w:rPr>
                <w:rFonts w:ascii="Arial Narrow" w:hAnsi="Arial Narrow"/>
                <w:b/>
                <w:bCs/>
                <w:color w:val="000000"/>
                <w:sz w:val="16"/>
                <w:szCs w:val="16"/>
              </w:rPr>
              <w:t>2018</w:t>
            </w:r>
          </w:p>
        </w:tc>
      </w:tr>
      <w:tr w:rsidR="00ED1F78" w:rsidTr="002D69A7">
        <w:trPr>
          <w:trHeight w:val="20"/>
          <w:tblHeader/>
          <w:jc w:val="center"/>
        </w:trPr>
        <w:tc>
          <w:tcPr>
            <w:tcW w:w="572" w:type="dxa"/>
            <w:tcBorders>
              <w:top w:val="nil"/>
              <w:left w:val="single" w:sz="4" w:space="0" w:color="auto"/>
              <w:bottom w:val="single" w:sz="4" w:space="0" w:color="auto"/>
              <w:right w:val="nil"/>
            </w:tcBorders>
            <w:shd w:val="clear" w:color="auto" w:fill="auto"/>
            <w:vAlign w:val="center"/>
            <w:hideMark/>
          </w:tcPr>
          <w:p w:rsidR="00ED1F78" w:rsidRDefault="00ED1F78">
            <w:pP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sz w:val="16"/>
                <w:szCs w:val="16"/>
              </w:rPr>
            </w:pPr>
            <w:r>
              <w:rPr>
                <w:rFonts w:ascii="Arial Narrow" w:hAnsi="Arial Narrow"/>
                <w:b/>
                <w:bCs/>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Εκτιμήσεις</w:t>
            </w:r>
          </w:p>
        </w:tc>
        <w:tc>
          <w:tcPr>
            <w:tcW w:w="1500" w:type="dxa"/>
            <w:tcBorders>
              <w:top w:val="nil"/>
              <w:left w:val="nil"/>
              <w:bottom w:val="single" w:sz="4" w:space="0" w:color="auto"/>
              <w:right w:val="single" w:sz="4" w:space="0" w:color="auto"/>
            </w:tcBorders>
            <w:shd w:val="clear" w:color="auto" w:fill="auto"/>
            <w:vAlign w:val="center"/>
            <w:hideMark/>
          </w:tcPr>
          <w:p w:rsidR="00ED1F78" w:rsidRDefault="00ED1F78">
            <w:pPr>
              <w:jc w:val="center"/>
              <w:rPr>
                <w:rFonts w:ascii="Arial Narrow" w:hAnsi="Arial Narrow"/>
                <w:b/>
                <w:bCs/>
                <w:color w:val="000000"/>
                <w:sz w:val="16"/>
                <w:szCs w:val="16"/>
              </w:rPr>
            </w:pPr>
            <w:r>
              <w:rPr>
                <w:rFonts w:ascii="Arial Narrow" w:hAnsi="Arial Narrow"/>
                <w:b/>
                <w:bCs/>
                <w:color w:val="000000"/>
                <w:sz w:val="16"/>
                <w:szCs w:val="16"/>
              </w:rPr>
              <w:t>Προβλέψεις</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1</w:t>
            </w:r>
          </w:p>
        </w:tc>
        <w:tc>
          <w:tcPr>
            <w:tcW w:w="5242" w:type="dxa"/>
            <w:tcBorders>
              <w:top w:val="nil"/>
              <w:left w:val="nil"/>
              <w:bottom w:val="nil"/>
              <w:right w:val="nil"/>
            </w:tcBorders>
            <w:shd w:val="clear" w:color="000000" w:fill="D8D8D8"/>
            <w:vAlign w:val="center"/>
            <w:hideMark/>
          </w:tcPr>
          <w:p w:rsidR="00A52D5B" w:rsidRDefault="00A52D5B" w:rsidP="00586A5F">
            <w:pPr>
              <w:rPr>
                <w:rFonts w:ascii="Arial Narrow" w:hAnsi="Arial Narrow"/>
                <w:b/>
                <w:bCs/>
                <w:sz w:val="16"/>
                <w:szCs w:val="16"/>
              </w:rPr>
            </w:pPr>
            <w:r>
              <w:rPr>
                <w:rFonts w:ascii="Arial Narrow" w:hAnsi="Arial Narrow"/>
                <w:b/>
                <w:bCs/>
                <w:sz w:val="16"/>
                <w:szCs w:val="16"/>
              </w:rPr>
              <w:t xml:space="preserve">Υπουργείο Εσωτερικών </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2</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1α</w:t>
            </w:r>
          </w:p>
        </w:tc>
        <w:tc>
          <w:tcPr>
            <w:tcW w:w="5242" w:type="dxa"/>
            <w:tcBorders>
              <w:top w:val="nil"/>
              <w:left w:val="nil"/>
              <w:bottom w:val="nil"/>
              <w:right w:val="nil"/>
            </w:tcBorders>
            <w:shd w:val="clear" w:color="auto" w:fill="auto"/>
            <w:vAlign w:val="center"/>
            <w:hideMark/>
          </w:tcPr>
          <w:p w:rsidR="00A52D5B" w:rsidRDefault="00A52D5B">
            <w:pPr>
              <w:rPr>
                <w:rFonts w:ascii="Arial Narrow" w:hAnsi="Arial Narrow"/>
                <w:b/>
                <w:bCs/>
                <w:sz w:val="16"/>
                <w:szCs w:val="16"/>
              </w:rPr>
            </w:pPr>
            <w:r>
              <w:rPr>
                <w:rFonts w:ascii="Arial Narrow" w:hAnsi="Arial Narrow"/>
                <w:b/>
                <w:bCs/>
                <w:sz w:val="16"/>
                <w:szCs w:val="16"/>
              </w:rPr>
              <w:t>πρώην Υπουργείο Εσωτερικών</w:t>
            </w:r>
          </w:p>
        </w:tc>
        <w:tc>
          <w:tcPr>
            <w:tcW w:w="1340" w:type="dxa"/>
            <w:tcBorders>
              <w:top w:val="nil"/>
              <w:left w:val="nil"/>
              <w:bottom w:val="nil"/>
              <w:right w:val="nil"/>
            </w:tcBorders>
            <w:shd w:val="clear" w:color="auto" w:fill="auto"/>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auto" w:fill="auto"/>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1β</w:t>
            </w:r>
          </w:p>
        </w:tc>
        <w:tc>
          <w:tcPr>
            <w:tcW w:w="5242" w:type="dxa"/>
            <w:tcBorders>
              <w:top w:val="nil"/>
              <w:left w:val="nil"/>
              <w:bottom w:val="nil"/>
              <w:right w:val="nil"/>
            </w:tcBorders>
            <w:shd w:val="clear" w:color="auto" w:fill="auto"/>
            <w:vAlign w:val="center"/>
            <w:hideMark/>
          </w:tcPr>
          <w:p w:rsidR="00A52D5B" w:rsidRDefault="00A52D5B">
            <w:pPr>
              <w:rPr>
                <w:rFonts w:ascii="Arial Narrow" w:hAnsi="Arial Narrow"/>
                <w:b/>
                <w:bCs/>
                <w:sz w:val="16"/>
                <w:szCs w:val="16"/>
              </w:rPr>
            </w:pPr>
            <w:r>
              <w:rPr>
                <w:rFonts w:ascii="Arial Narrow" w:hAnsi="Arial Narrow"/>
                <w:b/>
                <w:bCs/>
                <w:sz w:val="16"/>
                <w:szCs w:val="16"/>
              </w:rPr>
              <w:t>πρώην Υπουργείο Δημόσιας Τάξης και Προστασίας του Πολίτη</w:t>
            </w:r>
          </w:p>
        </w:tc>
        <w:tc>
          <w:tcPr>
            <w:tcW w:w="1340" w:type="dxa"/>
            <w:tcBorders>
              <w:top w:val="nil"/>
              <w:left w:val="nil"/>
              <w:bottom w:val="nil"/>
              <w:right w:val="nil"/>
            </w:tcBorders>
            <w:shd w:val="clear" w:color="auto" w:fill="auto"/>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auto" w:fill="auto"/>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auto" w:fill="auto"/>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1γ</w:t>
            </w:r>
          </w:p>
        </w:tc>
        <w:tc>
          <w:tcPr>
            <w:tcW w:w="5242" w:type="dxa"/>
            <w:tcBorders>
              <w:top w:val="nil"/>
              <w:left w:val="nil"/>
              <w:bottom w:val="nil"/>
              <w:right w:val="nil"/>
            </w:tcBorders>
            <w:shd w:val="clear" w:color="auto" w:fill="auto"/>
            <w:vAlign w:val="center"/>
            <w:hideMark/>
          </w:tcPr>
          <w:p w:rsidR="00A52D5B" w:rsidRDefault="00A52D5B">
            <w:pPr>
              <w:rPr>
                <w:rFonts w:ascii="Arial Narrow" w:hAnsi="Arial Narrow"/>
                <w:b/>
                <w:bCs/>
                <w:sz w:val="16"/>
                <w:szCs w:val="16"/>
              </w:rPr>
            </w:pPr>
            <w:r>
              <w:rPr>
                <w:rFonts w:ascii="Arial Narrow" w:hAnsi="Arial Narrow"/>
                <w:b/>
                <w:bCs/>
                <w:sz w:val="16"/>
                <w:szCs w:val="16"/>
              </w:rPr>
              <w:t>πρώην Υπουργείο Μακεδονίας και Θράκης</w:t>
            </w:r>
          </w:p>
        </w:tc>
        <w:tc>
          <w:tcPr>
            <w:tcW w:w="1340" w:type="dxa"/>
            <w:tcBorders>
              <w:top w:val="nil"/>
              <w:left w:val="nil"/>
              <w:bottom w:val="nil"/>
              <w:right w:val="nil"/>
            </w:tcBorders>
            <w:shd w:val="clear" w:color="auto" w:fill="auto"/>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2</w:t>
            </w:r>
          </w:p>
        </w:tc>
        <w:tc>
          <w:tcPr>
            <w:tcW w:w="1500" w:type="dxa"/>
            <w:tcBorders>
              <w:top w:val="nil"/>
              <w:left w:val="nil"/>
              <w:bottom w:val="nil"/>
              <w:right w:val="single" w:sz="4" w:space="0" w:color="auto"/>
            </w:tcBorders>
            <w:shd w:val="clear" w:color="auto" w:fill="auto"/>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2</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Οικονομίας και Ανάπτυξης</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14</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4</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14</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4</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3</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Ψηφιακής Πολιτικής, Τηλεπικοινωνιών και Ενημέρωσης</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4</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 xml:space="preserve">Υπουργείο Εθνικής Άμυνας </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3</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1</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3</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1</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5</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Παιδείας, Έρευνας και Θρησκευμάτων</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17</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37</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15</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34</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3</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6</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Εργασίας, Κοινωνικής Ασφάλισης και Κοινωνικής Αλληλεγγύης</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8</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6</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10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5</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-1</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1</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7</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Εξωτερικών</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8</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Δικαιοσύνης, Διαφάνειας και Ανθρωπίνων Δικαιωμάτων</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21</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8</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27</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8</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-6</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-1</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9</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Οικονομικών</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333</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219</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333</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219</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10</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Υγείας</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19</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7</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22</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4</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-3</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2</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11</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Διοικητικής Ανασυγκρότησης</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12</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Πολιτισμού και Αθλητισμού</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219</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41</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221</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41</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-2</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13</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Περιβάλλοντος και Ενέργειας</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180</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3</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180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3</w:t>
            </w:r>
          </w:p>
        </w:tc>
      </w:tr>
      <w:tr w:rsidR="00A52D5B" w:rsidTr="00A24C39">
        <w:trPr>
          <w:trHeight w:val="20"/>
          <w:jc w:val="center"/>
        </w:trPr>
        <w:tc>
          <w:tcPr>
            <w:tcW w:w="572" w:type="dxa"/>
            <w:tcBorders>
              <w:top w:val="nil"/>
              <w:left w:val="single" w:sz="4" w:space="0" w:color="auto"/>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A24C39">
        <w:trPr>
          <w:trHeight w:val="20"/>
          <w:jc w:val="center"/>
        </w:trPr>
        <w:tc>
          <w:tcPr>
            <w:tcW w:w="572" w:type="dxa"/>
            <w:tcBorders>
              <w:top w:val="nil"/>
              <w:left w:val="single" w:sz="4" w:space="0" w:color="auto"/>
              <w:bottom w:val="single" w:sz="6" w:space="0" w:color="auto"/>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single" w:sz="6" w:space="0" w:color="auto"/>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single" w:sz="6" w:space="0" w:color="auto"/>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single" w:sz="6" w:space="0" w:color="auto"/>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A24C39">
        <w:trPr>
          <w:trHeight w:val="20"/>
          <w:jc w:val="center"/>
        </w:trPr>
        <w:tc>
          <w:tcPr>
            <w:tcW w:w="572" w:type="dxa"/>
            <w:tcBorders>
              <w:top w:val="single" w:sz="6" w:space="0" w:color="auto"/>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lastRenderedPageBreak/>
              <w:t>14</w:t>
            </w:r>
          </w:p>
        </w:tc>
        <w:tc>
          <w:tcPr>
            <w:tcW w:w="5242" w:type="dxa"/>
            <w:tcBorders>
              <w:top w:val="single" w:sz="6" w:space="0" w:color="auto"/>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Υποδομών και Μεταφορών</w:t>
            </w:r>
          </w:p>
        </w:tc>
        <w:tc>
          <w:tcPr>
            <w:tcW w:w="1340" w:type="dxa"/>
            <w:tcBorders>
              <w:top w:val="single" w:sz="6" w:space="0" w:color="auto"/>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42</w:t>
            </w:r>
          </w:p>
        </w:tc>
        <w:tc>
          <w:tcPr>
            <w:tcW w:w="1500" w:type="dxa"/>
            <w:tcBorders>
              <w:top w:val="single" w:sz="6" w:space="0" w:color="auto"/>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43</w:t>
            </w:r>
          </w:p>
        </w:tc>
      </w:tr>
      <w:tr w:rsidR="00A52D5B" w:rsidTr="00A24C39">
        <w:trPr>
          <w:trHeight w:val="20"/>
          <w:jc w:val="center"/>
        </w:trPr>
        <w:tc>
          <w:tcPr>
            <w:tcW w:w="572" w:type="dxa"/>
            <w:tcBorders>
              <w:top w:val="nil"/>
              <w:left w:val="single" w:sz="4" w:space="0" w:color="auto"/>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42</w:t>
            </w:r>
          </w:p>
        </w:tc>
        <w:tc>
          <w:tcPr>
            <w:tcW w:w="1500" w:type="dxa"/>
            <w:tcBorders>
              <w:top w:val="nil"/>
              <w:left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43</w:t>
            </w:r>
          </w:p>
        </w:tc>
      </w:tr>
      <w:tr w:rsidR="00A52D5B" w:rsidTr="00A24C39">
        <w:trPr>
          <w:trHeight w:val="20"/>
          <w:jc w:val="center"/>
        </w:trPr>
        <w:tc>
          <w:tcPr>
            <w:tcW w:w="572" w:type="dxa"/>
            <w:tcBorders>
              <w:top w:val="nil"/>
              <w:left w:val="single" w:sz="4" w:space="0" w:color="auto"/>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A24C39">
        <w:trPr>
          <w:trHeight w:val="20"/>
          <w:jc w:val="center"/>
        </w:trPr>
        <w:tc>
          <w:tcPr>
            <w:tcW w:w="572" w:type="dxa"/>
            <w:tcBorders>
              <w:left w:val="single" w:sz="4" w:space="0" w:color="auto"/>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left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left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left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15</w:t>
            </w:r>
          </w:p>
        </w:tc>
        <w:tc>
          <w:tcPr>
            <w:tcW w:w="5242" w:type="dxa"/>
            <w:tcBorders>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Ναυτιλίας και Νησιωτικής Πολιτικής</w:t>
            </w:r>
          </w:p>
        </w:tc>
        <w:tc>
          <w:tcPr>
            <w:tcW w:w="1340" w:type="dxa"/>
            <w:tcBorders>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6</w:t>
            </w:r>
          </w:p>
        </w:tc>
        <w:tc>
          <w:tcPr>
            <w:tcW w:w="1500" w:type="dxa"/>
            <w:tcBorders>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6</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6</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6</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16</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15</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11</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Ισοζύγιο</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15</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11</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Μεταβολή ανεξόφλητων υποχρεώσεων</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FFFFFF"/>
            <w:vAlign w:val="center"/>
            <w:hideMark/>
          </w:tcPr>
          <w:p w:rsidR="00A52D5B" w:rsidRDefault="00A52D5B">
            <w:pPr>
              <w:jc w:val="center"/>
              <w:rPr>
                <w:rFonts w:ascii="Arial Narrow" w:hAnsi="Arial Narrow"/>
                <w:i/>
                <w:iCs/>
                <w:sz w:val="16"/>
                <w:szCs w:val="16"/>
              </w:rPr>
            </w:pPr>
            <w:r>
              <w:rPr>
                <w:rFonts w:ascii="Arial Narrow" w:hAnsi="Arial Narrow"/>
                <w:i/>
                <w:iCs/>
                <w:sz w:val="16"/>
                <w:szCs w:val="16"/>
              </w:rPr>
              <w:t> </w:t>
            </w:r>
          </w:p>
        </w:tc>
        <w:tc>
          <w:tcPr>
            <w:tcW w:w="5242" w:type="dxa"/>
            <w:tcBorders>
              <w:top w:val="nil"/>
              <w:left w:val="nil"/>
              <w:bottom w:val="nil"/>
              <w:right w:val="nil"/>
            </w:tcBorders>
            <w:shd w:val="clear" w:color="000000" w:fill="FFFFFF"/>
            <w:vAlign w:val="center"/>
            <w:hideMark/>
          </w:tcPr>
          <w:p w:rsidR="00A52D5B" w:rsidRDefault="00A52D5B">
            <w:pPr>
              <w:rPr>
                <w:rFonts w:ascii="Arial Narrow" w:hAnsi="Arial Narrow"/>
                <w:i/>
                <w:iCs/>
                <w:sz w:val="16"/>
                <w:szCs w:val="16"/>
              </w:rPr>
            </w:pPr>
            <w:r>
              <w:rPr>
                <w:rFonts w:ascii="Arial Narrow" w:hAnsi="Arial Narrow"/>
                <w:i/>
                <w:iCs/>
                <w:sz w:val="16"/>
                <w:szCs w:val="16"/>
              </w:rPr>
              <w:t>Λοιπές εθνικολογιστικές προσαρμογές</w:t>
            </w:r>
          </w:p>
        </w:tc>
        <w:tc>
          <w:tcPr>
            <w:tcW w:w="1340" w:type="dxa"/>
            <w:tcBorders>
              <w:top w:val="nil"/>
              <w:left w:val="nil"/>
              <w:bottom w:val="nil"/>
              <w:right w:val="nil"/>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c>
          <w:tcPr>
            <w:tcW w:w="1500" w:type="dxa"/>
            <w:tcBorders>
              <w:top w:val="nil"/>
              <w:left w:val="nil"/>
              <w:bottom w:val="nil"/>
              <w:right w:val="single" w:sz="4" w:space="0" w:color="auto"/>
            </w:tcBorders>
            <w:shd w:val="clear" w:color="000000" w:fill="FFFFFF"/>
            <w:vAlign w:val="center"/>
            <w:hideMark/>
          </w:tcPr>
          <w:p w:rsidR="00A52D5B" w:rsidRDefault="00A52D5B" w:rsidP="00A52D5B">
            <w:pPr>
              <w:tabs>
                <w:tab w:val="decimal" w:pos="603"/>
              </w:tabs>
              <w:jc w:val="both"/>
              <w:rPr>
                <w:rFonts w:ascii="Arial Narrow" w:hAnsi="Arial Narrow"/>
                <w:i/>
                <w:iCs/>
                <w:sz w:val="16"/>
                <w:szCs w:val="16"/>
              </w:rPr>
            </w:pPr>
            <w:r>
              <w:rPr>
                <w:rFonts w:ascii="Arial Narrow" w:hAnsi="Arial Narrow"/>
                <w:i/>
                <w:iCs/>
                <w:sz w:val="16"/>
                <w:szCs w:val="16"/>
              </w:rPr>
              <w:t>0</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A52D5B" w:rsidRDefault="00A52D5B" w:rsidP="00224303">
            <w:pPr>
              <w:rPr>
                <w:rFonts w:ascii="Arial Narrow" w:hAnsi="Arial Narrow"/>
                <w:b/>
                <w:bCs/>
                <w:sz w:val="16"/>
                <w:szCs w:val="16"/>
              </w:rPr>
            </w:pPr>
            <w:r>
              <w:rPr>
                <w:rFonts w:ascii="Arial Narrow" w:hAnsi="Arial Narrow"/>
                <w:b/>
                <w:bCs/>
                <w:sz w:val="16"/>
                <w:szCs w:val="16"/>
              </w:rPr>
              <w:t xml:space="preserve">Σύνολο </w:t>
            </w:r>
            <w:r w:rsidR="00224303">
              <w:rPr>
                <w:rFonts w:ascii="Arial Narrow" w:hAnsi="Arial Narrow"/>
                <w:b/>
                <w:bCs/>
                <w:sz w:val="16"/>
                <w:szCs w:val="16"/>
              </w:rPr>
              <w:t>νομικών προσώπων</w:t>
            </w:r>
            <w:r>
              <w:rPr>
                <w:rFonts w:ascii="Arial Narrow" w:hAnsi="Arial Narrow"/>
                <w:b/>
                <w:bCs/>
                <w:sz w:val="16"/>
                <w:szCs w:val="16"/>
              </w:rPr>
              <w:t xml:space="preserve"> κατά ESA</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881</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388</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Ισοζύγιο</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892</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382</w:t>
            </w:r>
          </w:p>
        </w:tc>
      </w:tr>
      <w:tr w:rsidR="00A52D5B" w:rsidTr="002D69A7">
        <w:trPr>
          <w:trHeight w:val="20"/>
          <w:jc w:val="center"/>
        </w:trPr>
        <w:tc>
          <w:tcPr>
            <w:tcW w:w="572" w:type="dxa"/>
            <w:tcBorders>
              <w:top w:val="nil"/>
              <w:left w:val="single" w:sz="4" w:space="0" w:color="auto"/>
              <w:bottom w:val="nil"/>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nil"/>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Μεταβολή ανεξόφλητων υποχρεώσεων</w:t>
            </w:r>
          </w:p>
        </w:tc>
        <w:tc>
          <w:tcPr>
            <w:tcW w:w="1340" w:type="dxa"/>
            <w:tcBorders>
              <w:top w:val="nil"/>
              <w:left w:val="nil"/>
              <w:bottom w:val="nil"/>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-10</w:t>
            </w:r>
          </w:p>
        </w:tc>
        <w:tc>
          <w:tcPr>
            <w:tcW w:w="1500" w:type="dxa"/>
            <w:tcBorders>
              <w:top w:val="nil"/>
              <w:left w:val="nil"/>
              <w:bottom w:val="nil"/>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6</w:t>
            </w:r>
          </w:p>
        </w:tc>
      </w:tr>
      <w:tr w:rsidR="00A52D5B" w:rsidTr="002D69A7">
        <w:trPr>
          <w:trHeight w:val="20"/>
          <w:jc w:val="center"/>
        </w:trPr>
        <w:tc>
          <w:tcPr>
            <w:tcW w:w="572" w:type="dxa"/>
            <w:tcBorders>
              <w:top w:val="nil"/>
              <w:left w:val="single" w:sz="4" w:space="0" w:color="auto"/>
              <w:bottom w:val="single" w:sz="4" w:space="0" w:color="auto"/>
              <w:right w:val="nil"/>
            </w:tcBorders>
            <w:shd w:val="clear" w:color="000000" w:fill="D8D8D8"/>
            <w:vAlign w:val="center"/>
            <w:hideMark/>
          </w:tcPr>
          <w:p w:rsidR="00A52D5B" w:rsidRDefault="00A52D5B">
            <w:pPr>
              <w:jc w:val="center"/>
              <w:rPr>
                <w:rFonts w:ascii="Arial Narrow" w:hAnsi="Arial Narrow"/>
                <w:b/>
                <w:bCs/>
                <w:sz w:val="16"/>
                <w:szCs w:val="16"/>
              </w:rPr>
            </w:pPr>
            <w:r>
              <w:rPr>
                <w:rFonts w:ascii="Arial Narrow" w:hAnsi="Arial Narrow"/>
                <w:b/>
                <w:bCs/>
                <w:sz w:val="16"/>
                <w:szCs w:val="16"/>
              </w:rPr>
              <w:t> </w:t>
            </w:r>
          </w:p>
        </w:tc>
        <w:tc>
          <w:tcPr>
            <w:tcW w:w="5242" w:type="dxa"/>
            <w:tcBorders>
              <w:top w:val="nil"/>
              <w:left w:val="nil"/>
              <w:bottom w:val="single" w:sz="4" w:space="0" w:color="auto"/>
              <w:right w:val="nil"/>
            </w:tcBorders>
            <w:shd w:val="clear" w:color="000000" w:fill="D8D8D8"/>
            <w:vAlign w:val="center"/>
            <w:hideMark/>
          </w:tcPr>
          <w:p w:rsidR="00A52D5B" w:rsidRDefault="00A52D5B">
            <w:pPr>
              <w:rPr>
                <w:rFonts w:ascii="Arial Narrow" w:hAnsi="Arial Narrow"/>
                <w:b/>
                <w:bCs/>
                <w:sz w:val="16"/>
                <w:szCs w:val="16"/>
              </w:rPr>
            </w:pPr>
            <w:r>
              <w:rPr>
                <w:rFonts w:ascii="Arial Narrow" w:hAnsi="Arial Narrow"/>
                <w:b/>
                <w:bCs/>
                <w:sz w:val="16"/>
                <w:szCs w:val="16"/>
              </w:rPr>
              <w:t>Λοιπές εθνικολογιστικές προσαρμογές</w:t>
            </w:r>
          </w:p>
        </w:tc>
        <w:tc>
          <w:tcPr>
            <w:tcW w:w="1340" w:type="dxa"/>
            <w:tcBorders>
              <w:top w:val="nil"/>
              <w:left w:val="nil"/>
              <w:bottom w:val="single" w:sz="4" w:space="0" w:color="auto"/>
              <w:right w:val="nil"/>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c>
          <w:tcPr>
            <w:tcW w:w="1500" w:type="dxa"/>
            <w:tcBorders>
              <w:top w:val="nil"/>
              <w:left w:val="nil"/>
              <w:bottom w:val="single" w:sz="4" w:space="0" w:color="auto"/>
              <w:right w:val="single" w:sz="4" w:space="0" w:color="auto"/>
            </w:tcBorders>
            <w:shd w:val="clear" w:color="000000" w:fill="D8D8D8"/>
            <w:vAlign w:val="center"/>
            <w:hideMark/>
          </w:tcPr>
          <w:p w:rsidR="00A52D5B" w:rsidRDefault="00A52D5B" w:rsidP="00A52D5B">
            <w:pPr>
              <w:tabs>
                <w:tab w:val="decimal" w:pos="603"/>
              </w:tabs>
              <w:jc w:val="both"/>
              <w:rPr>
                <w:rFonts w:ascii="Arial Narrow" w:hAnsi="Arial Narrow"/>
                <w:b/>
                <w:bCs/>
                <w:color w:val="000000"/>
                <w:sz w:val="16"/>
                <w:szCs w:val="16"/>
              </w:rPr>
            </w:pPr>
            <w:r>
              <w:rPr>
                <w:rFonts w:ascii="Arial Narrow" w:hAnsi="Arial Narrow"/>
                <w:b/>
                <w:bCs/>
                <w:color w:val="000000"/>
                <w:sz w:val="16"/>
                <w:szCs w:val="16"/>
              </w:rPr>
              <w:t>0</w:t>
            </w:r>
          </w:p>
        </w:tc>
      </w:tr>
    </w:tbl>
    <w:p w:rsidR="002866B5" w:rsidRDefault="00282521" w:rsidP="00282521">
      <w:pPr>
        <w:ind w:left="567" w:hanging="283"/>
        <w:jc w:val="both"/>
        <w:rPr>
          <w:rFonts w:ascii="Arial Narrow" w:hAnsi="Arial Narrow"/>
          <w:sz w:val="18"/>
        </w:rPr>
      </w:pPr>
      <w:r>
        <w:rPr>
          <w:rFonts w:ascii="Arial Narrow" w:hAnsi="Arial Narrow"/>
          <w:sz w:val="18"/>
        </w:rPr>
        <w:t>(1)</w:t>
      </w:r>
      <w:r>
        <w:rPr>
          <w:rFonts w:ascii="Arial Narrow" w:hAnsi="Arial Narrow"/>
          <w:sz w:val="18"/>
        </w:rPr>
        <w:tab/>
        <w:t>Το αρνητικό πρόσημο</w:t>
      </w:r>
      <w:r w:rsidR="000F1010">
        <w:rPr>
          <w:rFonts w:ascii="Arial Narrow" w:hAnsi="Arial Narrow"/>
          <w:sz w:val="18"/>
        </w:rPr>
        <w:t xml:space="preserve"> σημαίνει έλλειμμα.</w:t>
      </w:r>
    </w:p>
    <w:p w:rsidR="000F1010" w:rsidRPr="00282521" w:rsidRDefault="000F1010" w:rsidP="00282521">
      <w:pPr>
        <w:ind w:left="567" w:hanging="283"/>
        <w:jc w:val="both"/>
        <w:rPr>
          <w:rFonts w:ascii="Arial Narrow" w:hAnsi="Arial Narrow"/>
          <w:sz w:val="18"/>
        </w:rPr>
      </w:pPr>
      <w:r>
        <w:rPr>
          <w:rFonts w:ascii="Arial Narrow" w:hAnsi="Arial Narrow"/>
          <w:sz w:val="18"/>
        </w:rPr>
        <w:t>(2)</w:t>
      </w:r>
      <w:r>
        <w:rPr>
          <w:rFonts w:ascii="Arial Narrow" w:hAnsi="Arial Narrow"/>
          <w:sz w:val="18"/>
        </w:rPr>
        <w:tab/>
        <w:t>Το θετικό πρ</w:t>
      </w:r>
      <w:r w:rsidR="00312A50">
        <w:rPr>
          <w:rFonts w:ascii="Arial Narrow" w:hAnsi="Arial Narrow"/>
          <w:sz w:val="18"/>
        </w:rPr>
        <w:t>όσημο στη μεταβολή των ανεξόφλητων υποχρεώσεων σημαίνει βελτίωση του αποτελέσματος.</w:t>
      </w:r>
    </w:p>
    <w:p w:rsidR="00282521" w:rsidRDefault="00282521" w:rsidP="00514B22">
      <w:pPr>
        <w:ind w:left="426" w:hanging="426"/>
        <w:jc w:val="both"/>
        <w:rPr>
          <w:sz w:val="22"/>
        </w:rPr>
      </w:pPr>
    </w:p>
    <w:p w:rsidR="00282521" w:rsidRDefault="00282521" w:rsidP="00514B22">
      <w:pPr>
        <w:ind w:left="426" w:hanging="426"/>
        <w:jc w:val="both"/>
        <w:rPr>
          <w:sz w:val="22"/>
        </w:rPr>
      </w:pPr>
    </w:p>
    <w:p w:rsidR="002866B5" w:rsidRDefault="002866B5" w:rsidP="002866B5">
      <w:pPr>
        <w:contextualSpacing/>
        <w:jc w:val="both"/>
        <w:rPr>
          <w:rFonts w:ascii="Arial Narrow" w:hAnsi="Arial Narrow"/>
          <w:b/>
          <w:color w:val="000080"/>
          <w:szCs w:val="22"/>
        </w:rPr>
      </w:pPr>
      <w:r w:rsidRPr="0063065A">
        <w:rPr>
          <w:rFonts w:ascii="Arial Narrow" w:hAnsi="Arial Narrow"/>
          <w:b/>
          <w:color w:val="000080"/>
          <w:szCs w:val="22"/>
        </w:rPr>
        <w:t xml:space="preserve">Νομικά πρόσωπα </w:t>
      </w:r>
      <w:r w:rsidR="0043149A">
        <w:rPr>
          <w:rFonts w:ascii="Arial Narrow" w:hAnsi="Arial Narrow"/>
          <w:b/>
          <w:color w:val="000080"/>
          <w:szCs w:val="22"/>
        </w:rPr>
        <w:t xml:space="preserve">ανά Υπουργείο </w:t>
      </w:r>
      <w:r w:rsidRPr="0063065A">
        <w:rPr>
          <w:rFonts w:ascii="Arial Narrow" w:hAnsi="Arial Narrow"/>
          <w:b/>
          <w:color w:val="000080"/>
          <w:szCs w:val="22"/>
        </w:rPr>
        <w:t xml:space="preserve">πλην </w:t>
      </w:r>
      <w:r>
        <w:rPr>
          <w:rFonts w:ascii="Arial Narrow" w:hAnsi="Arial Narrow"/>
          <w:b/>
          <w:color w:val="000080"/>
          <w:szCs w:val="22"/>
        </w:rPr>
        <w:t xml:space="preserve">ΑΔΑ και </w:t>
      </w:r>
      <w:r w:rsidRPr="0063065A">
        <w:rPr>
          <w:rFonts w:ascii="Arial Narrow" w:hAnsi="Arial Narrow"/>
          <w:b/>
          <w:color w:val="000080"/>
          <w:szCs w:val="22"/>
        </w:rPr>
        <w:t>ΑΚΑΓΕ</w:t>
      </w:r>
    </w:p>
    <w:p w:rsidR="00CB79D9" w:rsidRDefault="00CB79D9" w:rsidP="00CB79D9">
      <w:pPr>
        <w:jc w:val="both"/>
        <w:rPr>
          <w:rFonts w:ascii="Arial Narrow" w:hAnsi="Arial Narrow"/>
          <w:b/>
          <w:i/>
          <w:sz w:val="22"/>
          <w:szCs w:val="22"/>
        </w:rPr>
      </w:pPr>
    </w:p>
    <w:p w:rsidR="00CB79D9" w:rsidRPr="006247CC" w:rsidRDefault="00CB79D9" w:rsidP="00CB79D9">
      <w:pPr>
        <w:jc w:val="both"/>
        <w:rPr>
          <w:rFonts w:ascii="Arial Narrow" w:hAnsi="Arial Narrow"/>
          <w:b/>
          <w:i/>
          <w:sz w:val="22"/>
          <w:szCs w:val="22"/>
        </w:rPr>
      </w:pPr>
      <w:r w:rsidRPr="006247CC">
        <w:rPr>
          <w:rFonts w:ascii="Arial Narrow" w:hAnsi="Arial Narrow"/>
          <w:b/>
          <w:i/>
          <w:sz w:val="22"/>
          <w:szCs w:val="22"/>
        </w:rPr>
        <w:t>Υπουργείο Εσωτερικών</w:t>
      </w:r>
    </w:p>
    <w:p w:rsidR="00CB79D9" w:rsidRPr="006247CC" w:rsidRDefault="00CB79D9" w:rsidP="00CB79D9">
      <w:pPr>
        <w:jc w:val="both"/>
        <w:rPr>
          <w:rFonts w:ascii="Arial Narrow" w:hAnsi="Arial Narrow"/>
          <w:b/>
          <w:i/>
          <w:sz w:val="22"/>
          <w:szCs w:val="22"/>
          <w:highlight w:val="yellow"/>
        </w:rPr>
      </w:pPr>
    </w:p>
    <w:p w:rsidR="00CB79D9" w:rsidRPr="006247CC" w:rsidRDefault="00CB79D9" w:rsidP="00CB79D9">
      <w:pPr>
        <w:jc w:val="both"/>
        <w:rPr>
          <w:sz w:val="22"/>
          <w:szCs w:val="22"/>
        </w:rPr>
      </w:pPr>
      <w:r w:rsidRPr="006247CC">
        <w:rPr>
          <w:sz w:val="22"/>
          <w:szCs w:val="22"/>
        </w:rPr>
        <w:t xml:space="preserve">Στο </w:t>
      </w:r>
      <w:r w:rsidR="00F578E3">
        <w:rPr>
          <w:sz w:val="22"/>
          <w:szCs w:val="22"/>
        </w:rPr>
        <w:t>εν λόγω υπουργείο περιλαμβάνονται</w:t>
      </w:r>
      <w:r w:rsidRPr="006247CC">
        <w:rPr>
          <w:sz w:val="22"/>
          <w:szCs w:val="22"/>
        </w:rPr>
        <w:t xml:space="preserve"> </w:t>
      </w:r>
      <w:r w:rsidR="00F578E3">
        <w:rPr>
          <w:sz w:val="22"/>
          <w:szCs w:val="22"/>
        </w:rPr>
        <w:t xml:space="preserve">το </w:t>
      </w:r>
      <w:r w:rsidRPr="006247CC">
        <w:rPr>
          <w:sz w:val="22"/>
          <w:szCs w:val="22"/>
        </w:rPr>
        <w:t>Κέντρο Ερευνών για Θέματα Ισότητας (ΚΕΘΙ), το Κ</w:t>
      </w:r>
      <w:r w:rsidRPr="006247CC">
        <w:rPr>
          <w:sz w:val="22"/>
          <w:szCs w:val="22"/>
        </w:rPr>
        <w:t>έ</w:t>
      </w:r>
      <w:r w:rsidRPr="006247CC">
        <w:rPr>
          <w:sz w:val="22"/>
          <w:szCs w:val="22"/>
        </w:rPr>
        <w:t>ντρο Μελετών Ασφάλειας (ΚΕΜΕΑ) (του πρώην Υπουργείου Δημοσίας Τάξης και Προστασίας του Πολίτη), καθώς επίσης η Αλεξάνδρεια Ζώνη Καινοτομίας ΑΕ και το Κέντρο Διαφύλαξης Αγιορείτ</w:t>
      </w:r>
      <w:r w:rsidRPr="006247CC">
        <w:rPr>
          <w:sz w:val="22"/>
          <w:szCs w:val="22"/>
        </w:rPr>
        <w:t>ι</w:t>
      </w:r>
      <w:r w:rsidRPr="006247CC">
        <w:rPr>
          <w:sz w:val="22"/>
          <w:szCs w:val="22"/>
        </w:rPr>
        <w:t>κης Κληρονομ</w:t>
      </w:r>
      <w:r w:rsidR="00CE6379">
        <w:rPr>
          <w:sz w:val="22"/>
          <w:szCs w:val="22"/>
        </w:rPr>
        <w:t>ιά</w:t>
      </w:r>
      <w:r w:rsidRPr="006247CC">
        <w:rPr>
          <w:sz w:val="22"/>
          <w:szCs w:val="22"/>
        </w:rPr>
        <w:t>ς (στο πρώην Υπουργείο Μακεδονίας και Θράκης)</w:t>
      </w:r>
      <w:r w:rsidR="00F578E3">
        <w:rPr>
          <w:sz w:val="22"/>
          <w:szCs w:val="22"/>
        </w:rPr>
        <w:t xml:space="preserve">, </w:t>
      </w:r>
      <w:r w:rsidR="00E964F4">
        <w:rPr>
          <w:sz w:val="22"/>
          <w:szCs w:val="22"/>
        </w:rPr>
        <w:t xml:space="preserve">το σύνολο των δαπανών </w:t>
      </w:r>
      <w:r w:rsidR="00F578E3">
        <w:rPr>
          <w:sz w:val="22"/>
          <w:szCs w:val="22"/>
        </w:rPr>
        <w:t xml:space="preserve">των </w:t>
      </w:r>
      <w:r w:rsidR="00F578E3">
        <w:rPr>
          <w:sz w:val="22"/>
          <w:szCs w:val="22"/>
        </w:rPr>
        <w:t>ο</w:t>
      </w:r>
      <w:r w:rsidR="00F578E3">
        <w:rPr>
          <w:sz w:val="22"/>
          <w:szCs w:val="22"/>
        </w:rPr>
        <w:t>ποίων θα καλυφθεί από τα έσοδά τους</w:t>
      </w:r>
      <w:r w:rsidRPr="006247CC">
        <w:rPr>
          <w:sz w:val="22"/>
          <w:szCs w:val="22"/>
        </w:rPr>
        <w:t>.</w:t>
      </w:r>
    </w:p>
    <w:p w:rsidR="00CB79D9" w:rsidRPr="006247CC" w:rsidRDefault="00CB79D9" w:rsidP="00CB79D9">
      <w:pPr>
        <w:jc w:val="both"/>
        <w:rPr>
          <w:rFonts w:ascii="Arial Narrow" w:hAnsi="Arial Narrow"/>
          <w:b/>
          <w:i/>
          <w:sz w:val="22"/>
          <w:szCs w:val="22"/>
        </w:rPr>
      </w:pPr>
    </w:p>
    <w:p w:rsidR="00CB79D9" w:rsidRPr="006247CC" w:rsidRDefault="00CB79D9" w:rsidP="00CB79D9">
      <w:pPr>
        <w:jc w:val="both"/>
        <w:rPr>
          <w:rFonts w:ascii="Arial Narrow" w:hAnsi="Arial Narrow"/>
          <w:b/>
          <w:i/>
          <w:sz w:val="22"/>
          <w:szCs w:val="22"/>
        </w:rPr>
      </w:pPr>
      <w:r w:rsidRPr="006247CC">
        <w:rPr>
          <w:rFonts w:ascii="Arial Narrow" w:hAnsi="Arial Narrow"/>
          <w:b/>
          <w:i/>
          <w:sz w:val="22"/>
          <w:szCs w:val="22"/>
        </w:rPr>
        <w:t xml:space="preserve">Υπουργείο Οικονομίας και Ανάπτυξης </w:t>
      </w:r>
    </w:p>
    <w:p w:rsidR="00CB79D9" w:rsidRPr="006247CC" w:rsidRDefault="00CB79D9" w:rsidP="00CB79D9">
      <w:pPr>
        <w:autoSpaceDE w:val="0"/>
        <w:autoSpaceDN w:val="0"/>
        <w:adjustRightInd w:val="0"/>
        <w:jc w:val="both"/>
        <w:rPr>
          <w:rFonts w:eastAsia="Calibri"/>
          <w:b/>
          <w:bCs/>
          <w:i/>
          <w:iCs/>
          <w:sz w:val="22"/>
          <w:szCs w:val="22"/>
          <w:highlight w:val="yellow"/>
        </w:rPr>
      </w:pPr>
    </w:p>
    <w:p w:rsidR="00CB79D9" w:rsidRPr="006247CC" w:rsidRDefault="00CB79D9" w:rsidP="00CB79D9">
      <w:pPr>
        <w:jc w:val="both"/>
        <w:rPr>
          <w:sz w:val="22"/>
          <w:szCs w:val="22"/>
        </w:rPr>
      </w:pPr>
      <w:r w:rsidRPr="006247CC">
        <w:rPr>
          <w:sz w:val="22"/>
          <w:szCs w:val="22"/>
        </w:rPr>
        <w:t>Στα νομικά πρόσωπα του Υπουργείου Οικονομίας και Ανάπτυξης, μεταξύ άλλων, περιλαμβάνονται το Εθνικό Ταμείο Επιχειρηματικότητας και Ανάπτυξης (ΕΤΕΑΝ) ΑΕ, που έχει ως βασικό σκοπό την προώθηση της επιχειρηματικότητας και ειδικότερα την ενίσχυση της πρόσβασης στη χρηματοδότηση για την ίδρυση νέων και καινοτόμων επιχειρήσεων, καθώς και η Ελληνική Εταιρεία Επενδύσεων και Εξωτερικού Εμπορίου ΑΕ, με κύριο στόχο την προσέλκυση, την υποδοχή και τη διατήρηση επενδ</w:t>
      </w:r>
      <w:r w:rsidRPr="006247CC">
        <w:rPr>
          <w:sz w:val="22"/>
          <w:szCs w:val="22"/>
        </w:rPr>
        <w:t>ύ</w:t>
      </w:r>
      <w:r w:rsidRPr="006247CC">
        <w:rPr>
          <w:sz w:val="22"/>
          <w:szCs w:val="22"/>
        </w:rPr>
        <w:t>σεων στην Ελλάδα</w:t>
      </w:r>
      <w:r w:rsidR="00CE6379">
        <w:rPr>
          <w:sz w:val="22"/>
          <w:szCs w:val="22"/>
        </w:rPr>
        <w:t>,</w:t>
      </w:r>
      <w:r w:rsidRPr="006247CC">
        <w:rPr>
          <w:sz w:val="22"/>
          <w:szCs w:val="22"/>
        </w:rPr>
        <w:t xml:space="preserve"> καθώς και την προώθηση και ανάπτυξη κάθε είδους εξαγωγών αγαθών και υπ</w:t>
      </w:r>
      <w:r w:rsidRPr="006247CC">
        <w:rPr>
          <w:sz w:val="22"/>
          <w:szCs w:val="22"/>
        </w:rPr>
        <w:t>η</w:t>
      </w:r>
      <w:r w:rsidRPr="006247CC">
        <w:rPr>
          <w:sz w:val="22"/>
          <w:szCs w:val="22"/>
        </w:rPr>
        <w:t>ρεσιών.</w:t>
      </w:r>
      <w:r w:rsidR="008967F1">
        <w:rPr>
          <w:sz w:val="22"/>
          <w:szCs w:val="22"/>
        </w:rPr>
        <w:t xml:space="preserve">                     </w:t>
      </w:r>
    </w:p>
    <w:p w:rsidR="00CB79D9" w:rsidRPr="006247CC" w:rsidRDefault="00F578E3" w:rsidP="00CB79D9">
      <w:pPr>
        <w:pStyle w:val="4"/>
        <w:rPr>
          <w:rFonts w:ascii="Times New Roman" w:hAnsi="Times New Roman"/>
          <w:b w:val="0"/>
          <w:i w:val="0"/>
          <w:color w:val="auto"/>
          <w:sz w:val="22"/>
        </w:rPr>
      </w:pPr>
      <w:r>
        <w:rPr>
          <w:rFonts w:ascii="Times New Roman" w:hAnsi="Times New Roman"/>
          <w:b w:val="0"/>
          <w:i w:val="0"/>
          <w:color w:val="auto"/>
          <w:sz w:val="22"/>
        </w:rPr>
        <w:t xml:space="preserve">Επίσης, </w:t>
      </w:r>
      <w:r w:rsidR="00CB79D9" w:rsidRPr="006247CC">
        <w:rPr>
          <w:rFonts w:ascii="Times New Roman" w:hAnsi="Times New Roman"/>
          <w:b w:val="0"/>
          <w:i w:val="0"/>
          <w:color w:val="auto"/>
          <w:sz w:val="22"/>
        </w:rPr>
        <w:t xml:space="preserve">περιλαμβάνονται και οι φορείς Ανώνυμη Εταιρεία Βιομηχανικής Έρευνας, Τεχνολογικής </w:t>
      </w:r>
      <w:r w:rsidR="00CB79D9" w:rsidRPr="006247CC">
        <w:rPr>
          <w:rFonts w:ascii="Times New Roman" w:hAnsi="Times New Roman"/>
          <w:b w:val="0"/>
          <w:i w:val="0"/>
          <w:color w:val="auto"/>
          <w:sz w:val="22"/>
        </w:rPr>
        <w:t>Α</w:t>
      </w:r>
      <w:r w:rsidR="00CB79D9" w:rsidRPr="006247CC">
        <w:rPr>
          <w:rFonts w:ascii="Times New Roman" w:hAnsi="Times New Roman"/>
          <w:b w:val="0"/>
          <w:i w:val="0"/>
          <w:color w:val="auto"/>
          <w:sz w:val="22"/>
        </w:rPr>
        <w:t>νάπτυξης και</w:t>
      </w:r>
      <w:r w:rsidR="00CB79D9" w:rsidRPr="006247CC">
        <w:rPr>
          <w:color w:val="auto"/>
        </w:rPr>
        <w:t xml:space="preserve"> </w:t>
      </w:r>
      <w:r w:rsidR="00CB79D9" w:rsidRPr="006247CC">
        <w:rPr>
          <w:rFonts w:ascii="Times New Roman" w:hAnsi="Times New Roman"/>
          <w:b w:val="0"/>
          <w:i w:val="0"/>
          <w:color w:val="auto"/>
          <w:sz w:val="22"/>
        </w:rPr>
        <w:t>Εργαστηριακών Δοκιμών, Πιστοπο</w:t>
      </w:r>
      <w:r>
        <w:rPr>
          <w:rFonts w:ascii="Times New Roman" w:hAnsi="Times New Roman"/>
          <w:b w:val="0"/>
          <w:i w:val="0"/>
          <w:color w:val="auto"/>
          <w:sz w:val="22"/>
        </w:rPr>
        <w:t xml:space="preserve">ίησης και Ποιότητας (ΕΒΕΤΑΜ) ΑΕ, </w:t>
      </w:r>
      <w:r w:rsidR="00CB79D9" w:rsidRPr="006247CC">
        <w:rPr>
          <w:rFonts w:ascii="Times New Roman" w:hAnsi="Times New Roman"/>
          <w:b w:val="0"/>
          <w:i w:val="0"/>
          <w:color w:val="auto"/>
          <w:sz w:val="22"/>
        </w:rPr>
        <w:t>Εθνικό Σ</w:t>
      </w:r>
      <w:r w:rsidR="00CB79D9" w:rsidRPr="006247CC">
        <w:rPr>
          <w:rFonts w:ascii="Times New Roman" w:hAnsi="Times New Roman"/>
          <w:b w:val="0"/>
          <w:i w:val="0"/>
          <w:color w:val="auto"/>
          <w:sz w:val="22"/>
        </w:rPr>
        <w:t>ύ</w:t>
      </w:r>
      <w:r w:rsidR="00CB79D9" w:rsidRPr="006247CC">
        <w:rPr>
          <w:rFonts w:ascii="Times New Roman" w:hAnsi="Times New Roman"/>
          <w:b w:val="0"/>
          <w:i w:val="0"/>
          <w:color w:val="auto"/>
          <w:sz w:val="22"/>
        </w:rPr>
        <w:t>στημα Υποδομών Ποιότη</w:t>
      </w:r>
      <w:r>
        <w:rPr>
          <w:rFonts w:ascii="Times New Roman" w:hAnsi="Times New Roman"/>
          <w:b w:val="0"/>
          <w:i w:val="0"/>
          <w:color w:val="auto"/>
          <w:sz w:val="22"/>
        </w:rPr>
        <w:t>τας (ΕΣΥΠ)</w:t>
      </w:r>
      <w:r w:rsidR="00CB79D9" w:rsidRPr="006247CC">
        <w:rPr>
          <w:rFonts w:ascii="Times New Roman" w:hAnsi="Times New Roman"/>
          <w:b w:val="0"/>
          <w:i w:val="0"/>
          <w:color w:val="auto"/>
          <w:sz w:val="22"/>
        </w:rPr>
        <w:t>,</w:t>
      </w:r>
      <w:r>
        <w:rPr>
          <w:rFonts w:ascii="Times New Roman" w:hAnsi="Times New Roman"/>
          <w:b w:val="0"/>
          <w:i w:val="0"/>
          <w:color w:val="auto"/>
          <w:sz w:val="22"/>
        </w:rPr>
        <w:t xml:space="preserve"> </w:t>
      </w:r>
      <w:r w:rsidR="00CB79D9" w:rsidRPr="006247CC">
        <w:rPr>
          <w:rFonts w:ascii="Times New Roman" w:hAnsi="Times New Roman"/>
          <w:b w:val="0"/>
          <w:i w:val="0"/>
          <w:color w:val="auto"/>
          <w:sz w:val="22"/>
        </w:rPr>
        <w:t>Οργανισμός Βιομηχανικής Ιδι</w:t>
      </w:r>
      <w:r>
        <w:rPr>
          <w:rFonts w:ascii="Times New Roman" w:hAnsi="Times New Roman"/>
          <w:b w:val="0"/>
          <w:i w:val="0"/>
          <w:color w:val="auto"/>
          <w:sz w:val="22"/>
        </w:rPr>
        <w:t xml:space="preserve">οκτησίας (ΟΒΙ), </w:t>
      </w:r>
      <w:r w:rsidR="00CB79D9" w:rsidRPr="006247CC">
        <w:rPr>
          <w:rFonts w:ascii="Times New Roman" w:hAnsi="Times New Roman"/>
          <w:b w:val="0"/>
          <w:i w:val="0"/>
          <w:color w:val="auto"/>
          <w:sz w:val="22"/>
        </w:rPr>
        <w:t>Κέντρο Πρ</w:t>
      </w:r>
      <w:r w:rsidR="00CB79D9" w:rsidRPr="006247CC">
        <w:rPr>
          <w:rFonts w:ascii="Times New Roman" w:hAnsi="Times New Roman"/>
          <w:b w:val="0"/>
          <w:i w:val="0"/>
          <w:color w:val="auto"/>
          <w:sz w:val="22"/>
        </w:rPr>
        <w:t>ο</w:t>
      </w:r>
      <w:r w:rsidR="00CB79D9" w:rsidRPr="006247CC">
        <w:rPr>
          <w:rFonts w:ascii="Times New Roman" w:hAnsi="Times New Roman"/>
          <w:b w:val="0"/>
          <w:i w:val="0"/>
          <w:color w:val="auto"/>
          <w:sz w:val="22"/>
        </w:rPr>
        <w:t>γραμματισμού και Ερευ</w:t>
      </w:r>
      <w:r>
        <w:rPr>
          <w:rFonts w:ascii="Times New Roman" w:hAnsi="Times New Roman"/>
          <w:b w:val="0"/>
          <w:i w:val="0"/>
          <w:color w:val="auto"/>
          <w:sz w:val="22"/>
        </w:rPr>
        <w:t xml:space="preserve">νών (ΚΕΠΕ) και </w:t>
      </w:r>
      <w:r w:rsidR="00CB79D9" w:rsidRPr="006247CC">
        <w:rPr>
          <w:rFonts w:ascii="Times New Roman" w:hAnsi="Times New Roman"/>
          <w:b w:val="0"/>
          <w:i w:val="0"/>
          <w:color w:val="auto"/>
          <w:sz w:val="22"/>
        </w:rPr>
        <w:t xml:space="preserve">Κέντρο Διεθνούς και Ευρωπαϊκού Οικονομικού Δικαίου (ΚΔΕΟΔ). </w:t>
      </w:r>
    </w:p>
    <w:p w:rsidR="00F578E3" w:rsidRDefault="00F578E3" w:rsidP="00CB79D9">
      <w:pPr>
        <w:jc w:val="both"/>
        <w:rPr>
          <w:sz w:val="22"/>
          <w:szCs w:val="22"/>
        </w:rPr>
      </w:pPr>
    </w:p>
    <w:p w:rsidR="00CB79D9" w:rsidRPr="006247CC" w:rsidRDefault="00F578E3" w:rsidP="00CB79D9">
      <w:pPr>
        <w:jc w:val="both"/>
        <w:rPr>
          <w:sz w:val="22"/>
          <w:szCs w:val="22"/>
        </w:rPr>
      </w:pPr>
      <w:r>
        <w:rPr>
          <w:sz w:val="22"/>
          <w:szCs w:val="22"/>
        </w:rPr>
        <w:t>Τ</w:t>
      </w:r>
      <w:r w:rsidR="00626BD6">
        <w:rPr>
          <w:sz w:val="22"/>
          <w:szCs w:val="22"/>
        </w:rPr>
        <w:t xml:space="preserve">ο </w:t>
      </w:r>
      <w:r w:rsidR="001C4A4E">
        <w:rPr>
          <w:sz w:val="22"/>
          <w:szCs w:val="22"/>
        </w:rPr>
        <w:t xml:space="preserve">συνολικό </w:t>
      </w:r>
      <w:r w:rsidR="00626BD6">
        <w:rPr>
          <w:sz w:val="22"/>
          <w:szCs w:val="22"/>
        </w:rPr>
        <w:t xml:space="preserve">αποτέλεσμα </w:t>
      </w:r>
      <w:r w:rsidR="00CB79D9" w:rsidRPr="006247CC">
        <w:rPr>
          <w:sz w:val="22"/>
          <w:szCs w:val="22"/>
        </w:rPr>
        <w:t xml:space="preserve">των νομικών προσώπων στο έτος 2018 </w:t>
      </w:r>
      <w:r>
        <w:rPr>
          <w:sz w:val="22"/>
          <w:szCs w:val="22"/>
        </w:rPr>
        <w:t xml:space="preserve">προβλέπεται σε </w:t>
      </w:r>
      <w:r w:rsidR="00CB79D9" w:rsidRPr="006247CC">
        <w:rPr>
          <w:sz w:val="22"/>
          <w:szCs w:val="22"/>
        </w:rPr>
        <w:t>πλεόνασμα ύψους 4 εκατ. ευρώ.</w:t>
      </w:r>
    </w:p>
    <w:p w:rsidR="00CB79D9" w:rsidRPr="006247CC" w:rsidRDefault="00CB79D9" w:rsidP="00CB79D9">
      <w:pPr>
        <w:jc w:val="both"/>
        <w:rPr>
          <w:rFonts w:ascii="Arial Narrow" w:hAnsi="Arial Narrow"/>
          <w:b/>
          <w:i/>
          <w:sz w:val="22"/>
          <w:szCs w:val="22"/>
          <w:highlight w:val="yellow"/>
        </w:rPr>
      </w:pPr>
      <w:r w:rsidRPr="006247CC">
        <w:rPr>
          <w:rFonts w:ascii="Arial Narrow" w:hAnsi="Arial Narrow"/>
          <w:b/>
          <w:i/>
          <w:sz w:val="22"/>
          <w:szCs w:val="22"/>
          <w:highlight w:val="yellow"/>
        </w:rPr>
        <w:t xml:space="preserve"> </w:t>
      </w:r>
    </w:p>
    <w:p w:rsidR="00CB79D9" w:rsidRPr="006247CC" w:rsidRDefault="00CB79D9" w:rsidP="00CB79D9">
      <w:pPr>
        <w:jc w:val="both"/>
        <w:rPr>
          <w:rFonts w:ascii="Arial Narrow" w:hAnsi="Arial Narrow"/>
          <w:b/>
          <w:i/>
          <w:sz w:val="22"/>
          <w:szCs w:val="22"/>
        </w:rPr>
      </w:pPr>
      <w:r w:rsidRPr="006247CC">
        <w:rPr>
          <w:rFonts w:ascii="Arial Narrow" w:hAnsi="Arial Narrow"/>
          <w:b/>
          <w:i/>
          <w:sz w:val="22"/>
          <w:szCs w:val="22"/>
        </w:rPr>
        <w:t>Υπουργείο Ψηφιακής Πολιτικής, Τηλεπικοινωνιών και Ενημέρωσης</w:t>
      </w:r>
    </w:p>
    <w:p w:rsidR="00CB79D9" w:rsidRPr="006247CC" w:rsidRDefault="00CB79D9" w:rsidP="00CB79D9">
      <w:pPr>
        <w:jc w:val="both"/>
        <w:rPr>
          <w:sz w:val="22"/>
          <w:szCs w:val="22"/>
        </w:rPr>
      </w:pPr>
    </w:p>
    <w:p w:rsidR="00CB79D9" w:rsidRPr="006247CC" w:rsidRDefault="00CB79D9" w:rsidP="00CB79D9">
      <w:pPr>
        <w:jc w:val="both"/>
        <w:rPr>
          <w:sz w:val="22"/>
          <w:szCs w:val="22"/>
        </w:rPr>
      </w:pPr>
      <w:r w:rsidRPr="006247CC">
        <w:rPr>
          <w:sz w:val="22"/>
          <w:szCs w:val="22"/>
        </w:rPr>
        <w:t>Το Υπουργείο Ψηφιακής Πολιτικής, Τηλεπικοινωνιών και Ενημέρωσης εποπτεύει το Αθηναϊκό Πρ</w:t>
      </w:r>
      <w:r w:rsidRPr="006247CC">
        <w:rPr>
          <w:sz w:val="22"/>
          <w:szCs w:val="22"/>
        </w:rPr>
        <w:t>α</w:t>
      </w:r>
      <w:r w:rsidRPr="006247CC">
        <w:rPr>
          <w:sz w:val="22"/>
          <w:szCs w:val="22"/>
        </w:rPr>
        <w:t xml:space="preserve">κτορείο Ειδήσεων - Μακεδονικό Πρακτορείο Ειδήσεων (ΑΠΕ-ΜΠΕ) ΑΕ, ο προϋπολογισμός του </w:t>
      </w:r>
      <w:r w:rsidRPr="006247CC">
        <w:rPr>
          <w:sz w:val="22"/>
          <w:szCs w:val="22"/>
        </w:rPr>
        <w:t>ο</w:t>
      </w:r>
      <w:r w:rsidRPr="006247CC">
        <w:rPr>
          <w:sz w:val="22"/>
          <w:szCs w:val="22"/>
        </w:rPr>
        <w:t>ποίου προβλέπεται να είναι ισοσκελισμένος στο έτος 2018.</w:t>
      </w:r>
    </w:p>
    <w:p w:rsidR="00626BD6" w:rsidRDefault="00626BD6" w:rsidP="00CB79D9">
      <w:pPr>
        <w:jc w:val="both"/>
        <w:rPr>
          <w:rFonts w:ascii="Arial Narrow" w:hAnsi="Arial Narrow"/>
          <w:b/>
          <w:i/>
          <w:sz w:val="22"/>
          <w:szCs w:val="22"/>
        </w:rPr>
      </w:pPr>
    </w:p>
    <w:p w:rsidR="00CB79D9" w:rsidRPr="006247CC" w:rsidRDefault="00CB79D9" w:rsidP="00CB79D9">
      <w:pPr>
        <w:jc w:val="both"/>
        <w:rPr>
          <w:rFonts w:ascii="Arial Narrow" w:hAnsi="Arial Narrow"/>
          <w:b/>
          <w:i/>
          <w:sz w:val="22"/>
          <w:szCs w:val="22"/>
        </w:rPr>
      </w:pPr>
      <w:r w:rsidRPr="006247CC">
        <w:rPr>
          <w:rFonts w:ascii="Arial Narrow" w:hAnsi="Arial Narrow"/>
          <w:b/>
          <w:i/>
          <w:sz w:val="22"/>
          <w:szCs w:val="22"/>
        </w:rPr>
        <w:t>Υπουργείο Εθνικής Άμυνας</w:t>
      </w:r>
    </w:p>
    <w:p w:rsidR="00CB79D9" w:rsidRPr="006247CC" w:rsidRDefault="00CB79D9" w:rsidP="00CB79D9">
      <w:pPr>
        <w:jc w:val="both"/>
        <w:rPr>
          <w:b/>
          <w:sz w:val="22"/>
          <w:szCs w:val="22"/>
          <w:highlight w:val="yellow"/>
        </w:rPr>
      </w:pPr>
    </w:p>
    <w:p w:rsidR="00CB79D9" w:rsidRPr="006247CC" w:rsidRDefault="00CB79D9" w:rsidP="00CB79D9">
      <w:pPr>
        <w:jc w:val="both"/>
        <w:rPr>
          <w:sz w:val="22"/>
          <w:szCs w:val="22"/>
        </w:rPr>
      </w:pPr>
      <w:r w:rsidRPr="006247CC">
        <w:rPr>
          <w:sz w:val="22"/>
          <w:szCs w:val="22"/>
        </w:rPr>
        <w:t xml:space="preserve">Στην εποπτεία του </w:t>
      </w:r>
      <w:r w:rsidR="0071251C">
        <w:rPr>
          <w:sz w:val="22"/>
          <w:szCs w:val="22"/>
        </w:rPr>
        <w:t>υ</w:t>
      </w:r>
      <w:r w:rsidRPr="006247CC">
        <w:rPr>
          <w:sz w:val="22"/>
          <w:szCs w:val="22"/>
        </w:rPr>
        <w:t xml:space="preserve">πουργείου περιλαμβάνονται συνολικά έξι (6) νομικά πρόσωπα δημοσίου δικαίου, το αποτέλεσμα των οποίων εκτιμάται σε </w:t>
      </w:r>
      <w:r w:rsidR="00626BD6">
        <w:rPr>
          <w:sz w:val="22"/>
          <w:szCs w:val="22"/>
        </w:rPr>
        <w:t>πλεόνασμα</w:t>
      </w:r>
      <w:r w:rsidR="0071251C">
        <w:rPr>
          <w:sz w:val="22"/>
          <w:szCs w:val="22"/>
        </w:rPr>
        <w:t xml:space="preserve"> </w:t>
      </w:r>
      <w:r w:rsidRPr="006247CC">
        <w:rPr>
          <w:sz w:val="22"/>
          <w:szCs w:val="22"/>
        </w:rPr>
        <w:t>1 εκατ. ευρώ περίπου. Το κυριότερο μέρος των εσόδων του προϋπολογισμού των εν λόγω νομικών προσώπων προέρχεται από την ίδια επιχειρηματ</w:t>
      </w:r>
      <w:r w:rsidRPr="006247CC">
        <w:rPr>
          <w:sz w:val="22"/>
          <w:szCs w:val="22"/>
        </w:rPr>
        <w:t>ι</w:t>
      </w:r>
      <w:r w:rsidRPr="006247CC">
        <w:rPr>
          <w:sz w:val="22"/>
          <w:szCs w:val="22"/>
        </w:rPr>
        <w:t>κή δραστη</w:t>
      </w:r>
      <w:r w:rsidR="00626BD6">
        <w:rPr>
          <w:sz w:val="22"/>
          <w:szCs w:val="22"/>
        </w:rPr>
        <w:t>ριότητά</w:t>
      </w:r>
      <w:r w:rsidRPr="006247CC">
        <w:rPr>
          <w:sz w:val="22"/>
          <w:szCs w:val="22"/>
        </w:rPr>
        <w:t xml:space="preserve"> τ</w:t>
      </w:r>
      <w:r w:rsidR="00626BD6">
        <w:rPr>
          <w:sz w:val="22"/>
          <w:szCs w:val="22"/>
        </w:rPr>
        <w:t>ους</w:t>
      </w:r>
      <w:r w:rsidRPr="006247CC">
        <w:rPr>
          <w:sz w:val="22"/>
          <w:szCs w:val="22"/>
        </w:rPr>
        <w:t>, ενώ οι δαπάνες του προϋπολογισμού τους αφορούν κυρίως δαπάνες για επε</w:t>
      </w:r>
      <w:r w:rsidRPr="006247CC">
        <w:rPr>
          <w:sz w:val="22"/>
          <w:szCs w:val="22"/>
        </w:rPr>
        <w:t>ν</w:t>
      </w:r>
      <w:r w:rsidRPr="006247CC">
        <w:rPr>
          <w:sz w:val="22"/>
          <w:szCs w:val="22"/>
        </w:rPr>
        <w:t>δύσεις και υπηρεσίες.</w:t>
      </w:r>
    </w:p>
    <w:p w:rsidR="00CB79D9" w:rsidRDefault="00CB79D9" w:rsidP="00812A22">
      <w:pPr>
        <w:keepNext/>
        <w:jc w:val="both"/>
        <w:outlineLvl w:val="4"/>
        <w:rPr>
          <w:rFonts w:ascii="Arial Narrow" w:hAnsi="Arial Narrow"/>
          <w:b/>
          <w:bCs/>
          <w:color w:val="000080"/>
          <w:szCs w:val="22"/>
        </w:rPr>
      </w:pPr>
    </w:p>
    <w:p w:rsidR="00CB79D9" w:rsidRPr="006247CC" w:rsidRDefault="00CB79D9" w:rsidP="00CB79D9">
      <w:pPr>
        <w:jc w:val="both"/>
        <w:rPr>
          <w:rFonts w:ascii="Arial Narrow" w:hAnsi="Arial Narrow"/>
          <w:b/>
          <w:i/>
          <w:sz w:val="22"/>
          <w:szCs w:val="22"/>
        </w:rPr>
      </w:pPr>
      <w:r w:rsidRPr="006247CC">
        <w:rPr>
          <w:rFonts w:ascii="Arial Narrow" w:hAnsi="Arial Narrow"/>
          <w:b/>
          <w:i/>
          <w:sz w:val="22"/>
          <w:szCs w:val="22"/>
        </w:rPr>
        <w:t xml:space="preserve">Υπουργείο </w:t>
      </w:r>
      <w:r>
        <w:rPr>
          <w:rFonts w:ascii="Arial Narrow" w:hAnsi="Arial Narrow"/>
          <w:b/>
          <w:i/>
          <w:sz w:val="22"/>
          <w:szCs w:val="22"/>
        </w:rPr>
        <w:t>Παιδείας, Έρευνας και Θρησκευμάτων</w:t>
      </w:r>
    </w:p>
    <w:p w:rsidR="00CB79D9" w:rsidRPr="00CB79D9" w:rsidRDefault="00CB79D9" w:rsidP="00812A22">
      <w:pPr>
        <w:keepNext/>
        <w:jc w:val="both"/>
        <w:outlineLvl w:val="4"/>
        <w:rPr>
          <w:bCs/>
          <w:sz w:val="22"/>
          <w:szCs w:val="22"/>
        </w:rPr>
      </w:pPr>
    </w:p>
    <w:p w:rsidR="00CB79D9" w:rsidRPr="00CB79D9" w:rsidRDefault="0071251C" w:rsidP="00CB79D9">
      <w:pPr>
        <w:keepNext/>
        <w:jc w:val="both"/>
        <w:outlineLvl w:val="4"/>
        <w:rPr>
          <w:bCs/>
          <w:sz w:val="22"/>
          <w:szCs w:val="22"/>
        </w:rPr>
      </w:pPr>
      <w:r>
        <w:rPr>
          <w:bCs/>
          <w:sz w:val="22"/>
          <w:szCs w:val="22"/>
        </w:rPr>
        <w:t>Οι εποπτευόμενοι φορείς του υ</w:t>
      </w:r>
      <w:r w:rsidR="00CB79D9" w:rsidRPr="00CB79D9">
        <w:rPr>
          <w:bCs/>
          <w:sz w:val="22"/>
          <w:szCs w:val="22"/>
        </w:rPr>
        <w:t>πουργείου αφορούν νομικά πρόσωπα δημοσίου δικαίου (ΑΕΙ</w:t>
      </w:r>
      <w:r w:rsidR="00CB79D9">
        <w:rPr>
          <w:bCs/>
          <w:sz w:val="22"/>
          <w:szCs w:val="22"/>
        </w:rPr>
        <w:t xml:space="preserve">- </w:t>
      </w:r>
      <w:r w:rsidR="00CB79D9" w:rsidRPr="00CB79D9">
        <w:rPr>
          <w:bCs/>
          <w:sz w:val="22"/>
          <w:szCs w:val="22"/>
        </w:rPr>
        <w:t>ΤΕΙ</w:t>
      </w:r>
      <w:r w:rsidR="00CB79D9">
        <w:rPr>
          <w:bCs/>
          <w:sz w:val="22"/>
          <w:szCs w:val="22"/>
        </w:rPr>
        <w:t xml:space="preserve"> –</w:t>
      </w:r>
      <w:r w:rsidR="00CB79D9" w:rsidRPr="00CB79D9">
        <w:rPr>
          <w:bCs/>
          <w:sz w:val="22"/>
          <w:szCs w:val="22"/>
        </w:rPr>
        <w:t>βιβλιοθήκες</w:t>
      </w:r>
      <w:r w:rsidR="00CB79D9">
        <w:rPr>
          <w:bCs/>
          <w:sz w:val="22"/>
          <w:szCs w:val="22"/>
        </w:rPr>
        <w:t xml:space="preserve"> - </w:t>
      </w:r>
      <w:r w:rsidR="00CB79D9" w:rsidRPr="00CB79D9">
        <w:rPr>
          <w:bCs/>
          <w:sz w:val="22"/>
          <w:szCs w:val="22"/>
        </w:rPr>
        <w:t>ερευνητικά κέντρα)</w:t>
      </w:r>
      <w:r w:rsidR="00626BD6">
        <w:rPr>
          <w:bCs/>
          <w:sz w:val="22"/>
          <w:szCs w:val="22"/>
        </w:rPr>
        <w:t xml:space="preserve"> και ιδιωτικού δικαίου (Ειδικοί Λογαριασμοί</w:t>
      </w:r>
      <w:r w:rsidR="00CB79D9" w:rsidRPr="00CB79D9">
        <w:rPr>
          <w:bCs/>
          <w:sz w:val="22"/>
          <w:szCs w:val="22"/>
        </w:rPr>
        <w:t xml:space="preserve"> Κονδυλίων Έρευ</w:t>
      </w:r>
      <w:r w:rsidR="00CB79D9">
        <w:rPr>
          <w:bCs/>
          <w:sz w:val="22"/>
          <w:szCs w:val="22"/>
        </w:rPr>
        <w:t xml:space="preserve">νας - </w:t>
      </w:r>
      <w:r w:rsidR="00CB79D9" w:rsidRPr="00CB79D9">
        <w:rPr>
          <w:bCs/>
          <w:sz w:val="22"/>
          <w:szCs w:val="22"/>
        </w:rPr>
        <w:t>νομικά πρόσωπα του κε</w:t>
      </w:r>
      <w:r w:rsidR="00626BD6">
        <w:rPr>
          <w:bCs/>
          <w:sz w:val="22"/>
          <w:szCs w:val="22"/>
        </w:rPr>
        <w:t>φ. Α΄ του ν</w:t>
      </w:r>
      <w:r w:rsidR="00CB79D9" w:rsidRPr="00CB79D9">
        <w:rPr>
          <w:bCs/>
          <w:sz w:val="22"/>
          <w:szCs w:val="22"/>
        </w:rPr>
        <w:t>. 3429/2005</w:t>
      </w:r>
      <w:r w:rsidR="00626BD6">
        <w:rPr>
          <w:bCs/>
          <w:sz w:val="22"/>
          <w:szCs w:val="22"/>
        </w:rPr>
        <w:t xml:space="preserve"> κ.λπ.)</w:t>
      </w:r>
      <w:r w:rsidR="00CB79D9" w:rsidRPr="00CB79D9">
        <w:rPr>
          <w:bCs/>
          <w:sz w:val="22"/>
          <w:szCs w:val="22"/>
        </w:rPr>
        <w:t>.</w:t>
      </w:r>
    </w:p>
    <w:p w:rsidR="00CB79D9" w:rsidRDefault="00CB79D9" w:rsidP="00CB79D9">
      <w:pPr>
        <w:keepNext/>
        <w:jc w:val="both"/>
        <w:outlineLvl w:val="4"/>
        <w:rPr>
          <w:bCs/>
          <w:sz w:val="22"/>
          <w:szCs w:val="22"/>
        </w:rPr>
      </w:pPr>
    </w:p>
    <w:p w:rsidR="00CB79D9" w:rsidRPr="00CB79D9" w:rsidRDefault="00CB79D9" w:rsidP="00CB79D9">
      <w:pPr>
        <w:keepNext/>
        <w:jc w:val="both"/>
        <w:outlineLvl w:val="4"/>
        <w:rPr>
          <w:bCs/>
          <w:sz w:val="22"/>
          <w:szCs w:val="22"/>
        </w:rPr>
      </w:pPr>
      <w:r w:rsidRPr="00CB79D9">
        <w:rPr>
          <w:bCs/>
          <w:sz w:val="22"/>
          <w:szCs w:val="22"/>
        </w:rPr>
        <w:t>Ο προϋπολογισμό</w:t>
      </w:r>
      <w:r w:rsidR="0071251C">
        <w:rPr>
          <w:bCs/>
          <w:sz w:val="22"/>
          <w:szCs w:val="22"/>
        </w:rPr>
        <w:t>ς των εποπτευόμενων φορέων του υ</w:t>
      </w:r>
      <w:r w:rsidRPr="00CB79D9">
        <w:rPr>
          <w:bCs/>
          <w:sz w:val="22"/>
          <w:szCs w:val="22"/>
        </w:rPr>
        <w:t>πουργείου αναμένεται να παρουσιάσει θετικό αποτέλεσμα ύψους 37 εκατ. ευρώ. Το αποτέλεσμα αυτό προβλέπεται να προκύψει κυρίως από τους Ειδικούς Λογαριασμούς Κονδυλίων Έρευνας.</w:t>
      </w:r>
    </w:p>
    <w:p w:rsidR="00CB79D9" w:rsidRDefault="00CB79D9" w:rsidP="00CB79D9">
      <w:pPr>
        <w:keepNext/>
        <w:jc w:val="both"/>
        <w:outlineLvl w:val="4"/>
        <w:rPr>
          <w:bCs/>
          <w:sz w:val="22"/>
          <w:szCs w:val="22"/>
        </w:rPr>
      </w:pPr>
    </w:p>
    <w:p w:rsidR="00CB79D9" w:rsidRPr="00CB79D9" w:rsidRDefault="00626BD6" w:rsidP="00CB79D9">
      <w:pPr>
        <w:keepNext/>
        <w:jc w:val="both"/>
        <w:outlineLvl w:val="4"/>
        <w:rPr>
          <w:bCs/>
          <w:sz w:val="22"/>
          <w:szCs w:val="22"/>
        </w:rPr>
      </w:pPr>
      <w:r>
        <w:rPr>
          <w:bCs/>
          <w:sz w:val="22"/>
          <w:szCs w:val="22"/>
        </w:rPr>
        <w:t>Επισημαίνεται ότι κ</w:t>
      </w:r>
      <w:r w:rsidR="00CB79D9" w:rsidRPr="00CB79D9">
        <w:rPr>
          <w:bCs/>
          <w:sz w:val="22"/>
          <w:szCs w:val="22"/>
        </w:rPr>
        <w:t>ύρια πηγή των εσόδων για τα ΑΕΙ, τα ΤΕΙ</w:t>
      </w:r>
      <w:r w:rsidR="00CB79D9">
        <w:rPr>
          <w:bCs/>
          <w:sz w:val="22"/>
          <w:szCs w:val="22"/>
        </w:rPr>
        <w:t xml:space="preserve"> και τις β</w:t>
      </w:r>
      <w:r w:rsidR="00CB79D9" w:rsidRPr="00CB79D9">
        <w:rPr>
          <w:bCs/>
          <w:sz w:val="22"/>
          <w:szCs w:val="22"/>
        </w:rPr>
        <w:t>ιβλιοθήκες αποτελούν οι μετ</w:t>
      </w:r>
      <w:r w:rsidR="00CB79D9" w:rsidRPr="00CB79D9">
        <w:rPr>
          <w:bCs/>
          <w:sz w:val="22"/>
          <w:szCs w:val="22"/>
        </w:rPr>
        <w:t>α</w:t>
      </w:r>
      <w:r w:rsidR="00CB79D9" w:rsidRPr="00CB79D9">
        <w:rPr>
          <w:bCs/>
          <w:sz w:val="22"/>
          <w:szCs w:val="22"/>
        </w:rPr>
        <w:t>βιβάσεις από τον Κρατικό Προϋπολογισμό, καθώς και οι πόροι από συγχρηματοδοτούμενα προγρά</w:t>
      </w:r>
      <w:r w:rsidR="00CB79D9" w:rsidRPr="00CB79D9">
        <w:rPr>
          <w:bCs/>
          <w:sz w:val="22"/>
          <w:szCs w:val="22"/>
        </w:rPr>
        <w:t>μ</w:t>
      </w:r>
      <w:r w:rsidR="00CB79D9" w:rsidRPr="00CB79D9">
        <w:rPr>
          <w:bCs/>
          <w:sz w:val="22"/>
          <w:szCs w:val="22"/>
        </w:rPr>
        <w:t>ματα από την ΕΕ.</w:t>
      </w:r>
    </w:p>
    <w:p w:rsidR="00CB79D9" w:rsidRDefault="00CB79D9" w:rsidP="00812A22">
      <w:pPr>
        <w:keepNext/>
        <w:jc w:val="both"/>
        <w:outlineLvl w:val="4"/>
        <w:rPr>
          <w:bCs/>
          <w:sz w:val="22"/>
          <w:szCs w:val="22"/>
        </w:rPr>
      </w:pPr>
    </w:p>
    <w:p w:rsidR="00FB65A5" w:rsidRPr="00607A13" w:rsidRDefault="00FB65A5" w:rsidP="00FB65A5">
      <w:pPr>
        <w:contextualSpacing/>
        <w:jc w:val="both"/>
        <w:rPr>
          <w:rFonts w:ascii="Arial Narrow" w:hAnsi="Arial Narrow"/>
          <w:b/>
          <w:i/>
          <w:sz w:val="22"/>
          <w:szCs w:val="22"/>
        </w:rPr>
      </w:pPr>
      <w:r w:rsidRPr="00607A13">
        <w:rPr>
          <w:rFonts w:ascii="Arial Narrow" w:hAnsi="Arial Narrow"/>
          <w:b/>
          <w:i/>
          <w:sz w:val="22"/>
          <w:szCs w:val="22"/>
        </w:rPr>
        <w:t>Υπουργείο Εργασίας, Κοινωνικής Ασφάλισης και Κοινωνικής Αλληλεγγύης</w:t>
      </w:r>
    </w:p>
    <w:p w:rsidR="00FB65A5" w:rsidRPr="00064EBD" w:rsidRDefault="00FB65A5" w:rsidP="00FB65A5">
      <w:pPr>
        <w:contextualSpacing/>
        <w:jc w:val="both"/>
        <w:rPr>
          <w:b/>
          <w:bCs/>
          <w:highlight w:val="yellow"/>
        </w:rPr>
      </w:pPr>
    </w:p>
    <w:p w:rsidR="00FB65A5" w:rsidRPr="00515DF5" w:rsidRDefault="00FB65A5" w:rsidP="00FB65A5">
      <w:pPr>
        <w:jc w:val="both"/>
        <w:rPr>
          <w:sz w:val="22"/>
          <w:szCs w:val="22"/>
        </w:rPr>
      </w:pPr>
      <w:r w:rsidRPr="00515DF5">
        <w:rPr>
          <w:sz w:val="22"/>
          <w:szCs w:val="22"/>
        </w:rPr>
        <w:t>Για το έτος 20</w:t>
      </w:r>
      <w:r w:rsidR="0071251C">
        <w:rPr>
          <w:sz w:val="22"/>
          <w:szCs w:val="22"/>
        </w:rPr>
        <w:t>18 οι εποπτευόμενοι φορείς του υ</w:t>
      </w:r>
      <w:r w:rsidRPr="00515DF5">
        <w:rPr>
          <w:sz w:val="22"/>
          <w:szCs w:val="22"/>
        </w:rPr>
        <w:t>πουργείου, αναμένεται να παρουσιάσουν θετικό ισ</w:t>
      </w:r>
      <w:r w:rsidRPr="00515DF5">
        <w:rPr>
          <w:sz w:val="22"/>
          <w:szCs w:val="22"/>
        </w:rPr>
        <w:t>ο</w:t>
      </w:r>
      <w:r w:rsidRPr="00515DF5">
        <w:rPr>
          <w:sz w:val="22"/>
          <w:szCs w:val="22"/>
        </w:rPr>
        <w:t>ζύγιο ύψους 6 εκατ. ευρώ περίπου.</w:t>
      </w:r>
    </w:p>
    <w:p w:rsidR="00FB65A5" w:rsidRPr="00515DF5" w:rsidRDefault="00FB65A5" w:rsidP="00FB65A5">
      <w:pPr>
        <w:contextualSpacing/>
        <w:jc w:val="both"/>
        <w:rPr>
          <w:sz w:val="22"/>
          <w:szCs w:val="22"/>
        </w:rPr>
      </w:pPr>
    </w:p>
    <w:p w:rsidR="00FB65A5" w:rsidRPr="00E40870" w:rsidRDefault="00FB65A5" w:rsidP="00FB65A5">
      <w:pPr>
        <w:contextualSpacing/>
        <w:jc w:val="both"/>
        <w:rPr>
          <w:rFonts w:ascii="Arial Narrow" w:hAnsi="Arial Narrow"/>
          <w:b/>
          <w:i/>
          <w:sz w:val="22"/>
          <w:szCs w:val="22"/>
        </w:rPr>
      </w:pPr>
      <w:r w:rsidRPr="00E40870">
        <w:rPr>
          <w:rFonts w:ascii="Arial Narrow" w:hAnsi="Arial Narrow"/>
          <w:b/>
          <w:i/>
          <w:sz w:val="22"/>
          <w:szCs w:val="22"/>
        </w:rPr>
        <w:t>Υπουργείο Εξωτερικών</w:t>
      </w:r>
    </w:p>
    <w:p w:rsidR="00FB65A5" w:rsidRPr="00E40870" w:rsidRDefault="00FB65A5" w:rsidP="00FB65A5">
      <w:pPr>
        <w:contextualSpacing/>
        <w:jc w:val="both"/>
        <w:rPr>
          <w:sz w:val="22"/>
          <w:szCs w:val="22"/>
        </w:rPr>
      </w:pPr>
    </w:p>
    <w:p w:rsidR="00FB65A5" w:rsidRPr="00E40870" w:rsidRDefault="0071251C" w:rsidP="00FB65A5">
      <w:pPr>
        <w:contextualSpacing/>
        <w:jc w:val="both"/>
        <w:rPr>
          <w:sz w:val="22"/>
          <w:szCs w:val="22"/>
        </w:rPr>
      </w:pPr>
      <w:r>
        <w:rPr>
          <w:sz w:val="22"/>
          <w:szCs w:val="22"/>
        </w:rPr>
        <w:t>Ο εποπτευόμενος φορέας του υ</w:t>
      </w:r>
      <w:r w:rsidR="00FB65A5" w:rsidRPr="00E40870">
        <w:rPr>
          <w:sz w:val="22"/>
          <w:szCs w:val="22"/>
        </w:rPr>
        <w:t xml:space="preserve">πουργείου είναι το νομικό πρόσωπο «Ελληνική Εθνική Επιτροπή για την UNESCO», με ουδέτερο δημοσιονομικό αποτέλεσμα. </w:t>
      </w:r>
    </w:p>
    <w:p w:rsidR="00FB65A5" w:rsidRPr="00064EBD" w:rsidRDefault="00FB65A5" w:rsidP="00FB65A5">
      <w:pPr>
        <w:contextualSpacing/>
        <w:jc w:val="both"/>
        <w:rPr>
          <w:rFonts w:ascii="Arial Narrow" w:hAnsi="Arial Narrow"/>
          <w:b/>
          <w:i/>
          <w:sz w:val="22"/>
          <w:szCs w:val="22"/>
          <w:highlight w:val="yellow"/>
        </w:rPr>
      </w:pPr>
    </w:p>
    <w:p w:rsidR="00FB65A5" w:rsidRPr="00A638A3" w:rsidRDefault="00FB65A5" w:rsidP="00FB65A5">
      <w:pPr>
        <w:contextualSpacing/>
        <w:jc w:val="both"/>
        <w:rPr>
          <w:rFonts w:ascii="Arial Narrow" w:hAnsi="Arial Narrow"/>
          <w:b/>
          <w:i/>
          <w:sz w:val="22"/>
          <w:szCs w:val="22"/>
        </w:rPr>
      </w:pPr>
      <w:r w:rsidRPr="00A638A3">
        <w:rPr>
          <w:rFonts w:ascii="Arial Narrow" w:hAnsi="Arial Narrow"/>
          <w:b/>
          <w:i/>
          <w:sz w:val="22"/>
          <w:szCs w:val="22"/>
        </w:rPr>
        <w:t>Υπουργείο Δικαιοσύνης, Διαφάνειας και Ανθρωπίνων Δικαιωμάτων</w:t>
      </w:r>
    </w:p>
    <w:p w:rsidR="00FB65A5" w:rsidRPr="00064EBD" w:rsidRDefault="00FB65A5" w:rsidP="00FB65A5">
      <w:pPr>
        <w:contextualSpacing/>
        <w:jc w:val="both"/>
        <w:rPr>
          <w:b/>
          <w:sz w:val="22"/>
          <w:szCs w:val="22"/>
          <w:highlight w:val="yellow"/>
        </w:rPr>
      </w:pPr>
    </w:p>
    <w:p w:rsidR="00FB65A5" w:rsidRPr="00E40870" w:rsidRDefault="00FB65A5" w:rsidP="00FB65A5">
      <w:pPr>
        <w:contextualSpacing/>
        <w:jc w:val="both"/>
        <w:rPr>
          <w:sz w:val="22"/>
          <w:szCs w:val="22"/>
        </w:rPr>
      </w:pPr>
      <w:r w:rsidRPr="00500F52">
        <w:rPr>
          <w:sz w:val="22"/>
          <w:szCs w:val="22"/>
        </w:rPr>
        <w:t>Το αποτέλεσμα του προϋ</w:t>
      </w:r>
      <w:r w:rsidR="00626BD6">
        <w:rPr>
          <w:sz w:val="22"/>
          <w:szCs w:val="22"/>
        </w:rPr>
        <w:t>πολογισμού των εποπτευόμενων νομικών</w:t>
      </w:r>
      <w:r w:rsidRPr="00500F52">
        <w:rPr>
          <w:sz w:val="22"/>
          <w:szCs w:val="22"/>
        </w:rPr>
        <w:t xml:space="preserve"> προσώπ</w:t>
      </w:r>
      <w:r w:rsidR="00626BD6">
        <w:rPr>
          <w:sz w:val="22"/>
          <w:szCs w:val="22"/>
        </w:rPr>
        <w:t xml:space="preserve">ων, το οποίο προέρχεται </w:t>
      </w:r>
      <w:r w:rsidR="0071251C">
        <w:rPr>
          <w:sz w:val="22"/>
          <w:szCs w:val="22"/>
        </w:rPr>
        <w:t xml:space="preserve">αποκλειστικά </w:t>
      </w:r>
      <w:r w:rsidR="00626BD6">
        <w:rPr>
          <w:sz w:val="22"/>
          <w:szCs w:val="22"/>
        </w:rPr>
        <w:t>από τη δραστηριότητα του Ταμείου Χρηματοδότησης Δικαστικών Κτιρίων (</w:t>
      </w:r>
      <w:r w:rsidRPr="00500F52">
        <w:rPr>
          <w:sz w:val="22"/>
          <w:szCs w:val="22"/>
        </w:rPr>
        <w:t>ΤΑΧΔΙΚ</w:t>
      </w:r>
      <w:r w:rsidR="00626BD6">
        <w:rPr>
          <w:sz w:val="22"/>
          <w:szCs w:val="22"/>
        </w:rPr>
        <w:t>)</w:t>
      </w:r>
      <w:r w:rsidRPr="00500F52">
        <w:rPr>
          <w:sz w:val="22"/>
          <w:szCs w:val="22"/>
        </w:rPr>
        <w:t>, προβλέπεται να είναι θετικό (8 εκατ. ευρώ)</w:t>
      </w:r>
      <w:r w:rsidRPr="00E40870">
        <w:rPr>
          <w:sz w:val="22"/>
          <w:szCs w:val="22"/>
        </w:rPr>
        <w:t>.</w:t>
      </w:r>
    </w:p>
    <w:p w:rsidR="00FB65A5" w:rsidRPr="00064EBD" w:rsidRDefault="00FB65A5" w:rsidP="00FB65A5">
      <w:pPr>
        <w:contextualSpacing/>
        <w:jc w:val="both"/>
        <w:rPr>
          <w:sz w:val="22"/>
          <w:szCs w:val="22"/>
          <w:highlight w:val="yellow"/>
        </w:rPr>
      </w:pPr>
    </w:p>
    <w:p w:rsidR="00FB65A5" w:rsidRPr="00A638A3" w:rsidRDefault="00FB65A5" w:rsidP="00FB65A5">
      <w:pPr>
        <w:contextualSpacing/>
        <w:jc w:val="both"/>
        <w:rPr>
          <w:rFonts w:ascii="Arial Narrow" w:hAnsi="Arial Narrow"/>
          <w:b/>
          <w:i/>
          <w:sz w:val="22"/>
          <w:szCs w:val="22"/>
        </w:rPr>
      </w:pPr>
      <w:r w:rsidRPr="00A638A3">
        <w:rPr>
          <w:rFonts w:ascii="Arial Narrow" w:hAnsi="Arial Narrow"/>
          <w:b/>
          <w:i/>
          <w:sz w:val="22"/>
          <w:szCs w:val="22"/>
        </w:rPr>
        <w:t>Υπουργείο Οικονομικών</w:t>
      </w:r>
    </w:p>
    <w:p w:rsidR="00FB65A5" w:rsidRPr="00064EBD" w:rsidRDefault="00FB65A5" w:rsidP="00FB65A5">
      <w:pPr>
        <w:contextualSpacing/>
        <w:jc w:val="both"/>
        <w:rPr>
          <w:sz w:val="22"/>
          <w:szCs w:val="22"/>
          <w:highlight w:val="yellow"/>
        </w:rPr>
      </w:pPr>
    </w:p>
    <w:p w:rsidR="00FB65A5" w:rsidRPr="00500F52" w:rsidRDefault="00FB65A5" w:rsidP="00FB65A5">
      <w:pPr>
        <w:contextualSpacing/>
        <w:jc w:val="both"/>
        <w:rPr>
          <w:sz w:val="22"/>
          <w:szCs w:val="22"/>
        </w:rPr>
      </w:pPr>
      <w:r w:rsidRPr="00500F52">
        <w:rPr>
          <w:sz w:val="22"/>
          <w:szCs w:val="22"/>
        </w:rPr>
        <w:t>Στα εποπτευόμενα νομικά πρόσωπα από το Υπουργείο Οικονομικών περιλαμβάνονται, μεταξύ άλλων, ο Οργανισμός Διαχείρισης Δημοσίου Χρέους (ΟΔΔΗΧ), το Ειδικό Ταμείο Ελέγχου, Παραγωγής και Ποιότητας Αλκοόλης και Αλκοολούχων Ποτών (ΕΤΕΠΠΑΑ), το Ταμείο Χρηματοπιστωτικής Σταθ</w:t>
      </w:r>
      <w:r w:rsidRPr="00500F52">
        <w:rPr>
          <w:sz w:val="22"/>
          <w:szCs w:val="22"/>
        </w:rPr>
        <w:t>ε</w:t>
      </w:r>
      <w:r w:rsidRPr="00500F52">
        <w:rPr>
          <w:sz w:val="22"/>
          <w:szCs w:val="22"/>
        </w:rPr>
        <w:t>ρότητας, το Ταμείο Αξιοποίησης Ιδιωτικής Περιουσίας του Δημοσίου ΑΕ (ΤΑΙΠΕΔ), το Ταμείο Π</w:t>
      </w:r>
      <w:r w:rsidRPr="00500F52">
        <w:rPr>
          <w:sz w:val="22"/>
          <w:szCs w:val="22"/>
        </w:rPr>
        <w:t>α</w:t>
      </w:r>
      <w:r w:rsidRPr="00500F52">
        <w:rPr>
          <w:sz w:val="22"/>
          <w:szCs w:val="22"/>
        </w:rPr>
        <w:t>ρακαταθηκών και Δανείων και το Ταμείο Εγγύησης Καταθέσεων και Επενδύσεων.</w:t>
      </w:r>
    </w:p>
    <w:p w:rsidR="00FB65A5" w:rsidRPr="00500F52" w:rsidRDefault="00FB65A5" w:rsidP="00FB65A5">
      <w:pPr>
        <w:contextualSpacing/>
        <w:jc w:val="both"/>
        <w:rPr>
          <w:sz w:val="22"/>
          <w:szCs w:val="22"/>
        </w:rPr>
      </w:pPr>
    </w:p>
    <w:p w:rsidR="00FB65A5" w:rsidRPr="00500F52" w:rsidRDefault="00FB65A5" w:rsidP="00FB65A5">
      <w:pPr>
        <w:contextualSpacing/>
        <w:jc w:val="both"/>
        <w:rPr>
          <w:sz w:val="22"/>
          <w:szCs w:val="22"/>
        </w:rPr>
      </w:pPr>
      <w:r w:rsidRPr="00500F52">
        <w:rPr>
          <w:sz w:val="22"/>
          <w:szCs w:val="22"/>
        </w:rPr>
        <w:t>Εκτιμάται ότι το συνο</w:t>
      </w:r>
      <w:r w:rsidR="0071251C">
        <w:rPr>
          <w:sz w:val="22"/>
          <w:szCs w:val="22"/>
        </w:rPr>
        <w:t>λικό αποτέλεσμα των φορέων του υ</w:t>
      </w:r>
      <w:r w:rsidRPr="00500F52">
        <w:rPr>
          <w:sz w:val="22"/>
          <w:szCs w:val="22"/>
        </w:rPr>
        <w:t>πουργείου θα ανέλθει σ</w:t>
      </w:r>
      <w:r w:rsidR="0071251C">
        <w:rPr>
          <w:sz w:val="22"/>
          <w:szCs w:val="22"/>
        </w:rPr>
        <w:t xml:space="preserve">ε πλεόνασμα </w:t>
      </w:r>
      <w:r w:rsidRPr="00500F52">
        <w:rPr>
          <w:sz w:val="22"/>
          <w:szCs w:val="22"/>
        </w:rPr>
        <w:t xml:space="preserve">219 εκατ. </w:t>
      </w:r>
      <w:r w:rsidR="00626BD6">
        <w:rPr>
          <w:sz w:val="22"/>
          <w:szCs w:val="22"/>
        </w:rPr>
        <w:t xml:space="preserve">ευρώ για το έτος 2018, το οποίο προέρχεται κυρίως από το Ταμείο </w:t>
      </w:r>
      <w:r w:rsidR="001E5675">
        <w:rPr>
          <w:sz w:val="22"/>
          <w:szCs w:val="22"/>
        </w:rPr>
        <w:t xml:space="preserve">Εγγύησης Καταθέσεων και Επενδύσεων και το Ταμείο </w:t>
      </w:r>
      <w:r w:rsidR="00626BD6">
        <w:rPr>
          <w:sz w:val="22"/>
          <w:szCs w:val="22"/>
        </w:rPr>
        <w:t>Παρακαταθηκών και Δανεί</w:t>
      </w:r>
      <w:r w:rsidR="00E964F4">
        <w:rPr>
          <w:sz w:val="22"/>
          <w:szCs w:val="22"/>
        </w:rPr>
        <w:t>ων</w:t>
      </w:r>
      <w:r w:rsidR="00626BD6">
        <w:rPr>
          <w:sz w:val="22"/>
          <w:szCs w:val="22"/>
        </w:rPr>
        <w:t>.</w:t>
      </w:r>
      <w:r w:rsidR="008967F1">
        <w:rPr>
          <w:sz w:val="22"/>
          <w:szCs w:val="22"/>
        </w:rPr>
        <w:t xml:space="preserve"> </w:t>
      </w:r>
    </w:p>
    <w:p w:rsidR="00FB65A5" w:rsidRPr="00064EBD" w:rsidRDefault="00FB65A5" w:rsidP="00FB65A5">
      <w:pPr>
        <w:contextualSpacing/>
        <w:jc w:val="both"/>
        <w:rPr>
          <w:rFonts w:ascii="Arial Narrow" w:hAnsi="Arial Narrow"/>
          <w:b/>
          <w:i/>
          <w:sz w:val="22"/>
          <w:szCs w:val="22"/>
          <w:highlight w:val="yellow"/>
        </w:rPr>
      </w:pPr>
    </w:p>
    <w:p w:rsidR="00FB65A5" w:rsidRPr="00A638A3" w:rsidRDefault="00FB65A5" w:rsidP="00FB65A5">
      <w:pPr>
        <w:contextualSpacing/>
        <w:jc w:val="both"/>
        <w:rPr>
          <w:rFonts w:ascii="Arial Narrow" w:hAnsi="Arial Narrow"/>
          <w:b/>
          <w:i/>
          <w:sz w:val="22"/>
          <w:szCs w:val="22"/>
        </w:rPr>
      </w:pPr>
      <w:r w:rsidRPr="00A638A3">
        <w:rPr>
          <w:rFonts w:ascii="Arial Narrow" w:hAnsi="Arial Narrow"/>
          <w:b/>
          <w:i/>
          <w:sz w:val="22"/>
          <w:szCs w:val="22"/>
        </w:rPr>
        <w:t>Υπουργείο Υγείας</w:t>
      </w:r>
    </w:p>
    <w:p w:rsidR="00FB65A5" w:rsidRPr="00064EBD" w:rsidRDefault="00FB65A5" w:rsidP="00FB65A5">
      <w:pPr>
        <w:contextualSpacing/>
        <w:jc w:val="both"/>
        <w:rPr>
          <w:rFonts w:ascii="Arial Narrow" w:hAnsi="Arial Narrow"/>
          <w:b/>
          <w:i/>
          <w:sz w:val="22"/>
          <w:szCs w:val="22"/>
          <w:highlight w:val="yellow"/>
        </w:rPr>
      </w:pPr>
    </w:p>
    <w:p w:rsidR="00FB65A5" w:rsidRPr="00FB65A5" w:rsidRDefault="00FB65A5" w:rsidP="00FB65A5">
      <w:pPr>
        <w:jc w:val="both"/>
        <w:rPr>
          <w:sz w:val="22"/>
        </w:rPr>
      </w:pPr>
      <w:r w:rsidRPr="00FB65A5">
        <w:rPr>
          <w:sz w:val="22"/>
        </w:rPr>
        <w:t>Τα νομικά πρόσωπα εποπτείας του Υπουργείου Υγείας στα οποία περιλαμβάνονται, μεταξύ άλλων, το Εθνικό Κέντρο Άμεσης Βοήθειας (ΕΚΑΒ</w:t>
      </w:r>
      <w:r w:rsidR="006574CA">
        <w:rPr>
          <w:sz w:val="22"/>
        </w:rPr>
        <w:t>), ο Εθνικός Οργανισμός Φαρμάκων</w:t>
      </w:r>
      <w:r w:rsidRPr="00FB65A5">
        <w:rPr>
          <w:sz w:val="22"/>
        </w:rPr>
        <w:t xml:space="preserve"> (ΕΟΦ), το Εθνικό Κ</w:t>
      </w:r>
      <w:r w:rsidRPr="00FB65A5">
        <w:rPr>
          <w:sz w:val="22"/>
        </w:rPr>
        <w:t>έ</w:t>
      </w:r>
      <w:r w:rsidRPr="00FB65A5">
        <w:rPr>
          <w:sz w:val="22"/>
        </w:rPr>
        <w:lastRenderedPageBreak/>
        <w:t>ντρο Αιμοδοσίας (ΕΚΕΑ), η Ανώνυμη Εταιρεία Μονάδων Υγείας (ΑΕΜΥ) ΑΕ, ο Οργανισμός Κατ</w:t>
      </w:r>
      <w:r w:rsidRPr="00FB65A5">
        <w:rPr>
          <w:sz w:val="22"/>
        </w:rPr>
        <w:t>α</w:t>
      </w:r>
      <w:r w:rsidRPr="00FB65A5">
        <w:rPr>
          <w:sz w:val="22"/>
        </w:rPr>
        <w:t>πολέμησης Ναρκωτικών (ΟΚΑΝΑ), το Κέντρο Θεραπείας Εξαρτημένων Ατόμων (ΚΕΘΕΑ), το Ε</w:t>
      </w:r>
      <w:r w:rsidRPr="00FB65A5">
        <w:rPr>
          <w:sz w:val="22"/>
        </w:rPr>
        <w:t>λ</w:t>
      </w:r>
      <w:r w:rsidRPr="00FB65A5">
        <w:rPr>
          <w:sz w:val="22"/>
        </w:rPr>
        <w:t>ληνικό Κέντρο Ψυχική</w:t>
      </w:r>
      <w:r w:rsidR="0071251C">
        <w:rPr>
          <w:sz w:val="22"/>
        </w:rPr>
        <w:t>ς Υγιεινής και Ερευνών (ΕΚΕΨΥΕ) και</w:t>
      </w:r>
      <w:r w:rsidRPr="00FB65A5">
        <w:rPr>
          <w:sz w:val="22"/>
        </w:rPr>
        <w:t xml:space="preserve"> ο Εθνικός Οργανισμός Μεταμοσχε</w:t>
      </w:r>
      <w:r w:rsidRPr="00FB65A5">
        <w:rPr>
          <w:sz w:val="22"/>
        </w:rPr>
        <w:t>ύ</w:t>
      </w:r>
      <w:r w:rsidRPr="00FB65A5">
        <w:rPr>
          <w:sz w:val="22"/>
        </w:rPr>
        <w:t>σε</w:t>
      </w:r>
      <w:r w:rsidR="0071251C">
        <w:rPr>
          <w:sz w:val="22"/>
        </w:rPr>
        <w:t xml:space="preserve">ων (ΕΟΜ) αναμένεται να εμφανίσουν </w:t>
      </w:r>
      <w:r w:rsidRPr="00FB65A5">
        <w:rPr>
          <w:sz w:val="22"/>
        </w:rPr>
        <w:t>το 2018 θετικ</w:t>
      </w:r>
      <w:r w:rsidR="00626BD6">
        <w:rPr>
          <w:sz w:val="22"/>
        </w:rPr>
        <w:t>ό αποτέλεσμα ύψους 7 εκατ. ευρώ, προερχόμ</w:t>
      </w:r>
      <w:r w:rsidR="00626BD6">
        <w:rPr>
          <w:sz w:val="22"/>
        </w:rPr>
        <w:t>ε</w:t>
      </w:r>
      <w:r w:rsidR="00626BD6">
        <w:rPr>
          <w:sz w:val="22"/>
        </w:rPr>
        <w:t>νο κυρίως από τον ΕΟΦ.</w:t>
      </w:r>
    </w:p>
    <w:p w:rsidR="00FB65A5" w:rsidRPr="00FB65A5" w:rsidRDefault="00FB65A5" w:rsidP="00FB65A5">
      <w:pPr>
        <w:contextualSpacing/>
        <w:jc w:val="both"/>
        <w:rPr>
          <w:rFonts w:ascii="Arial Narrow" w:hAnsi="Arial Narrow"/>
          <w:b/>
          <w:i/>
          <w:sz w:val="20"/>
          <w:szCs w:val="22"/>
        </w:rPr>
      </w:pPr>
    </w:p>
    <w:p w:rsidR="00FB65A5" w:rsidRPr="00673BF4" w:rsidRDefault="00FB65A5" w:rsidP="00FB65A5">
      <w:pPr>
        <w:contextualSpacing/>
        <w:jc w:val="both"/>
        <w:rPr>
          <w:rFonts w:ascii="Arial Narrow" w:hAnsi="Arial Narrow"/>
          <w:b/>
          <w:i/>
          <w:sz w:val="22"/>
          <w:szCs w:val="22"/>
        </w:rPr>
      </w:pPr>
      <w:r w:rsidRPr="00673BF4">
        <w:rPr>
          <w:rFonts w:ascii="Arial Narrow" w:hAnsi="Arial Narrow"/>
          <w:b/>
          <w:i/>
          <w:sz w:val="22"/>
          <w:szCs w:val="22"/>
        </w:rPr>
        <w:t>Υπουργείο Διοικητικής Ανασυγκρότησης</w:t>
      </w:r>
    </w:p>
    <w:p w:rsidR="00FB65A5" w:rsidRPr="00064EBD" w:rsidRDefault="00FB65A5" w:rsidP="00FB65A5">
      <w:pPr>
        <w:contextualSpacing/>
        <w:jc w:val="both"/>
        <w:rPr>
          <w:rFonts w:ascii="Arial Narrow" w:hAnsi="Arial Narrow"/>
          <w:b/>
          <w:i/>
          <w:sz w:val="22"/>
          <w:szCs w:val="22"/>
          <w:highlight w:val="yellow"/>
        </w:rPr>
      </w:pPr>
    </w:p>
    <w:p w:rsidR="00FB65A5" w:rsidRPr="00673BF4" w:rsidRDefault="00FB65A5" w:rsidP="00FB65A5">
      <w:pPr>
        <w:contextualSpacing/>
        <w:jc w:val="both"/>
        <w:rPr>
          <w:sz w:val="22"/>
          <w:szCs w:val="22"/>
        </w:rPr>
      </w:pPr>
      <w:r w:rsidRPr="00673BF4">
        <w:rPr>
          <w:sz w:val="22"/>
          <w:szCs w:val="22"/>
        </w:rPr>
        <w:t>Το αποτέλεσμα του προϋπολογισμού του εποπτευόμενου νομικού προσώπου Εθνικό Κέντρο Δημόσ</w:t>
      </w:r>
      <w:r w:rsidRPr="00673BF4">
        <w:rPr>
          <w:sz w:val="22"/>
          <w:szCs w:val="22"/>
        </w:rPr>
        <w:t>ι</w:t>
      </w:r>
      <w:r w:rsidRPr="00673BF4">
        <w:rPr>
          <w:sz w:val="22"/>
          <w:szCs w:val="22"/>
        </w:rPr>
        <w:t xml:space="preserve">ας Διοίκησης και Αυτοδιοίκησης (ΕΚΔΔΑ), προβλέπεται να είναι ουδέτερο για το έτος 2018. </w:t>
      </w:r>
    </w:p>
    <w:p w:rsidR="00FB65A5" w:rsidRPr="00064EBD" w:rsidRDefault="00FB65A5" w:rsidP="00FB65A5">
      <w:pPr>
        <w:contextualSpacing/>
        <w:jc w:val="both"/>
        <w:rPr>
          <w:rFonts w:ascii="Arial Narrow" w:hAnsi="Arial Narrow"/>
          <w:b/>
          <w:i/>
          <w:sz w:val="22"/>
          <w:szCs w:val="22"/>
          <w:highlight w:val="yellow"/>
        </w:rPr>
      </w:pPr>
    </w:p>
    <w:p w:rsidR="00FB65A5" w:rsidRPr="006C3639" w:rsidRDefault="00FB65A5" w:rsidP="00FB65A5">
      <w:pPr>
        <w:contextualSpacing/>
        <w:jc w:val="both"/>
        <w:rPr>
          <w:rFonts w:ascii="Arial Narrow" w:hAnsi="Arial Narrow"/>
          <w:b/>
          <w:i/>
          <w:sz w:val="22"/>
          <w:szCs w:val="22"/>
        </w:rPr>
      </w:pPr>
      <w:r w:rsidRPr="006C3639">
        <w:rPr>
          <w:rFonts w:ascii="Arial Narrow" w:hAnsi="Arial Narrow"/>
          <w:b/>
          <w:i/>
          <w:sz w:val="22"/>
          <w:szCs w:val="22"/>
        </w:rPr>
        <w:t>Υπουργείο Πολιτισμού και Αθλητισμού</w:t>
      </w:r>
    </w:p>
    <w:p w:rsidR="00FB65A5" w:rsidRPr="00064EBD" w:rsidRDefault="00FB65A5" w:rsidP="00FB65A5">
      <w:pPr>
        <w:contextualSpacing/>
        <w:jc w:val="both"/>
        <w:rPr>
          <w:b/>
          <w:sz w:val="22"/>
          <w:szCs w:val="22"/>
          <w:highlight w:val="yellow"/>
        </w:rPr>
      </w:pPr>
    </w:p>
    <w:p w:rsidR="00FB65A5" w:rsidRPr="006C3639" w:rsidRDefault="00FB65A5" w:rsidP="00FB65A5">
      <w:pPr>
        <w:contextualSpacing/>
        <w:jc w:val="both"/>
        <w:rPr>
          <w:sz w:val="22"/>
          <w:szCs w:val="22"/>
        </w:rPr>
      </w:pPr>
      <w:r w:rsidRPr="004462AD">
        <w:rPr>
          <w:sz w:val="22"/>
          <w:szCs w:val="22"/>
        </w:rPr>
        <w:t>Από τη δραστηριότητα των νομικών πρ</w:t>
      </w:r>
      <w:r w:rsidR="0071251C">
        <w:rPr>
          <w:sz w:val="22"/>
          <w:szCs w:val="22"/>
        </w:rPr>
        <w:t>οσώπων που εποπτεύονται από το υ</w:t>
      </w:r>
      <w:r w:rsidRPr="004462AD">
        <w:rPr>
          <w:sz w:val="22"/>
          <w:szCs w:val="22"/>
        </w:rPr>
        <w:t>πουργείο, προβλέπεται ότι θα προκύψει το 2018 θετικό αποτέλεσμα ύψους περίπου 41 εκατ. ευρώ. Το μεγαλύτερο μέρος θα προέλθει από το Ταμείο Αρχαιολογικών Πόρων και Απαλλοτριώσεων (ΤΑΠΑ), λόγω τόσο της αν</w:t>
      </w:r>
      <w:r w:rsidRPr="004462AD">
        <w:rPr>
          <w:sz w:val="22"/>
          <w:szCs w:val="22"/>
        </w:rPr>
        <w:t>α</w:t>
      </w:r>
      <w:r w:rsidRPr="004462AD">
        <w:rPr>
          <w:sz w:val="22"/>
          <w:szCs w:val="22"/>
        </w:rPr>
        <w:t>μενόμενης αυξημένης</w:t>
      </w:r>
      <w:r w:rsidR="008967F1">
        <w:rPr>
          <w:sz w:val="22"/>
          <w:szCs w:val="22"/>
        </w:rPr>
        <w:t xml:space="preserve"> </w:t>
      </w:r>
      <w:r w:rsidRPr="004462AD">
        <w:rPr>
          <w:sz w:val="22"/>
          <w:szCs w:val="22"/>
        </w:rPr>
        <w:t>τουριστικής δραστηριότητας, όσο</w:t>
      </w:r>
      <w:r>
        <w:rPr>
          <w:sz w:val="22"/>
          <w:szCs w:val="22"/>
        </w:rPr>
        <w:t xml:space="preserve"> </w:t>
      </w:r>
      <w:r w:rsidRPr="000D77D4">
        <w:rPr>
          <w:sz w:val="22"/>
          <w:szCs w:val="22"/>
        </w:rPr>
        <w:t>και της προγραμματισμένης σταδιακής εισ</w:t>
      </w:r>
      <w:r w:rsidRPr="000D77D4">
        <w:rPr>
          <w:sz w:val="22"/>
          <w:szCs w:val="22"/>
        </w:rPr>
        <w:t>α</w:t>
      </w:r>
      <w:r w:rsidRPr="000D77D4">
        <w:rPr>
          <w:sz w:val="22"/>
          <w:szCs w:val="22"/>
        </w:rPr>
        <w:t>γωγής του ηλεκτρονικού εισιτηρίου στους αρχαιολογικούς χώρους</w:t>
      </w:r>
      <w:r>
        <w:rPr>
          <w:sz w:val="22"/>
          <w:szCs w:val="22"/>
        </w:rPr>
        <w:t>,</w:t>
      </w:r>
      <w:r w:rsidRPr="000D77D4">
        <w:rPr>
          <w:sz w:val="22"/>
          <w:szCs w:val="22"/>
        </w:rPr>
        <w:t xml:space="preserve"> που θα συνεισφέρει στην ορθολ</w:t>
      </w:r>
      <w:r w:rsidRPr="000D77D4">
        <w:rPr>
          <w:sz w:val="22"/>
          <w:szCs w:val="22"/>
        </w:rPr>
        <w:t>ο</w:t>
      </w:r>
      <w:r w:rsidRPr="000D77D4">
        <w:rPr>
          <w:sz w:val="22"/>
          <w:szCs w:val="22"/>
        </w:rPr>
        <w:t>γικότερη διαχείριση των εσόδων του Ταμείου</w:t>
      </w:r>
      <w:r w:rsidRPr="006E509E">
        <w:rPr>
          <w:sz w:val="22"/>
          <w:szCs w:val="22"/>
        </w:rPr>
        <w:t>.</w:t>
      </w:r>
      <w:r w:rsidRPr="006E509E">
        <w:rPr>
          <w:color w:val="4F81BD" w:themeColor="accent1"/>
          <w:sz w:val="22"/>
          <w:szCs w:val="22"/>
        </w:rPr>
        <w:t xml:space="preserve"> </w:t>
      </w:r>
      <w:r w:rsidRPr="006E509E">
        <w:rPr>
          <w:sz w:val="22"/>
          <w:szCs w:val="22"/>
        </w:rPr>
        <w:t>Σ</w:t>
      </w:r>
      <w:r w:rsidRPr="006C3639">
        <w:rPr>
          <w:sz w:val="22"/>
          <w:szCs w:val="22"/>
        </w:rPr>
        <w:t>ημειώνεται</w:t>
      </w:r>
      <w:r w:rsidRPr="006C3639">
        <w:rPr>
          <w:color w:val="4F81BD" w:themeColor="accent1"/>
          <w:sz w:val="22"/>
          <w:szCs w:val="22"/>
        </w:rPr>
        <w:t xml:space="preserve"> </w:t>
      </w:r>
      <w:r>
        <w:rPr>
          <w:sz w:val="22"/>
          <w:szCs w:val="22"/>
        </w:rPr>
        <w:t>ότι σ</w:t>
      </w:r>
      <w:r w:rsidRPr="006C3639">
        <w:rPr>
          <w:sz w:val="22"/>
          <w:szCs w:val="22"/>
        </w:rPr>
        <w:t xml:space="preserve">το θετικό αποτέλεσμα του </w:t>
      </w:r>
      <w:r>
        <w:rPr>
          <w:sz w:val="22"/>
          <w:szCs w:val="22"/>
        </w:rPr>
        <w:t xml:space="preserve">έτους 2017 συνετέλεσε και η ανάληψη από 1/1/2017 του χρέους </w:t>
      </w:r>
      <w:r w:rsidRPr="006C3639">
        <w:rPr>
          <w:sz w:val="22"/>
          <w:szCs w:val="22"/>
        </w:rPr>
        <w:t>του Οργανισμού Μεγάρου Μουσικής Αθ</w:t>
      </w:r>
      <w:r w:rsidRPr="006C3639">
        <w:rPr>
          <w:sz w:val="22"/>
          <w:szCs w:val="22"/>
        </w:rPr>
        <w:t>η</w:t>
      </w:r>
      <w:r w:rsidRPr="006C3639">
        <w:rPr>
          <w:sz w:val="22"/>
          <w:szCs w:val="22"/>
        </w:rPr>
        <w:t xml:space="preserve">νών (ΟΜΜΑ) ύψους </w:t>
      </w:r>
      <w:r>
        <w:rPr>
          <w:sz w:val="22"/>
          <w:szCs w:val="22"/>
        </w:rPr>
        <w:t>193 εκατ. ευρώ από το Ελληνικό Δημόσιο</w:t>
      </w:r>
      <w:r w:rsidRPr="006C3639">
        <w:rPr>
          <w:sz w:val="22"/>
          <w:szCs w:val="22"/>
        </w:rPr>
        <w:t xml:space="preserve">. </w:t>
      </w:r>
    </w:p>
    <w:p w:rsidR="00FB65A5" w:rsidRPr="00064EBD" w:rsidRDefault="00FB65A5" w:rsidP="00FB65A5">
      <w:pPr>
        <w:contextualSpacing/>
        <w:jc w:val="both"/>
        <w:rPr>
          <w:sz w:val="22"/>
          <w:szCs w:val="22"/>
          <w:highlight w:val="yellow"/>
        </w:rPr>
      </w:pPr>
    </w:p>
    <w:p w:rsidR="00FB65A5" w:rsidRPr="006C3639" w:rsidRDefault="00FB65A5" w:rsidP="00FB65A5">
      <w:pPr>
        <w:contextualSpacing/>
        <w:jc w:val="both"/>
        <w:rPr>
          <w:rFonts w:ascii="Arial Narrow" w:hAnsi="Arial Narrow"/>
          <w:b/>
          <w:i/>
          <w:sz w:val="22"/>
          <w:szCs w:val="22"/>
        </w:rPr>
      </w:pPr>
      <w:r w:rsidRPr="006C3639">
        <w:rPr>
          <w:rFonts w:ascii="Arial Narrow" w:hAnsi="Arial Narrow"/>
          <w:b/>
          <w:i/>
          <w:sz w:val="22"/>
          <w:szCs w:val="22"/>
        </w:rPr>
        <w:t>Υπουργείο Περιβάλλοντος και Ενέργειας</w:t>
      </w:r>
    </w:p>
    <w:p w:rsidR="00FB65A5" w:rsidRPr="00064EBD" w:rsidRDefault="00FB65A5" w:rsidP="00FB65A5">
      <w:pPr>
        <w:contextualSpacing/>
        <w:jc w:val="both"/>
        <w:rPr>
          <w:b/>
          <w:sz w:val="22"/>
          <w:szCs w:val="22"/>
          <w:highlight w:val="yellow"/>
        </w:rPr>
      </w:pPr>
    </w:p>
    <w:p w:rsidR="00FB65A5" w:rsidRPr="004462AD" w:rsidRDefault="00FB65A5" w:rsidP="00FB65A5">
      <w:pPr>
        <w:contextualSpacing/>
        <w:jc w:val="both"/>
        <w:rPr>
          <w:sz w:val="22"/>
          <w:szCs w:val="22"/>
        </w:rPr>
      </w:pPr>
      <w:r w:rsidRPr="004462AD">
        <w:rPr>
          <w:sz w:val="22"/>
          <w:szCs w:val="22"/>
        </w:rPr>
        <w:t>Το ισο</w:t>
      </w:r>
      <w:r w:rsidR="0071251C">
        <w:rPr>
          <w:sz w:val="22"/>
          <w:szCs w:val="22"/>
        </w:rPr>
        <w:t>ζύγιο των νομικών προσώπων του υ</w:t>
      </w:r>
      <w:r w:rsidRPr="004462AD">
        <w:rPr>
          <w:sz w:val="22"/>
          <w:szCs w:val="22"/>
        </w:rPr>
        <w:t>πουργείου αναμένεται να διαμορφωθεί σε θετικό αποτέλ</w:t>
      </w:r>
      <w:r w:rsidRPr="004462AD">
        <w:rPr>
          <w:sz w:val="22"/>
          <w:szCs w:val="22"/>
        </w:rPr>
        <w:t>ε</w:t>
      </w:r>
      <w:r w:rsidRPr="004462AD">
        <w:rPr>
          <w:sz w:val="22"/>
          <w:szCs w:val="22"/>
        </w:rPr>
        <w:t>σμα ύψους 3 εκατ. ευρώ.</w:t>
      </w:r>
    </w:p>
    <w:p w:rsidR="00FB65A5" w:rsidRPr="00064EBD" w:rsidRDefault="00FB65A5" w:rsidP="00FB65A5">
      <w:pPr>
        <w:contextualSpacing/>
        <w:jc w:val="both"/>
        <w:rPr>
          <w:sz w:val="22"/>
          <w:szCs w:val="22"/>
          <w:highlight w:val="yellow"/>
        </w:rPr>
      </w:pPr>
    </w:p>
    <w:p w:rsidR="00FB65A5" w:rsidRPr="003722C1" w:rsidRDefault="00FB65A5" w:rsidP="00FB65A5">
      <w:pPr>
        <w:contextualSpacing/>
        <w:jc w:val="both"/>
        <w:rPr>
          <w:sz w:val="22"/>
          <w:szCs w:val="22"/>
        </w:rPr>
      </w:pPr>
      <w:r w:rsidRPr="006C3639">
        <w:rPr>
          <w:sz w:val="22"/>
          <w:szCs w:val="22"/>
        </w:rPr>
        <w:t xml:space="preserve">Σημειώνεται, ότι στους εποπτευόμενους φορείς περιλαμβάνονται </w:t>
      </w:r>
      <w:r>
        <w:rPr>
          <w:sz w:val="22"/>
          <w:szCs w:val="22"/>
        </w:rPr>
        <w:t>μεταξύ άλλων</w:t>
      </w:r>
      <w:r w:rsidR="00626BD6">
        <w:rPr>
          <w:sz w:val="22"/>
          <w:szCs w:val="22"/>
        </w:rPr>
        <w:t xml:space="preserve">, το </w:t>
      </w:r>
      <w:r w:rsidRPr="004462AD">
        <w:rPr>
          <w:sz w:val="22"/>
          <w:szCs w:val="22"/>
        </w:rPr>
        <w:t>Κέντρο Ανανε</w:t>
      </w:r>
      <w:r w:rsidRPr="004462AD">
        <w:rPr>
          <w:sz w:val="22"/>
          <w:szCs w:val="22"/>
        </w:rPr>
        <w:t>ώ</w:t>
      </w:r>
      <w:r w:rsidRPr="004462AD">
        <w:rPr>
          <w:sz w:val="22"/>
          <w:szCs w:val="22"/>
        </w:rPr>
        <w:t>σιμων Πηγών και Εξοικονόμησης Εν</w:t>
      </w:r>
      <w:r w:rsidR="00626BD6">
        <w:rPr>
          <w:sz w:val="22"/>
          <w:szCs w:val="22"/>
        </w:rPr>
        <w:t xml:space="preserve">έργειας </w:t>
      </w:r>
      <w:r w:rsidR="0071251C">
        <w:rPr>
          <w:sz w:val="22"/>
          <w:szCs w:val="22"/>
        </w:rPr>
        <w:t>–</w:t>
      </w:r>
      <w:r w:rsidR="00626BD6">
        <w:rPr>
          <w:sz w:val="22"/>
          <w:szCs w:val="22"/>
        </w:rPr>
        <w:t xml:space="preserve"> ΚΑΠΕ</w:t>
      </w:r>
      <w:r w:rsidR="0071251C">
        <w:rPr>
          <w:sz w:val="22"/>
          <w:szCs w:val="22"/>
        </w:rPr>
        <w:t>,</w:t>
      </w:r>
      <w:r w:rsidR="00626BD6">
        <w:rPr>
          <w:sz w:val="22"/>
          <w:szCs w:val="22"/>
        </w:rPr>
        <w:t xml:space="preserve"> το </w:t>
      </w:r>
      <w:r w:rsidRPr="004462AD">
        <w:rPr>
          <w:sz w:val="22"/>
          <w:szCs w:val="22"/>
        </w:rPr>
        <w:t>Ινστιτούτο Γεωλογικών</w:t>
      </w:r>
      <w:r w:rsidRPr="006C3639">
        <w:rPr>
          <w:sz w:val="22"/>
          <w:szCs w:val="22"/>
        </w:rPr>
        <w:t xml:space="preserve"> και Μεταλλευτικών Ερευνών (ΙΓΜΕ)</w:t>
      </w:r>
      <w:r w:rsidR="00626BD6">
        <w:rPr>
          <w:sz w:val="22"/>
          <w:szCs w:val="22"/>
        </w:rPr>
        <w:t xml:space="preserve">, η εταιρεία </w:t>
      </w:r>
      <w:r w:rsidRPr="006C3639">
        <w:rPr>
          <w:sz w:val="22"/>
          <w:szCs w:val="22"/>
        </w:rPr>
        <w:t>Λειτουργός Αγοράς Ηλεκτρικής</w:t>
      </w:r>
      <w:r>
        <w:rPr>
          <w:sz w:val="22"/>
          <w:szCs w:val="22"/>
        </w:rPr>
        <w:t xml:space="preserve"> </w:t>
      </w:r>
      <w:r w:rsidR="00626BD6">
        <w:rPr>
          <w:sz w:val="22"/>
          <w:szCs w:val="22"/>
        </w:rPr>
        <w:t>Ενέργειας (ΛΑΓΗΕ) ΑΕ</w:t>
      </w:r>
      <w:r w:rsidRPr="006C3639">
        <w:rPr>
          <w:sz w:val="22"/>
          <w:szCs w:val="22"/>
        </w:rPr>
        <w:t>,</w:t>
      </w:r>
      <w:r w:rsidR="00626BD6">
        <w:rPr>
          <w:sz w:val="22"/>
          <w:szCs w:val="22"/>
        </w:rPr>
        <w:t xml:space="preserve"> </w:t>
      </w:r>
      <w:r w:rsidR="00C25490">
        <w:rPr>
          <w:sz w:val="22"/>
          <w:szCs w:val="22"/>
        </w:rPr>
        <w:t xml:space="preserve">η </w:t>
      </w:r>
      <w:r>
        <w:rPr>
          <w:sz w:val="22"/>
          <w:szCs w:val="22"/>
        </w:rPr>
        <w:t>Ελληνική Διαχειριστική Ετα</w:t>
      </w:r>
      <w:r w:rsidR="00626BD6">
        <w:rPr>
          <w:sz w:val="22"/>
          <w:szCs w:val="22"/>
        </w:rPr>
        <w:t>ιρεία Υδρογονανθράκων (ΕΔΕΥ) ΑΕ</w:t>
      </w:r>
      <w:r>
        <w:rPr>
          <w:sz w:val="22"/>
          <w:szCs w:val="22"/>
        </w:rPr>
        <w:t>, τ</w:t>
      </w:r>
      <w:r w:rsidR="001C4A4E">
        <w:rPr>
          <w:sz w:val="22"/>
          <w:szCs w:val="22"/>
        </w:rPr>
        <w:t xml:space="preserve">ο </w:t>
      </w:r>
      <w:r>
        <w:rPr>
          <w:sz w:val="22"/>
          <w:szCs w:val="22"/>
        </w:rPr>
        <w:t>Εθνικό Κέντρο Περιβάλλοντος και Αε</w:t>
      </w:r>
      <w:r>
        <w:rPr>
          <w:sz w:val="22"/>
          <w:szCs w:val="22"/>
        </w:rPr>
        <w:t>ι</w:t>
      </w:r>
      <w:r>
        <w:rPr>
          <w:sz w:val="22"/>
          <w:szCs w:val="22"/>
        </w:rPr>
        <w:t>φό</w:t>
      </w:r>
      <w:r w:rsidR="001C4A4E">
        <w:rPr>
          <w:sz w:val="22"/>
          <w:szCs w:val="22"/>
        </w:rPr>
        <w:t xml:space="preserve">ρου Ανάπτυξης (ΕΚΠΑΑ), ο </w:t>
      </w:r>
      <w:r>
        <w:rPr>
          <w:sz w:val="22"/>
          <w:szCs w:val="22"/>
        </w:rPr>
        <w:t>Ελληνικό</w:t>
      </w:r>
      <w:r w:rsidR="001C4A4E">
        <w:rPr>
          <w:sz w:val="22"/>
          <w:szCs w:val="22"/>
        </w:rPr>
        <w:t>ς Οργανισμός Ανακύκλωσης (ΕΟΑΝ)</w:t>
      </w:r>
      <w:r>
        <w:rPr>
          <w:sz w:val="22"/>
          <w:szCs w:val="22"/>
        </w:rPr>
        <w:t xml:space="preserve">, </w:t>
      </w:r>
      <w:r w:rsidR="001C4A4E">
        <w:rPr>
          <w:sz w:val="22"/>
          <w:szCs w:val="22"/>
        </w:rPr>
        <w:t xml:space="preserve">καθώς και το </w:t>
      </w:r>
      <w:r w:rsidRPr="006C3639">
        <w:rPr>
          <w:sz w:val="22"/>
          <w:szCs w:val="22"/>
        </w:rPr>
        <w:t>Εθνικό Κτηματολ</w:t>
      </w:r>
      <w:r w:rsidR="001C4A4E">
        <w:rPr>
          <w:sz w:val="22"/>
          <w:szCs w:val="22"/>
        </w:rPr>
        <w:t>όγιο και Χαρτογράφηση ΑΕ (ΕΚΧΑ)</w:t>
      </w:r>
      <w:r w:rsidRPr="006C3639">
        <w:rPr>
          <w:sz w:val="22"/>
          <w:szCs w:val="22"/>
        </w:rPr>
        <w:t xml:space="preserve">, </w:t>
      </w:r>
      <w:r w:rsidRPr="003722C1">
        <w:rPr>
          <w:sz w:val="22"/>
          <w:szCs w:val="22"/>
        </w:rPr>
        <w:t>το οποίο προβλέπεται να παρουσιάσει οριακ</w:t>
      </w:r>
      <w:r>
        <w:rPr>
          <w:sz w:val="22"/>
          <w:szCs w:val="22"/>
        </w:rPr>
        <w:t>ά θετικό αποτέλεσμα ύψους 1</w:t>
      </w:r>
      <w:r w:rsidRPr="003722C1">
        <w:rPr>
          <w:sz w:val="22"/>
          <w:szCs w:val="22"/>
        </w:rPr>
        <w:t xml:space="preserve"> εκατ. ευρώ</w:t>
      </w:r>
      <w:r>
        <w:rPr>
          <w:sz w:val="22"/>
          <w:szCs w:val="22"/>
        </w:rPr>
        <w:t xml:space="preserve"> στο έτος 2018</w:t>
      </w:r>
      <w:r w:rsidRPr="003722C1">
        <w:rPr>
          <w:sz w:val="22"/>
          <w:szCs w:val="22"/>
        </w:rPr>
        <w:t>, έναντι ελλείμματος 51 εκατ. ευρώ του έτους 2017.</w:t>
      </w:r>
    </w:p>
    <w:p w:rsidR="00FB65A5" w:rsidRPr="00064EBD" w:rsidRDefault="00FB65A5" w:rsidP="00FB65A5">
      <w:pPr>
        <w:contextualSpacing/>
        <w:jc w:val="both"/>
        <w:rPr>
          <w:rFonts w:ascii="Arial Narrow" w:hAnsi="Arial Narrow"/>
          <w:b/>
          <w:i/>
          <w:sz w:val="22"/>
          <w:szCs w:val="22"/>
          <w:highlight w:val="yellow"/>
        </w:rPr>
      </w:pPr>
    </w:p>
    <w:p w:rsidR="00FB65A5" w:rsidRPr="006C3639" w:rsidRDefault="00FB65A5" w:rsidP="00FB65A5">
      <w:pPr>
        <w:contextualSpacing/>
        <w:jc w:val="both"/>
        <w:rPr>
          <w:rFonts w:ascii="Arial Narrow" w:hAnsi="Arial Narrow"/>
          <w:b/>
          <w:i/>
          <w:sz w:val="22"/>
          <w:szCs w:val="22"/>
        </w:rPr>
      </w:pPr>
      <w:r w:rsidRPr="006C3639">
        <w:rPr>
          <w:rFonts w:ascii="Arial Narrow" w:hAnsi="Arial Narrow"/>
          <w:b/>
          <w:i/>
          <w:sz w:val="22"/>
          <w:szCs w:val="22"/>
        </w:rPr>
        <w:t>Υπουργείο Υποδομών και Μεταφορών</w:t>
      </w:r>
    </w:p>
    <w:p w:rsidR="00FB65A5" w:rsidRPr="00064EBD" w:rsidRDefault="00FB65A5" w:rsidP="00FB65A5">
      <w:pPr>
        <w:contextualSpacing/>
        <w:jc w:val="both"/>
        <w:rPr>
          <w:b/>
          <w:sz w:val="22"/>
          <w:szCs w:val="22"/>
          <w:highlight w:val="yellow"/>
        </w:rPr>
      </w:pPr>
    </w:p>
    <w:p w:rsidR="00FB65A5" w:rsidRPr="00FB65A5" w:rsidRDefault="0071251C" w:rsidP="00FB65A5">
      <w:pPr>
        <w:contextualSpacing/>
        <w:jc w:val="both"/>
        <w:rPr>
          <w:sz w:val="22"/>
          <w:szCs w:val="22"/>
        </w:rPr>
      </w:pPr>
      <w:r>
        <w:rPr>
          <w:sz w:val="22"/>
          <w:szCs w:val="22"/>
        </w:rPr>
        <w:t>Στα νομικά πρόσωπα του υ</w:t>
      </w:r>
      <w:r w:rsidR="00FB65A5" w:rsidRPr="00FB65A5">
        <w:rPr>
          <w:sz w:val="22"/>
          <w:szCs w:val="22"/>
        </w:rPr>
        <w:t>πουργείου περιλαμβάνεται ο Ειδικός Λογαριασμός Κονδυλίων Έρευνας</w:t>
      </w:r>
      <w:r w:rsidR="00E964F4">
        <w:rPr>
          <w:sz w:val="22"/>
          <w:szCs w:val="22"/>
        </w:rPr>
        <w:t xml:space="preserve"> του</w:t>
      </w:r>
      <w:r w:rsidR="00FB65A5" w:rsidRPr="00FB65A5">
        <w:rPr>
          <w:sz w:val="22"/>
          <w:szCs w:val="22"/>
        </w:rPr>
        <w:t xml:space="preserve"> ΟΑΣΠ (ΟΑΣΠ-ΕΛΚΕ), ο Οργανισμός Αντισεισμικού Σχεδιασμού και Προστασίας (ΟΑΣΠ), η Εται</w:t>
      </w:r>
      <w:r w:rsidR="001C4A4E">
        <w:rPr>
          <w:sz w:val="22"/>
          <w:szCs w:val="22"/>
        </w:rPr>
        <w:t xml:space="preserve">ρεία Παγίων ΕΥΔΑΠ, ο </w:t>
      </w:r>
      <w:r w:rsidR="00FB65A5" w:rsidRPr="00FB65A5">
        <w:rPr>
          <w:sz w:val="22"/>
          <w:szCs w:val="22"/>
        </w:rPr>
        <w:t>Οργαν</w:t>
      </w:r>
      <w:r w:rsidR="001C4A4E">
        <w:rPr>
          <w:sz w:val="22"/>
          <w:szCs w:val="22"/>
        </w:rPr>
        <w:t>ισμός Ανάπτυξης Κρήτης (ΟΑΚ) ΑΕ και</w:t>
      </w:r>
      <w:r w:rsidR="008967F1">
        <w:rPr>
          <w:sz w:val="22"/>
          <w:szCs w:val="22"/>
        </w:rPr>
        <w:t xml:space="preserve"> </w:t>
      </w:r>
      <w:r w:rsidR="001C4A4E">
        <w:rPr>
          <w:sz w:val="22"/>
          <w:szCs w:val="22"/>
        </w:rPr>
        <w:t xml:space="preserve">η εταιρεία </w:t>
      </w:r>
      <w:r w:rsidR="00FB65A5" w:rsidRPr="00FB65A5">
        <w:rPr>
          <w:sz w:val="22"/>
          <w:szCs w:val="22"/>
        </w:rPr>
        <w:t>Κτιριακές Υπο</w:t>
      </w:r>
      <w:r w:rsidR="001C4A4E">
        <w:rPr>
          <w:sz w:val="22"/>
          <w:szCs w:val="22"/>
        </w:rPr>
        <w:t>δομές (ΚΤΥΠ) ΑΕ,</w:t>
      </w:r>
      <w:r w:rsidR="00FB65A5" w:rsidRPr="00FB65A5">
        <w:rPr>
          <w:sz w:val="22"/>
          <w:szCs w:val="22"/>
        </w:rPr>
        <w:t xml:space="preserve"> η οποία αποτελεί τον ενιαίο κατασκευαστικό φορέα του Ελληνικού Δημοσ</w:t>
      </w:r>
      <w:r w:rsidR="00FB65A5" w:rsidRPr="00FB65A5">
        <w:rPr>
          <w:sz w:val="22"/>
          <w:szCs w:val="22"/>
        </w:rPr>
        <w:t>ί</w:t>
      </w:r>
      <w:r w:rsidR="00FB65A5" w:rsidRPr="00FB65A5">
        <w:rPr>
          <w:sz w:val="22"/>
          <w:szCs w:val="22"/>
        </w:rPr>
        <w:t xml:space="preserve">ου. Το </w:t>
      </w:r>
      <w:r w:rsidR="001C4A4E">
        <w:rPr>
          <w:sz w:val="22"/>
          <w:szCs w:val="22"/>
        </w:rPr>
        <w:t xml:space="preserve">θετικό </w:t>
      </w:r>
      <w:r>
        <w:rPr>
          <w:sz w:val="22"/>
          <w:szCs w:val="22"/>
        </w:rPr>
        <w:t>αποτέλεσμα των παραπάνω φορέων</w:t>
      </w:r>
      <w:r w:rsidR="00FB65A5" w:rsidRPr="00FB65A5">
        <w:rPr>
          <w:sz w:val="22"/>
          <w:szCs w:val="22"/>
        </w:rPr>
        <w:t xml:space="preserve"> προβλέπεται να ανέλθει το 2018 στα 43 εκατ. ευρώ. </w:t>
      </w:r>
    </w:p>
    <w:p w:rsidR="00FB65A5" w:rsidRPr="00064EBD" w:rsidRDefault="00FB65A5" w:rsidP="00FB65A5">
      <w:pPr>
        <w:contextualSpacing/>
        <w:jc w:val="both"/>
        <w:rPr>
          <w:rFonts w:ascii="Arial Narrow" w:hAnsi="Arial Narrow"/>
          <w:b/>
          <w:i/>
          <w:sz w:val="22"/>
          <w:szCs w:val="22"/>
          <w:highlight w:val="yellow"/>
        </w:rPr>
      </w:pPr>
    </w:p>
    <w:p w:rsidR="00FB65A5" w:rsidRPr="00C125A8" w:rsidRDefault="00FB65A5" w:rsidP="00FB65A5">
      <w:pPr>
        <w:contextualSpacing/>
        <w:jc w:val="both"/>
        <w:rPr>
          <w:rFonts w:ascii="Arial Narrow" w:hAnsi="Arial Narrow"/>
          <w:b/>
          <w:i/>
          <w:sz w:val="22"/>
          <w:szCs w:val="22"/>
        </w:rPr>
      </w:pPr>
      <w:r w:rsidRPr="00C125A8">
        <w:rPr>
          <w:rFonts w:ascii="Arial Narrow" w:hAnsi="Arial Narrow"/>
          <w:b/>
          <w:i/>
          <w:sz w:val="22"/>
          <w:szCs w:val="22"/>
        </w:rPr>
        <w:t>Υπουργείο Ναυτιλίας και Νησιωτικής Πολιτικής</w:t>
      </w:r>
    </w:p>
    <w:p w:rsidR="00FB65A5" w:rsidRPr="00064EBD" w:rsidRDefault="00FB65A5" w:rsidP="00FB65A5">
      <w:pPr>
        <w:contextualSpacing/>
        <w:jc w:val="both"/>
        <w:rPr>
          <w:rFonts w:ascii="Arial Narrow" w:hAnsi="Arial Narrow"/>
          <w:b/>
          <w:i/>
          <w:sz w:val="22"/>
          <w:szCs w:val="22"/>
          <w:highlight w:val="yellow"/>
        </w:rPr>
      </w:pPr>
    </w:p>
    <w:p w:rsidR="00FB65A5" w:rsidRPr="008B62ED" w:rsidRDefault="00FB65A5" w:rsidP="00FB65A5">
      <w:pPr>
        <w:contextualSpacing/>
        <w:jc w:val="both"/>
        <w:rPr>
          <w:sz w:val="22"/>
          <w:szCs w:val="22"/>
        </w:rPr>
      </w:pPr>
      <w:r w:rsidRPr="008B62ED">
        <w:rPr>
          <w:sz w:val="22"/>
          <w:szCs w:val="22"/>
        </w:rPr>
        <w:t>Το συνολικό αποτέλεσμα των εποπτευόμενων φορέων προβλέπεται ότι θα διαμορφωθεί σε πλεόνασμα 6 εκατ. ευρώ</w:t>
      </w:r>
      <w:r w:rsidR="001C4A4E">
        <w:rPr>
          <w:sz w:val="22"/>
          <w:szCs w:val="22"/>
        </w:rPr>
        <w:t xml:space="preserve">, </w:t>
      </w:r>
      <w:r w:rsidR="00E715E2">
        <w:rPr>
          <w:sz w:val="22"/>
          <w:szCs w:val="22"/>
        </w:rPr>
        <w:t xml:space="preserve">το οποίο προέρχεται </w:t>
      </w:r>
      <w:r w:rsidR="001F1E10">
        <w:rPr>
          <w:sz w:val="22"/>
          <w:szCs w:val="22"/>
        </w:rPr>
        <w:t>κυρίως</w:t>
      </w:r>
      <w:r w:rsidR="00E715E2">
        <w:rPr>
          <w:sz w:val="22"/>
          <w:szCs w:val="22"/>
        </w:rPr>
        <w:t xml:space="preserve"> από τους Οργανισμούς Λιμένων</w:t>
      </w:r>
      <w:r w:rsidRPr="008B62ED">
        <w:rPr>
          <w:sz w:val="22"/>
          <w:szCs w:val="22"/>
        </w:rPr>
        <w:t>.</w:t>
      </w:r>
    </w:p>
    <w:p w:rsidR="00FB65A5" w:rsidRPr="00064EBD" w:rsidRDefault="00FB65A5" w:rsidP="00FB65A5">
      <w:pPr>
        <w:contextualSpacing/>
        <w:jc w:val="both"/>
        <w:rPr>
          <w:sz w:val="22"/>
          <w:szCs w:val="22"/>
          <w:highlight w:val="yellow"/>
        </w:rPr>
      </w:pPr>
    </w:p>
    <w:p w:rsidR="00FB65A5" w:rsidRPr="00ED6F1C" w:rsidRDefault="00FB65A5" w:rsidP="00FB65A5">
      <w:pPr>
        <w:contextualSpacing/>
        <w:jc w:val="both"/>
        <w:rPr>
          <w:sz w:val="22"/>
          <w:szCs w:val="22"/>
        </w:rPr>
      </w:pPr>
      <w:r w:rsidRPr="00ED6F1C">
        <w:rPr>
          <w:sz w:val="22"/>
          <w:szCs w:val="22"/>
        </w:rPr>
        <w:t xml:space="preserve">Στους παραπάνω φορείς περιλαμβάνονται </w:t>
      </w:r>
      <w:r w:rsidR="00E715E2">
        <w:rPr>
          <w:sz w:val="22"/>
          <w:szCs w:val="22"/>
        </w:rPr>
        <w:t>έντεκα (</w:t>
      </w:r>
      <w:r w:rsidRPr="00ED6F1C">
        <w:rPr>
          <w:sz w:val="22"/>
          <w:szCs w:val="22"/>
        </w:rPr>
        <w:t>11</w:t>
      </w:r>
      <w:r w:rsidR="00E715E2">
        <w:rPr>
          <w:sz w:val="22"/>
          <w:szCs w:val="22"/>
        </w:rPr>
        <w:t>)</w:t>
      </w:r>
      <w:r w:rsidRPr="00ED6F1C">
        <w:rPr>
          <w:sz w:val="22"/>
          <w:szCs w:val="22"/>
        </w:rPr>
        <w:t xml:space="preserve"> Λιμενικά Ταμεία, κύρια δράση των οποίων ε</w:t>
      </w:r>
      <w:r w:rsidRPr="00ED6F1C">
        <w:rPr>
          <w:sz w:val="22"/>
          <w:szCs w:val="22"/>
        </w:rPr>
        <w:t>ί</w:t>
      </w:r>
      <w:r w:rsidRPr="00ED6F1C">
        <w:rPr>
          <w:sz w:val="22"/>
          <w:szCs w:val="22"/>
        </w:rPr>
        <w:t>ναι η εκμετάλλευση, κατασκευή και συντήρηση των λιμενικών υποδομών, των αλιευτικών καταφυγ</w:t>
      </w:r>
      <w:r w:rsidRPr="00ED6F1C">
        <w:rPr>
          <w:sz w:val="22"/>
          <w:szCs w:val="22"/>
        </w:rPr>
        <w:t>ί</w:t>
      </w:r>
      <w:r w:rsidRPr="00ED6F1C">
        <w:rPr>
          <w:sz w:val="22"/>
          <w:szCs w:val="22"/>
        </w:rPr>
        <w:t>ων και λιμενίσκων των περιοχών αρμοδιότητάς τους. Για την υλοποίηση των έργων</w:t>
      </w:r>
      <w:r>
        <w:rPr>
          <w:sz w:val="22"/>
          <w:szCs w:val="22"/>
        </w:rPr>
        <w:t xml:space="preserve"> τους</w:t>
      </w:r>
      <w:r w:rsidRPr="00ED6F1C">
        <w:rPr>
          <w:sz w:val="22"/>
          <w:szCs w:val="22"/>
        </w:rPr>
        <w:t xml:space="preserve"> επιχορηγο</w:t>
      </w:r>
      <w:r w:rsidRPr="00ED6F1C">
        <w:rPr>
          <w:sz w:val="22"/>
          <w:szCs w:val="22"/>
        </w:rPr>
        <w:t>ύ</w:t>
      </w:r>
      <w:r w:rsidRPr="00ED6F1C">
        <w:rPr>
          <w:sz w:val="22"/>
          <w:szCs w:val="22"/>
        </w:rPr>
        <w:t xml:space="preserve">νται </w:t>
      </w:r>
      <w:r>
        <w:rPr>
          <w:sz w:val="22"/>
          <w:szCs w:val="22"/>
        </w:rPr>
        <w:t xml:space="preserve">και </w:t>
      </w:r>
      <w:r w:rsidRPr="00ED6F1C">
        <w:rPr>
          <w:sz w:val="22"/>
          <w:szCs w:val="22"/>
        </w:rPr>
        <w:t>από το Πρόγραμμα Δημοσίων Επενδύσεων.</w:t>
      </w:r>
      <w:r w:rsidR="008967F1">
        <w:rPr>
          <w:sz w:val="22"/>
          <w:szCs w:val="22"/>
        </w:rPr>
        <w:t xml:space="preserve"> </w:t>
      </w:r>
    </w:p>
    <w:p w:rsidR="00FB65A5" w:rsidRPr="00C125A8" w:rsidRDefault="00E715E2" w:rsidP="00FB65A5">
      <w:pPr>
        <w:contextualSpacing/>
        <w:jc w:val="both"/>
        <w:rPr>
          <w:sz w:val="22"/>
          <w:szCs w:val="22"/>
        </w:rPr>
      </w:pPr>
      <w:r>
        <w:rPr>
          <w:sz w:val="22"/>
          <w:szCs w:val="22"/>
        </w:rPr>
        <w:t>Επίσης,</w:t>
      </w:r>
      <w:r w:rsidR="00FB65A5">
        <w:rPr>
          <w:sz w:val="22"/>
          <w:szCs w:val="22"/>
        </w:rPr>
        <w:t xml:space="preserve"> περι</w:t>
      </w:r>
      <w:r>
        <w:rPr>
          <w:sz w:val="22"/>
          <w:szCs w:val="22"/>
        </w:rPr>
        <w:t>λαμβάνονται και</w:t>
      </w:r>
      <w:r w:rsidR="00FB65A5" w:rsidRPr="00C125A8">
        <w:rPr>
          <w:sz w:val="22"/>
          <w:szCs w:val="22"/>
        </w:rPr>
        <w:t xml:space="preserve"> έντεκα</w:t>
      </w:r>
      <w:r w:rsidR="008967F1">
        <w:rPr>
          <w:sz w:val="22"/>
          <w:szCs w:val="22"/>
        </w:rPr>
        <w:t xml:space="preserve"> </w:t>
      </w:r>
      <w:r w:rsidR="00FB65A5" w:rsidRPr="00C125A8">
        <w:rPr>
          <w:sz w:val="22"/>
          <w:szCs w:val="22"/>
        </w:rPr>
        <w:t>(11) Οργανισμ</w:t>
      </w:r>
      <w:r>
        <w:rPr>
          <w:sz w:val="22"/>
          <w:szCs w:val="22"/>
        </w:rPr>
        <w:t>οί</w:t>
      </w:r>
      <w:r w:rsidR="00FB65A5" w:rsidRPr="00C125A8">
        <w:rPr>
          <w:sz w:val="22"/>
          <w:szCs w:val="22"/>
        </w:rPr>
        <w:t xml:space="preserve"> Λιμένων</w:t>
      </w:r>
      <w:r w:rsidR="00FB65A5">
        <w:rPr>
          <w:sz w:val="22"/>
          <w:szCs w:val="22"/>
        </w:rPr>
        <w:t xml:space="preserve"> (Αλεξανδρούπολης, Βόλου, Ελευσ</w:t>
      </w:r>
      <w:r w:rsidR="00FB65A5">
        <w:rPr>
          <w:sz w:val="22"/>
          <w:szCs w:val="22"/>
        </w:rPr>
        <w:t>ί</w:t>
      </w:r>
      <w:r w:rsidR="00FB65A5">
        <w:rPr>
          <w:sz w:val="22"/>
          <w:szCs w:val="22"/>
        </w:rPr>
        <w:t>νας, Ηγουμενίτσας, Ηρακλείου, Καβάλας Κέρκυρας, Λαυρίου, Νομού Εύβοιας, Πατρών και Ραφ</w:t>
      </w:r>
      <w:r w:rsidR="00FB65A5">
        <w:rPr>
          <w:sz w:val="22"/>
          <w:szCs w:val="22"/>
        </w:rPr>
        <w:t>ή</w:t>
      </w:r>
      <w:r w:rsidR="00FB65A5">
        <w:rPr>
          <w:sz w:val="22"/>
          <w:szCs w:val="22"/>
        </w:rPr>
        <w:lastRenderedPageBreak/>
        <w:t xml:space="preserve">νας), </w:t>
      </w:r>
      <w:r w:rsidR="00E964F4">
        <w:rPr>
          <w:sz w:val="22"/>
          <w:szCs w:val="22"/>
        </w:rPr>
        <w:t xml:space="preserve">οι </w:t>
      </w:r>
      <w:r w:rsidR="00FB65A5">
        <w:rPr>
          <w:sz w:val="22"/>
          <w:szCs w:val="22"/>
        </w:rPr>
        <w:t>οποίο</w:t>
      </w:r>
      <w:r w:rsidR="00E964F4">
        <w:rPr>
          <w:sz w:val="22"/>
          <w:szCs w:val="22"/>
        </w:rPr>
        <w:t>ι</w:t>
      </w:r>
      <w:r w:rsidR="00FB65A5">
        <w:rPr>
          <w:sz w:val="22"/>
          <w:szCs w:val="22"/>
        </w:rPr>
        <w:t xml:space="preserve"> το έτος 2018 προβλέπεται </w:t>
      </w:r>
      <w:r w:rsidR="00E964F4">
        <w:rPr>
          <w:sz w:val="22"/>
          <w:szCs w:val="22"/>
        </w:rPr>
        <w:t>να υλοποιήσουν</w:t>
      </w:r>
      <w:r w:rsidR="00FB65A5">
        <w:rPr>
          <w:sz w:val="22"/>
          <w:szCs w:val="22"/>
        </w:rPr>
        <w:t xml:space="preserve"> σημαντικού ύψους επενδυτικ</w:t>
      </w:r>
      <w:r w:rsidR="00E964F4">
        <w:rPr>
          <w:sz w:val="22"/>
          <w:szCs w:val="22"/>
        </w:rPr>
        <w:t>ά</w:t>
      </w:r>
      <w:r w:rsidR="00FB65A5">
        <w:rPr>
          <w:sz w:val="22"/>
          <w:szCs w:val="22"/>
        </w:rPr>
        <w:t xml:space="preserve"> προγρ</w:t>
      </w:r>
      <w:r w:rsidR="00E964F4">
        <w:rPr>
          <w:sz w:val="22"/>
          <w:szCs w:val="22"/>
        </w:rPr>
        <w:t>άμμ</w:t>
      </w:r>
      <w:r w:rsidR="00E964F4">
        <w:rPr>
          <w:sz w:val="22"/>
          <w:szCs w:val="22"/>
        </w:rPr>
        <w:t>α</w:t>
      </w:r>
      <w:r w:rsidR="00E964F4">
        <w:rPr>
          <w:sz w:val="22"/>
          <w:szCs w:val="22"/>
        </w:rPr>
        <w:t xml:space="preserve">τα </w:t>
      </w:r>
      <w:r w:rsidR="00FB65A5">
        <w:rPr>
          <w:sz w:val="22"/>
          <w:szCs w:val="22"/>
        </w:rPr>
        <w:t>για τον εκσυγχρονισμό τους.</w:t>
      </w:r>
    </w:p>
    <w:p w:rsidR="00FB65A5" w:rsidRPr="00064EBD" w:rsidRDefault="00FB65A5" w:rsidP="00FB65A5">
      <w:pPr>
        <w:contextualSpacing/>
        <w:jc w:val="both"/>
        <w:rPr>
          <w:sz w:val="22"/>
          <w:szCs w:val="22"/>
          <w:highlight w:val="yellow"/>
        </w:rPr>
      </w:pPr>
    </w:p>
    <w:p w:rsidR="00FB65A5" w:rsidRPr="00E90641" w:rsidRDefault="00FB65A5" w:rsidP="00FB65A5">
      <w:pPr>
        <w:contextualSpacing/>
        <w:jc w:val="both"/>
        <w:rPr>
          <w:rFonts w:ascii="Arial Narrow" w:hAnsi="Arial Narrow"/>
          <w:b/>
          <w:i/>
          <w:sz w:val="22"/>
          <w:szCs w:val="22"/>
        </w:rPr>
      </w:pPr>
      <w:r w:rsidRPr="00E90641">
        <w:rPr>
          <w:rFonts w:ascii="Arial Narrow" w:hAnsi="Arial Narrow"/>
          <w:b/>
          <w:i/>
          <w:sz w:val="22"/>
          <w:szCs w:val="22"/>
        </w:rPr>
        <w:t xml:space="preserve">Υπουργείο Αγροτικής Ανάπτυξης και Τροφίμων </w:t>
      </w:r>
    </w:p>
    <w:p w:rsidR="00FB65A5" w:rsidRPr="00064EBD" w:rsidRDefault="00FB65A5" w:rsidP="00FB65A5">
      <w:pPr>
        <w:contextualSpacing/>
        <w:jc w:val="both"/>
        <w:rPr>
          <w:b/>
          <w:sz w:val="22"/>
          <w:szCs w:val="22"/>
          <w:highlight w:val="yellow"/>
        </w:rPr>
      </w:pPr>
    </w:p>
    <w:p w:rsidR="00FB65A5" w:rsidRPr="00FB0C6E" w:rsidRDefault="0071251C" w:rsidP="00FB65A5">
      <w:pPr>
        <w:contextualSpacing/>
        <w:jc w:val="both"/>
        <w:rPr>
          <w:sz w:val="22"/>
          <w:szCs w:val="22"/>
        </w:rPr>
      </w:pPr>
      <w:r>
        <w:rPr>
          <w:sz w:val="22"/>
          <w:szCs w:val="22"/>
        </w:rPr>
        <w:t>Το υ</w:t>
      </w:r>
      <w:r w:rsidR="00FB65A5" w:rsidRPr="00FB0C6E">
        <w:rPr>
          <w:sz w:val="22"/>
          <w:szCs w:val="22"/>
        </w:rPr>
        <w:t xml:space="preserve">πουργείο έχει υπό την εποπτεία του νομικά πρόσωπα, μεταξύ των οποίων ο Ενιαίος Φορέας </w:t>
      </w:r>
      <w:r w:rsidR="00FB65A5" w:rsidRPr="00FB0C6E">
        <w:rPr>
          <w:sz w:val="22"/>
          <w:szCs w:val="22"/>
        </w:rPr>
        <w:t>Ε</w:t>
      </w:r>
      <w:r w:rsidR="00FB65A5" w:rsidRPr="00FB0C6E">
        <w:rPr>
          <w:sz w:val="22"/>
          <w:szCs w:val="22"/>
        </w:rPr>
        <w:t xml:space="preserve">λέγχου Τροφίμων (ΕΦΕΤ), με βασική αποστολή του τη διασφάλιση της εισαγωγής, παραγωγής και διακίνησης υγιεινών τροφίμων, με στόχο την προστασία του καταναλωτή και ο Ελληνικός Γεωργικός Οργανισμός </w:t>
      </w:r>
      <w:r w:rsidR="00E715E2">
        <w:rPr>
          <w:sz w:val="22"/>
          <w:szCs w:val="22"/>
        </w:rPr>
        <w:t>«ΔΗΜΗΤΡΑ»</w:t>
      </w:r>
      <w:r w:rsidR="00FB65A5" w:rsidRPr="00FB0C6E">
        <w:rPr>
          <w:sz w:val="22"/>
          <w:szCs w:val="22"/>
        </w:rPr>
        <w:t xml:space="preserve"> (ΕΛΓΟ-ΔΗΜΗΤΡΑ), ο οποίος διασφαλίζει την ποιότητα του γάλακτος, σύμφωνα με την ε</w:t>
      </w:r>
      <w:r w:rsidR="00FB65A5">
        <w:rPr>
          <w:sz w:val="22"/>
          <w:szCs w:val="22"/>
        </w:rPr>
        <w:t>λληνική και κοινοτική νομοθεσία</w:t>
      </w:r>
      <w:r w:rsidR="00FB65A5" w:rsidRPr="00FB0C6E">
        <w:rPr>
          <w:sz w:val="22"/>
          <w:szCs w:val="22"/>
        </w:rPr>
        <w:t xml:space="preserve"> </w:t>
      </w:r>
      <w:r w:rsidR="009624FF">
        <w:rPr>
          <w:sz w:val="22"/>
          <w:szCs w:val="22"/>
        </w:rPr>
        <w:t xml:space="preserve">και </w:t>
      </w:r>
      <w:r w:rsidR="00FB65A5" w:rsidRPr="00FB0C6E">
        <w:rPr>
          <w:sz w:val="22"/>
          <w:szCs w:val="22"/>
        </w:rPr>
        <w:t>μεριμνά για την πιστοποίηση των αγροτικών προϊόντων και την προαγωγή της έρευνας και της επαγγελματικής κατάρτισης στον τομέα της γεωργ</w:t>
      </w:r>
      <w:r w:rsidR="00FB65A5" w:rsidRPr="00FB0C6E">
        <w:rPr>
          <w:sz w:val="22"/>
          <w:szCs w:val="22"/>
        </w:rPr>
        <w:t>ί</w:t>
      </w:r>
      <w:r w:rsidR="00FB65A5" w:rsidRPr="00FB0C6E">
        <w:rPr>
          <w:sz w:val="22"/>
          <w:szCs w:val="22"/>
        </w:rPr>
        <w:t>ας.</w:t>
      </w:r>
    </w:p>
    <w:p w:rsidR="00FB65A5" w:rsidRPr="00FB0C6E" w:rsidRDefault="00FB65A5" w:rsidP="00FB65A5">
      <w:pPr>
        <w:contextualSpacing/>
        <w:jc w:val="both"/>
        <w:rPr>
          <w:sz w:val="22"/>
          <w:szCs w:val="22"/>
        </w:rPr>
      </w:pPr>
    </w:p>
    <w:p w:rsidR="00FB65A5" w:rsidRPr="00FB0C6E" w:rsidRDefault="00FB65A5" w:rsidP="00FB65A5">
      <w:pPr>
        <w:contextualSpacing/>
        <w:jc w:val="both"/>
        <w:rPr>
          <w:b/>
          <w:i/>
          <w:sz w:val="22"/>
          <w:szCs w:val="22"/>
          <w:u w:val="single"/>
        </w:rPr>
      </w:pPr>
      <w:r w:rsidRPr="00FB0C6E">
        <w:rPr>
          <w:sz w:val="22"/>
          <w:szCs w:val="22"/>
        </w:rPr>
        <w:t xml:space="preserve">Τα νομικά πρόσωπα εποπτείας του </w:t>
      </w:r>
      <w:r w:rsidR="0071251C">
        <w:rPr>
          <w:sz w:val="22"/>
          <w:szCs w:val="22"/>
        </w:rPr>
        <w:t>υπουργείου</w:t>
      </w:r>
      <w:r w:rsidRPr="00FB0C6E">
        <w:rPr>
          <w:sz w:val="22"/>
          <w:szCs w:val="22"/>
        </w:rPr>
        <w:t xml:space="preserve"> προβλέπεται να εμφανίσουν το 2018 πλεόνασμα </w:t>
      </w:r>
      <w:r w:rsidRPr="00FB0C6E">
        <w:rPr>
          <w:sz w:val="22"/>
          <w:szCs w:val="22"/>
        </w:rPr>
        <w:t>ύ</w:t>
      </w:r>
      <w:r w:rsidRPr="00FB0C6E">
        <w:rPr>
          <w:sz w:val="22"/>
          <w:szCs w:val="22"/>
        </w:rPr>
        <w:t>ψους 11 εκατ. ευρώ.</w:t>
      </w:r>
    </w:p>
    <w:p w:rsidR="00CB79D9" w:rsidRPr="00CB79D9" w:rsidRDefault="00CB79D9" w:rsidP="00812A22">
      <w:pPr>
        <w:keepNext/>
        <w:jc w:val="both"/>
        <w:outlineLvl w:val="4"/>
        <w:rPr>
          <w:b/>
          <w:bCs/>
          <w:color w:val="000080"/>
          <w:sz w:val="22"/>
          <w:szCs w:val="22"/>
        </w:rPr>
      </w:pPr>
    </w:p>
    <w:p w:rsidR="005B36EA" w:rsidRPr="00812A22" w:rsidRDefault="005B36EA" w:rsidP="00812A22">
      <w:pPr>
        <w:keepNext/>
        <w:jc w:val="both"/>
        <w:outlineLvl w:val="4"/>
        <w:rPr>
          <w:rFonts w:ascii="Arial Narrow" w:hAnsi="Arial Narrow"/>
          <w:b/>
          <w:bCs/>
          <w:color w:val="000080"/>
          <w:szCs w:val="22"/>
        </w:rPr>
      </w:pPr>
      <w:r w:rsidRPr="00812A22">
        <w:rPr>
          <w:rFonts w:ascii="Arial Narrow" w:hAnsi="Arial Narrow"/>
          <w:b/>
          <w:bCs/>
          <w:color w:val="000080"/>
          <w:szCs w:val="22"/>
        </w:rPr>
        <w:t>Ανεξάρτητες Διοικητικές Αρχές (ΑΔΑ)</w:t>
      </w:r>
    </w:p>
    <w:p w:rsidR="00866FFC" w:rsidRDefault="00866FFC" w:rsidP="00866FFC">
      <w:pPr>
        <w:jc w:val="both"/>
        <w:rPr>
          <w:sz w:val="22"/>
          <w:szCs w:val="22"/>
        </w:rPr>
      </w:pPr>
    </w:p>
    <w:p w:rsidR="00866FFC" w:rsidRPr="00CB5FB1" w:rsidRDefault="00866FFC" w:rsidP="00866FFC">
      <w:pPr>
        <w:jc w:val="both"/>
        <w:rPr>
          <w:sz w:val="22"/>
          <w:szCs w:val="22"/>
        </w:rPr>
      </w:pPr>
      <w:r w:rsidRPr="00CB5FB1">
        <w:rPr>
          <w:sz w:val="22"/>
          <w:szCs w:val="22"/>
        </w:rPr>
        <w:t>Στο ισοζύγιο του υποτομέα των λοιπών νομικών προσώπων συμπεριλαμβάνεται και το αποτέλεσμα των Ανεξάρτητων Διοικητικών Αρχών (ΑΔΑ), που έχουν νομική προσωπικότητα και είναι οι ακόλο</w:t>
      </w:r>
      <w:r w:rsidRPr="00CB5FB1">
        <w:rPr>
          <w:sz w:val="22"/>
          <w:szCs w:val="22"/>
        </w:rPr>
        <w:t>υ</w:t>
      </w:r>
      <w:r w:rsidRPr="00CB5FB1">
        <w:rPr>
          <w:sz w:val="22"/>
          <w:szCs w:val="22"/>
        </w:rPr>
        <w:t>θες:</w:t>
      </w:r>
    </w:p>
    <w:p w:rsidR="00866FFC" w:rsidRPr="00CB5FB1" w:rsidRDefault="00866FFC" w:rsidP="00866FFC">
      <w:pPr>
        <w:jc w:val="both"/>
        <w:rPr>
          <w:b/>
          <w:sz w:val="22"/>
          <w:szCs w:val="22"/>
        </w:rPr>
      </w:pPr>
    </w:p>
    <w:p w:rsidR="00866FFC" w:rsidRPr="00CB5FB1" w:rsidRDefault="00866FFC" w:rsidP="00866FFC">
      <w:pPr>
        <w:contextualSpacing/>
        <w:jc w:val="both"/>
        <w:rPr>
          <w:rFonts w:ascii="Arial Narrow" w:hAnsi="Arial Narrow"/>
          <w:b/>
          <w:i/>
          <w:sz w:val="22"/>
          <w:szCs w:val="22"/>
        </w:rPr>
      </w:pPr>
      <w:r w:rsidRPr="00CB5FB1">
        <w:rPr>
          <w:rFonts w:ascii="Arial Narrow" w:hAnsi="Arial Narrow"/>
          <w:b/>
          <w:i/>
          <w:sz w:val="22"/>
          <w:szCs w:val="22"/>
        </w:rPr>
        <w:t>Επιτροπή Ανταγωνισμού</w:t>
      </w:r>
    </w:p>
    <w:p w:rsidR="00866FFC" w:rsidRDefault="00866FFC" w:rsidP="00866FFC">
      <w:pPr>
        <w:jc w:val="both"/>
        <w:rPr>
          <w:sz w:val="22"/>
          <w:szCs w:val="22"/>
        </w:rPr>
      </w:pPr>
    </w:p>
    <w:p w:rsidR="00866FFC" w:rsidRPr="00CB5FB1" w:rsidRDefault="00866FFC" w:rsidP="00866FFC">
      <w:pPr>
        <w:jc w:val="both"/>
        <w:rPr>
          <w:sz w:val="22"/>
          <w:szCs w:val="22"/>
        </w:rPr>
      </w:pPr>
      <w:r w:rsidRPr="00CB5FB1">
        <w:rPr>
          <w:sz w:val="22"/>
          <w:szCs w:val="22"/>
        </w:rPr>
        <w:t xml:space="preserve">Η Επιτροπή Ανταγωνισμού έχει ως βασική αποστολή την εύρυθμη λειτουργία της αγοράς και την </w:t>
      </w:r>
      <w:r w:rsidRPr="00CB5FB1">
        <w:rPr>
          <w:sz w:val="22"/>
          <w:szCs w:val="22"/>
        </w:rPr>
        <w:t>ε</w:t>
      </w:r>
      <w:r w:rsidRPr="00CB5FB1">
        <w:rPr>
          <w:sz w:val="22"/>
          <w:szCs w:val="22"/>
        </w:rPr>
        <w:t>φαρμογή του δικαίου του ανταγωνισμού, που οδηγεί σε μείωση των τιμών, βελτίωση της ποιότητας και του εύρους των παρεχομένων προϊόντων και υπηρεσιών, διεύρυνση των επιλογών για τους κατ</w:t>
      </w:r>
      <w:r w:rsidRPr="00CB5FB1">
        <w:rPr>
          <w:sz w:val="22"/>
          <w:szCs w:val="22"/>
        </w:rPr>
        <w:t>α</w:t>
      </w:r>
      <w:r w:rsidRPr="00CB5FB1">
        <w:rPr>
          <w:sz w:val="22"/>
          <w:szCs w:val="22"/>
        </w:rPr>
        <w:t>ναλωτές και αύξηση της αγοραστικής τους δύναμης, καθώς και σ</w:t>
      </w:r>
      <w:r w:rsidR="009542C8">
        <w:rPr>
          <w:sz w:val="22"/>
          <w:szCs w:val="22"/>
        </w:rPr>
        <w:t>ε</w:t>
      </w:r>
      <w:r w:rsidRPr="00CB5FB1">
        <w:rPr>
          <w:sz w:val="22"/>
          <w:szCs w:val="22"/>
        </w:rPr>
        <w:t xml:space="preserve"> ενίσχυση της επιχειρηματικότητας και ανάπτυξη της οικονομίας.</w:t>
      </w:r>
    </w:p>
    <w:p w:rsidR="00866FFC" w:rsidRPr="00CB5FB1" w:rsidRDefault="00866FFC" w:rsidP="00866FFC">
      <w:pPr>
        <w:jc w:val="both"/>
        <w:rPr>
          <w:sz w:val="22"/>
          <w:szCs w:val="22"/>
        </w:rPr>
      </w:pPr>
      <w:r w:rsidRPr="00CB5FB1">
        <w:rPr>
          <w:sz w:val="22"/>
          <w:szCs w:val="22"/>
        </w:rPr>
        <w:t>Για το 2018 προβλέπεται θετικό αποτέλεσμα ύψους 0,8 εκατ. ευρώ.</w:t>
      </w:r>
    </w:p>
    <w:p w:rsidR="00866FFC" w:rsidRPr="00CB5FB1" w:rsidRDefault="00866FFC" w:rsidP="00866FFC">
      <w:pPr>
        <w:jc w:val="both"/>
        <w:rPr>
          <w:b/>
          <w:sz w:val="22"/>
          <w:szCs w:val="22"/>
        </w:rPr>
      </w:pPr>
    </w:p>
    <w:p w:rsidR="00866FFC" w:rsidRPr="00CB5FB1" w:rsidRDefault="00866FFC" w:rsidP="00866FFC">
      <w:pPr>
        <w:contextualSpacing/>
        <w:jc w:val="both"/>
        <w:rPr>
          <w:rFonts w:ascii="Arial Narrow" w:hAnsi="Arial Narrow"/>
          <w:b/>
          <w:i/>
          <w:sz w:val="22"/>
          <w:szCs w:val="22"/>
        </w:rPr>
      </w:pPr>
      <w:r w:rsidRPr="00CB5FB1">
        <w:rPr>
          <w:rFonts w:ascii="Arial Narrow" w:hAnsi="Arial Narrow"/>
          <w:b/>
          <w:i/>
          <w:sz w:val="22"/>
          <w:szCs w:val="22"/>
        </w:rPr>
        <w:t xml:space="preserve">Εθνική Επιτροπή Τηλεπικοινωνιών και Ταχυδρομείων (EETT) </w:t>
      </w:r>
    </w:p>
    <w:p w:rsidR="00866FFC" w:rsidRDefault="00866FFC" w:rsidP="00866FFC">
      <w:pPr>
        <w:jc w:val="both"/>
        <w:rPr>
          <w:sz w:val="22"/>
          <w:szCs w:val="22"/>
        </w:rPr>
      </w:pPr>
    </w:p>
    <w:p w:rsidR="00866FFC" w:rsidRDefault="00866FFC" w:rsidP="00866FFC">
      <w:pPr>
        <w:jc w:val="both"/>
        <w:rPr>
          <w:sz w:val="22"/>
          <w:szCs w:val="22"/>
        </w:rPr>
      </w:pPr>
      <w:r w:rsidRPr="00CB5FB1">
        <w:rPr>
          <w:sz w:val="22"/>
          <w:szCs w:val="22"/>
        </w:rPr>
        <w:t>Η Εθνική Επιτροπή Τηλεπικοινωνιών και Τα</w:t>
      </w:r>
      <w:r w:rsidR="009542C8">
        <w:rPr>
          <w:sz w:val="22"/>
          <w:szCs w:val="22"/>
        </w:rPr>
        <w:t>χυδρομείων (EETT) αποτελεί τον εθνικό ρ</w:t>
      </w:r>
      <w:r w:rsidRPr="00CB5FB1">
        <w:rPr>
          <w:sz w:val="22"/>
          <w:szCs w:val="22"/>
        </w:rPr>
        <w:t xml:space="preserve">υθμιστή που εποπτεύει και ελέγχει την αγορά ηλεκτρονικών επικοινωνιών, στην οποία δραστηριοποιούνται οι </w:t>
      </w:r>
      <w:r w:rsidRPr="00CB5FB1">
        <w:rPr>
          <w:sz w:val="22"/>
          <w:szCs w:val="22"/>
        </w:rPr>
        <w:t>ε</w:t>
      </w:r>
      <w:r w:rsidRPr="00CB5FB1">
        <w:rPr>
          <w:sz w:val="22"/>
          <w:szCs w:val="22"/>
        </w:rPr>
        <w:t>ταιρίες σταθερής και κινητής τηλεφωνίας, ασύρματων επικοινωνιών και διαδικτύου</w:t>
      </w:r>
      <w:r w:rsidR="009624FF">
        <w:rPr>
          <w:sz w:val="22"/>
          <w:szCs w:val="22"/>
        </w:rPr>
        <w:t>,</w:t>
      </w:r>
      <w:r w:rsidRPr="00CB5FB1">
        <w:rPr>
          <w:sz w:val="22"/>
          <w:szCs w:val="22"/>
        </w:rPr>
        <w:t xml:space="preserve"> καθώς και την ταχυδρομική αγορά, στην οποία δραστηριοποιούνται οι εταιρίες παροχής ταχυδρομικών υπηρεσιών και υπηρεσιών ταχυμεταφοράς. Επιπλέον, η </w:t>
      </w:r>
      <w:r w:rsidR="009542C8">
        <w:rPr>
          <w:sz w:val="22"/>
          <w:szCs w:val="22"/>
        </w:rPr>
        <w:t>Αρχή</w:t>
      </w:r>
      <w:r w:rsidRPr="00CB5FB1">
        <w:rPr>
          <w:sz w:val="22"/>
          <w:szCs w:val="22"/>
        </w:rPr>
        <w:t xml:space="preserve"> ασκεί αρμοδιότητες επιτροπής ανταγωνισμού στις εν λόγω αγορές.</w:t>
      </w:r>
    </w:p>
    <w:p w:rsidR="00866FFC" w:rsidRPr="00CB5FB1" w:rsidRDefault="00866FFC" w:rsidP="00866FFC">
      <w:pPr>
        <w:jc w:val="both"/>
        <w:rPr>
          <w:b/>
          <w:sz w:val="22"/>
          <w:szCs w:val="22"/>
        </w:rPr>
      </w:pPr>
      <w:r w:rsidRPr="00CB5FB1">
        <w:rPr>
          <w:sz w:val="22"/>
          <w:szCs w:val="22"/>
        </w:rPr>
        <w:t>Για το έτος 2018 προβλέπεται θετικό αποτέλεσμα ύψους 2 εκατ. ευρώ.</w:t>
      </w:r>
    </w:p>
    <w:p w:rsidR="00866FFC" w:rsidRPr="00CB5FB1" w:rsidRDefault="00866FFC" w:rsidP="00866FFC">
      <w:pPr>
        <w:jc w:val="both"/>
        <w:rPr>
          <w:b/>
          <w:sz w:val="22"/>
          <w:szCs w:val="22"/>
        </w:rPr>
      </w:pPr>
    </w:p>
    <w:p w:rsidR="00866FFC" w:rsidRPr="00CB5FB1" w:rsidRDefault="00866FFC" w:rsidP="00866FFC">
      <w:pPr>
        <w:contextualSpacing/>
        <w:jc w:val="both"/>
        <w:rPr>
          <w:rFonts w:ascii="Arial Narrow" w:hAnsi="Arial Narrow"/>
          <w:b/>
          <w:i/>
          <w:sz w:val="22"/>
          <w:szCs w:val="22"/>
        </w:rPr>
      </w:pPr>
      <w:r w:rsidRPr="00CB5FB1">
        <w:rPr>
          <w:rFonts w:ascii="Arial Narrow" w:hAnsi="Arial Narrow"/>
          <w:b/>
          <w:i/>
          <w:sz w:val="22"/>
          <w:szCs w:val="22"/>
        </w:rPr>
        <w:t>Ρυθμιστική Αρχή Ενέργειας</w:t>
      </w:r>
    </w:p>
    <w:p w:rsidR="00866FFC" w:rsidRDefault="00866FFC" w:rsidP="00866FFC">
      <w:pPr>
        <w:jc w:val="both"/>
        <w:rPr>
          <w:sz w:val="22"/>
          <w:szCs w:val="22"/>
        </w:rPr>
      </w:pPr>
    </w:p>
    <w:p w:rsidR="00866FFC" w:rsidRPr="00CB5FB1" w:rsidRDefault="00866FFC" w:rsidP="00866FFC">
      <w:pPr>
        <w:jc w:val="both"/>
        <w:rPr>
          <w:sz w:val="22"/>
          <w:szCs w:val="22"/>
        </w:rPr>
      </w:pPr>
      <w:r w:rsidRPr="00CB5FB1">
        <w:rPr>
          <w:sz w:val="22"/>
          <w:szCs w:val="22"/>
        </w:rPr>
        <w:t>Η Ρυθμιστική Αρχή Ενέργειας (ΡΑΕ) έχει γνωμοδοτικές αρμοδιότητες στο</w:t>
      </w:r>
      <w:r w:rsidR="00336E30">
        <w:rPr>
          <w:sz w:val="22"/>
          <w:szCs w:val="22"/>
        </w:rPr>
        <w:t>ν</w:t>
      </w:r>
      <w:r w:rsidRPr="00CB5FB1">
        <w:rPr>
          <w:sz w:val="22"/>
          <w:szCs w:val="22"/>
        </w:rPr>
        <w:t xml:space="preserve"> τομέα της ενέργειας.</w:t>
      </w:r>
      <w:r>
        <w:rPr>
          <w:sz w:val="22"/>
          <w:szCs w:val="22"/>
        </w:rPr>
        <w:t xml:space="preserve"> </w:t>
      </w:r>
      <w:r w:rsidRPr="00CB5FB1">
        <w:rPr>
          <w:sz w:val="22"/>
          <w:szCs w:val="22"/>
        </w:rPr>
        <w:t>Πιο συγκεκριμέν</w:t>
      </w:r>
      <w:r w:rsidR="00E964F4">
        <w:rPr>
          <w:sz w:val="22"/>
          <w:szCs w:val="22"/>
        </w:rPr>
        <w:t>α</w:t>
      </w:r>
      <w:r w:rsidR="009542C8">
        <w:rPr>
          <w:sz w:val="22"/>
          <w:szCs w:val="22"/>
        </w:rPr>
        <w:t>,</w:t>
      </w:r>
      <w:r w:rsidR="00E964F4">
        <w:rPr>
          <w:sz w:val="22"/>
          <w:szCs w:val="22"/>
        </w:rPr>
        <w:t xml:space="preserve"> παρακολουθεί και εποπτεύει τη</w:t>
      </w:r>
      <w:r w:rsidRPr="00CB5FB1">
        <w:rPr>
          <w:sz w:val="22"/>
          <w:szCs w:val="22"/>
        </w:rPr>
        <w:t xml:space="preserve"> λειτουργία της αγοράς ενέργειας και γνωμοδοτεί στον Υπουργό Περιβάλλοντος και Ενέργειας</w:t>
      </w:r>
      <w:r w:rsidR="00336E30">
        <w:rPr>
          <w:sz w:val="22"/>
          <w:szCs w:val="22"/>
        </w:rPr>
        <w:t>,</w:t>
      </w:r>
      <w:r w:rsidRPr="00CB5FB1">
        <w:rPr>
          <w:sz w:val="22"/>
          <w:szCs w:val="22"/>
        </w:rPr>
        <w:t xml:space="preserve"> καθώς και στις αρμόδιες Αρχές για τη λήψη των αναγκαίων μέτρων που αφορούν την τήρηση των κανόνων του ανταγωνισμού και την προστασία των καταναλ</w:t>
      </w:r>
      <w:r w:rsidRPr="00CB5FB1">
        <w:rPr>
          <w:sz w:val="22"/>
          <w:szCs w:val="22"/>
        </w:rPr>
        <w:t>ω</w:t>
      </w:r>
      <w:r w:rsidRPr="00CB5FB1">
        <w:rPr>
          <w:sz w:val="22"/>
          <w:szCs w:val="22"/>
        </w:rPr>
        <w:t>τών.</w:t>
      </w:r>
    </w:p>
    <w:p w:rsidR="00866FFC" w:rsidRPr="00CB5FB1" w:rsidRDefault="00866FFC" w:rsidP="00866FFC">
      <w:pPr>
        <w:jc w:val="both"/>
        <w:rPr>
          <w:sz w:val="22"/>
          <w:szCs w:val="22"/>
        </w:rPr>
      </w:pPr>
      <w:r w:rsidRPr="00CB5FB1">
        <w:rPr>
          <w:sz w:val="22"/>
          <w:szCs w:val="22"/>
        </w:rPr>
        <w:t xml:space="preserve">Ο προϋπολογισμός της </w:t>
      </w:r>
      <w:r w:rsidR="009542C8">
        <w:rPr>
          <w:sz w:val="22"/>
          <w:szCs w:val="22"/>
        </w:rPr>
        <w:t>Αρχής</w:t>
      </w:r>
      <w:r w:rsidRPr="00CB5FB1">
        <w:rPr>
          <w:sz w:val="22"/>
          <w:szCs w:val="22"/>
        </w:rPr>
        <w:t xml:space="preserve"> για το έτος 2018 προβλέπεται να εμφανίσει θετικό αποτέλεσμα ύψους 2 εκατ. ευρώ.</w:t>
      </w:r>
      <w:r>
        <w:rPr>
          <w:sz w:val="22"/>
          <w:szCs w:val="22"/>
        </w:rPr>
        <w:t xml:space="preserve"> </w:t>
      </w:r>
    </w:p>
    <w:p w:rsidR="00866FFC" w:rsidRPr="00CB5FB1" w:rsidRDefault="00866FFC" w:rsidP="00866FFC">
      <w:pPr>
        <w:jc w:val="both"/>
        <w:rPr>
          <w:b/>
          <w:sz w:val="22"/>
          <w:szCs w:val="22"/>
        </w:rPr>
      </w:pPr>
    </w:p>
    <w:p w:rsidR="00866FFC" w:rsidRPr="00CB5FB1" w:rsidRDefault="00866FFC" w:rsidP="00866FFC">
      <w:pPr>
        <w:contextualSpacing/>
        <w:jc w:val="both"/>
        <w:rPr>
          <w:rFonts w:ascii="Arial Narrow" w:hAnsi="Arial Narrow"/>
          <w:b/>
          <w:i/>
          <w:sz w:val="22"/>
          <w:szCs w:val="22"/>
        </w:rPr>
      </w:pPr>
      <w:r w:rsidRPr="00CB5FB1">
        <w:rPr>
          <w:rFonts w:ascii="Arial Narrow" w:hAnsi="Arial Narrow"/>
          <w:b/>
          <w:i/>
          <w:sz w:val="22"/>
          <w:szCs w:val="22"/>
        </w:rPr>
        <w:t>Εθνική Αναλογιστική Αρχή</w:t>
      </w:r>
    </w:p>
    <w:p w:rsidR="00866FFC" w:rsidRDefault="00866FFC" w:rsidP="00866FFC">
      <w:pPr>
        <w:jc w:val="both"/>
        <w:rPr>
          <w:sz w:val="22"/>
          <w:szCs w:val="22"/>
        </w:rPr>
      </w:pPr>
    </w:p>
    <w:p w:rsidR="00866FFC" w:rsidRPr="00CB5FB1" w:rsidRDefault="00866FFC" w:rsidP="00866FFC">
      <w:pPr>
        <w:jc w:val="both"/>
        <w:rPr>
          <w:sz w:val="22"/>
          <w:szCs w:val="22"/>
        </w:rPr>
      </w:pPr>
      <w:r w:rsidRPr="00CB5FB1">
        <w:rPr>
          <w:sz w:val="22"/>
          <w:szCs w:val="22"/>
        </w:rPr>
        <w:t>Οι αρμοδιότητες της Αρχής, μεταξύ άλλων, περιλαμβάνουν τη σύνταξη αναλογιστικών εκθέσεων σχ</w:t>
      </w:r>
      <w:r w:rsidRPr="00CB5FB1">
        <w:rPr>
          <w:sz w:val="22"/>
          <w:szCs w:val="22"/>
        </w:rPr>
        <w:t>ε</w:t>
      </w:r>
      <w:r w:rsidR="00E715E2">
        <w:rPr>
          <w:sz w:val="22"/>
          <w:szCs w:val="22"/>
        </w:rPr>
        <w:t>τικά με τη βιωσιμότητα του σ</w:t>
      </w:r>
      <w:r w:rsidRPr="00CB5FB1">
        <w:rPr>
          <w:sz w:val="22"/>
          <w:szCs w:val="22"/>
        </w:rPr>
        <w:t>υστήματος Κοινωνικής Ασφάλισης, τον έλεγχο της οικονομικής λε</w:t>
      </w:r>
      <w:r w:rsidRPr="00CB5FB1">
        <w:rPr>
          <w:sz w:val="22"/>
          <w:szCs w:val="22"/>
        </w:rPr>
        <w:t>ι</w:t>
      </w:r>
      <w:r w:rsidRPr="00CB5FB1">
        <w:rPr>
          <w:sz w:val="22"/>
          <w:szCs w:val="22"/>
        </w:rPr>
        <w:lastRenderedPageBreak/>
        <w:t>τουργίας και βιωσιμότητας των ταμείων επαγγελματικής ασφάλισης αναφορικά με το πρόγραμμα π</w:t>
      </w:r>
      <w:r w:rsidRPr="00CB5FB1">
        <w:rPr>
          <w:sz w:val="22"/>
          <w:szCs w:val="22"/>
        </w:rPr>
        <w:t>α</w:t>
      </w:r>
      <w:r w:rsidRPr="00CB5FB1">
        <w:rPr>
          <w:sz w:val="22"/>
          <w:szCs w:val="22"/>
        </w:rPr>
        <w:t>ροχών και επενδύσεων, τη γνωμοδότηση για ειδικότερα θέματα αναλογιστικής αποτίμησης ασφαλ</w:t>
      </w:r>
      <w:r w:rsidRPr="00CB5FB1">
        <w:rPr>
          <w:sz w:val="22"/>
          <w:szCs w:val="22"/>
        </w:rPr>
        <w:t>ι</w:t>
      </w:r>
      <w:r w:rsidRPr="00CB5FB1">
        <w:rPr>
          <w:sz w:val="22"/>
          <w:szCs w:val="22"/>
        </w:rPr>
        <w:t>στικών οργανισμών κ.λπ.</w:t>
      </w:r>
    </w:p>
    <w:p w:rsidR="00866FFC" w:rsidRPr="00CB5FB1" w:rsidRDefault="00866FFC" w:rsidP="00866FFC">
      <w:pPr>
        <w:jc w:val="both"/>
        <w:rPr>
          <w:sz w:val="22"/>
          <w:szCs w:val="22"/>
        </w:rPr>
      </w:pPr>
      <w:r w:rsidRPr="00CB5FB1">
        <w:rPr>
          <w:sz w:val="22"/>
          <w:szCs w:val="22"/>
        </w:rPr>
        <w:t xml:space="preserve">Για το έτος 2018 </w:t>
      </w:r>
      <w:r w:rsidR="00E715E2">
        <w:rPr>
          <w:sz w:val="22"/>
          <w:szCs w:val="22"/>
        </w:rPr>
        <w:t xml:space="preserve">ο προϋπολογισμός </w:t>
      </w:r>
      <w:r w:rsidRPr="00CB5FB1">
        <w:rPr>
          <w:sz w:val="22"/>
          <w:szCs w:val="22"/>
        </w:rPr>
        <w:t xml:space="preserve">της Αρχής εκτιμάται ότι θα </w:t>
      </w:r>
      <w:r w:rsidR="00E715E2">
        <w:rPr>
          <w:sz w:val="22"/>
          <w:szCs w:val="22"/>
        </w:rPr>
        <w:t>παρουσιάσει</w:t>
      </w:r>
      <w:r w:rsidRPr="00CB5FB1">
        <w:rPr>
          <w:sz w:val="22"/>
          <w:szCs w:val="22"/>
        </w:rPr>
        <w:t xml:space="preserve"> πλεόνασμα ύψους </w:t>
      </w:r>
      <w:r w:rsidRPr="002D6A7D">
        <w:rPr>
          <w:sz w:val="22"/>
          <w:szCs w:val="22"/>
        </w:rPr>
        <w:t>0,4</w:t>
      </w:r>
      <w:r w:rsidRPr="00CB5FB1">
        <w:rPr>
          <w:sz w:val="22"/>
          <w:szCs w:val="22"/>
        </w:rPr>
        <w:t xml:space="preserve"> εκατ. ευρώ.</w:t>
      </w:r>
    </w:p>
    <w:p w:rsidR="00866FFC" w:rsidRPr="00CB5FB1" w:rsidRDefault="00866FFC" w:rsidP="00866FFC">
      <w:pPr>
        <w:jc w:val="both"/>
        <w:rPr>
          <w:sz w:val="22"/>
          <w:szCs w:val="22"/>
        </w:rPr>
      </w:pPr>
    </w:p>
    <w:p w:rsidR="00866FFC" w:rsidRPr="00CB5FB1" w:rsidRDefault="00866FFC" w:rsidP="00866FFC">
      <w:pPr>
        <w:contextualSpacing/>
        <w:jc w:val="both"/>
        <w:rPr>
          <w:rFonts w:ascii="Arial Narrow" w:hAnsi="Arial Narrow"/>
          <w:b/>
          <w:i/>
          <w:sz w:val="22"/>
          <w:szCs w:val="22"/>
        </w:rPr>
      </w:pPr>
      <w:r w:rsidRPr="00CB5FB1">
        <w:rPr>
          <w:rFonts w:ascii="Arial Narrow" w:hAnsi="Arial Narrow"/>
          <w:b/>
          <w:i/>
          <w:sz w:val="22"/>
          <w:szCs w:val="22"/>
        </w:rPr>
        <w:t>Επιτροπή Εποπτείας και Ελέγχου Παιγνίων (ΕΕΕΠ)</w:t>
      </w:r>
    </w:p>
    <w:p w:rsidR="00866FFC" w:rsidRDefault="00866FFC" w:rsidP="00866FFC">
      <w:pPr>
        <w:jc w:val="both"/>
        <w:rPr>
          <w:bCs/>
          <w:sz w:val="22"/>
          <w:szCs w:val="22"/>
        </w:rPr>
      </w:pPr>
    </w:p>
    <w:p w:rsidR="00866FFC" w:rsidRDefault="00866FFC" w:rsidP="00866FFC">
      <w:pPr>
        <w:jc w:val="both"/>
        <w:rPr>
          <w:bCs/>
          <w:sz w:val="22"/>
          <w:szCs w:val="22"/>
        </w:rPr>
      </w:pPr>
      <w:r w:rsidRPr="00CB5FB1">
        <w:rPr>
          <w:bCs/>
          <w:sz w:val="22"/>
          <w:szCs w:val="22"/>
        </w:rPr>
        <w:t xml:space="preserve">Η Επιτροπή Εποπτείας και Ελέγχου Παιγνίων έχει ως αποστολή τη ρύθμιση, την εποπτεία και τον </w:t>
      </w:r>
      <w:r w:rsidRPr="00CB5FB1">
        <w:rPr>
          <w:bCs/>
          <w:sz w:val="22"/>
          <w:szCs w:val="22"/>
        </w:rPr>
        <w:t>έ</w:t>
      </w:r>
      <w:r w:rsidRPr="00CB5FB1">
        <w:rPr>
          <w:bCs/>
          <w:sz w:val="22"/>
          <w:szCs w:val="22"/>
        </w:rPr>
        <w:t>λεγχο των αγορών παροχής υπηρεσιών διεξαγωγής παιγνίων, τη μέριμνα για την προστασία των πα</w:t>
      </w:r>
      <w:r w:rsidRPr="00CB5FB1">
        <w:rPr>
          <w:bCs/>
          <w:sz w:val="22"/>
          <w:szCs w:val="22"/>
        </w:rPr>
        <w:t>ι</w:t>
      </w:r>
      <w:r w:rsidRPr="00CB5FB1">
        <w:rPr>
          <w:bCs/>
          <w:sz w:val="22"/>
          <w:szCs w:val="22"/>
        </w:rPr>
        <w:t>κτών και του κοινωνικού συνόλου, ειδικότερα δε των ανηλίκων και των ευάλωτων ομάδων του πλ</w:t>
      </w:r>
      <w:r w:rsidRPr="00CB5FB1">
        <w:rPr>
          <w:bCs/>
          <w:sz w:val="22"/>
          <w:szCs w:val="22"/>
        </w:rPr>
        <w:t>η</w:t>
      </w:r>
      <w:r w:rsidRPr="00CB5FB1">
        <w:rPr>
          <w:bCs/>
          <w:sz w:val="22"/>
          <w:szCs w:val="22"/>
        </w:rPr>
        <w:t>θυσμού</w:t>
      </w:r>
      <w:r w:rsidR="005A7094">
        <w:rPr>
          <w:bCs/>
          <w:sz w:val="22"/>
          <w:szCs w:val="22"/>
        </w:rPr>
        <w:t>,</w:t>
      </w:r>
      <w:r w:rsidRPr="00CB5FB1">
        <w:rPr>
          <w:bCs/>
          <w:sz w:val="22"/>
          <w:szCs w:val="22"/>
        </w:rPr>
        <w:t xml:space="preserve"> καθώς και τον έλεγχο της</w:t>
      </w:r>
      <w:r>
        <w:rPr>
          <w:bCs/>
          <w:sz w:val="22"/>
          <w:szCs w:val="22"/>
        </w:rPr>
        <w:t xml:space="preserve"> απόδοσης των δημόσιων εσόδων.</w:t>
      </w:r>
    </w:p>
    <w:p w:rsidR="00866FFC" w:rsidRPr="00CB5FB1" w:rsidRDefault="00866FFC" w:rsidP="00866FFC">
      <w:pPr>
        <w:jc w:val="both"/>
        <w:rPr>
          <w:bCs/>
          <w:sz w:val="22"/>
          <w:szCs w:val="22"/>
        </w:rPr>
      </w:pPr>
      <w:r w:rsidRPr="00CB5FB1">
        <w:rPr>
          <w:bCs/>
          <w:sz w:val="22"/>
          <w:szCs w:val="22"/>
        </w:rPr>
        <w:t xml:space="preserve">Το δημοσιονομικό αποτέλεσμα </w:t>
      </w:r>
      <w:r w:rsidR="00E715E2">
        <w:rPr>
          <w:bCs/>
          <w:sz w:val="22"/>
          <w:szCs w:val="22"/>
        </w:rPr>
        <w:t>γ</w:t>
      </w:r>
      <w:r w:rsidRPr="00CB5FB1">
        <w:rPr>
          <w:bCs/>
          <w:sz w:val="22"/>
          <w:szCs w:val="22"/>
        </w:rPr>
        <w:t>ια το έτος 2018 προβλέπεται πλε</w:t>
      </w:r>
      <w:r w:rsidR="00E715E2">
        <w:rPr>
          <w:bCs/>
          <w:sz w:val="22"/>
          <w:szCs w:val="22"/>
        </w:rPr>
        <w:t>ονασματικό</w:t>
      </w:r>
      <w:r w:rsidRPr="00CB5FB1">
        <w:rPr>
          <w:bCs/>
          <w:sz w:val="22"/>
          <w:szCs w:val="22"/>
        </w:rPr>
        <w:t xml:space="preserve"> ύψους</w:t>
      </w:r>
      <w:r>
        <w:rPr>
          <w:bCs/>
          <w:sz w:val="22"/>
          <w:szCs w:val="22"/>
        </w:rPr>
        <w:t xml:space="preserve"> </w:t>
      </w:r>
      <w:r w:rsidRPr="00CB5FB1">
        <w:rPr>
          <w:bCs/>
          <w:sz w:val="22"/>
          <w:szCs w:val="22"/>
        </w:rPr>
        <w:t xml:space="preserve">4,5 εκατ. ευρώ. </w:t>
      </w:r>
    </w:p>
    <w:p w:rsidR="00866FFC" w:rsidRPr="00CB5FB1" w:rsidRDefault="00866FFC" w:rsidP="00866FFC">
      <w:pPr>
        <w:jc w:val="both"/>
        <w:rPr>
          <w:sz w:val="22"/>
          <w:szCs w:val="22"/>
        </w:rPr>
      </w:pPr>
    </w:p>
    <w:p w:rsidR="00866FFC" w:rsidRPr="00CB5FB1" w:rsidRDefault="00866FFC" w:rsidP="00866FFC">
      <w:pPr>
        <w:contextualSpacing/>
        <w:jc w:val="both"/>
        <w:rPr>
          <w:rFonts w:ascii="Arial Narrow" w:hAnsi="Arial Narrow"/>
          <w:b/>
          <w:i/>
          <w:sz w:val="22"/>
          <w:szCs w:val="22"/>
        </w:rPr>
      </w:pPr>
      <w:r w:rsidRPr="00CB5FB1">
        <w:rPr>
          <w:rFonts w:ascii="Arial Narrow" w:hAnsi="Arial Narrow"/>
          <w:b/>
          <w:i/>
          <w:sz w:val="22"/>
          <w:szCs w:val="22"/>
        </w:rPr>
        <w:t>Ελληνικό Δημοσιονομικό Συμβούλιο</w:t>
      </w:r>
    </w:p>
    <w:p w:rsidR="00866FFC" w:rsidRDefault="00866FFC" w:rsidP="00866FFC">
      <w:pPr>
        <w:jc w:val="both"/>
        <w:rPr>
          <w:sz w:val="22"/>
          <w:szCs w:val="22"/>
        </w:rPr>
      </w:pPr>
    </w:p>
    <w:p w:rsidR="00866FFC" w:rsidRPr="00CB5FB1" w:rsidRDefault="00866FFC" w:rsidP="00866FFC">
      <w:pPr>
        <w:jc w:val="both"/>
        <w:rPr>
          <w:sz w:val="22"/>
          <w:szCs w:val="22"/>
        </w:rPr>
      </w:pPr>
      <w:r w:rsidRPr="00CB5FB1">
        <w:rPr>
          <w:sz w:val="22"/>
          <w:szCs w:val="22"/>
          <w:lang w:val="en-US"/>
        </w:rPr>
        <w:t>T</w:t>
      </w:r>
      <w:r w:rsidRPr="00CB5FB1">
        <w:rPr>
          <w:sz w:val="22"/>
          <w:szCs w:val="22"/>
        </w:rPr>
        <w:t>ο Ελληνικό Δημοσιονομικό Συμβούλιο έχει ως βασικές αρμοδιότητες την αξιολόγηση των μακροο</w:t>
      </w:r>
      <w:r w:rsidRPr="00CB5FB1">
        <w:rPr>
          <w:sz w:val="22"/>
          <w:szCs w:val="22"/>
        </w:rPr>
        <w:t>ι</w:t>
      </w:r>
      <w:r w:rsidRPr="00CB5FB1">
        <w:rPr>
          <w:sz w:val="22"/>
          <w:szCs w:val="22"/>
        </w:rPr>
        <w:t>κονομικών προβλέψεων</w:t>
      </w:r>
      <w:r w:rsidR="005A7094">
        <w:rPr>
          <w:sz w:val="22"/>
          <w:szCs w:val="22"/>
        </w:rPr>
        <w:t>,</w:t>
      </w:r>
      <w:r w:rsidRPr="00CB5FB1">
        <w:rPr>
          <w:sz w:val="22"/>
          <w:szCs w:val="22"/>
        </w:rPr>
        <w:t xml:space="preserve"> πάνω στις οποίες βασίζονται το Μεσοπρόθεσμο Πλαίσιο Δημοσιονομικής Στρατηγικής (ΜΠΔΣ) και ο ετήσιος Κρατικός Προϋπολογισμός, την αξιολόγηση της εφαρμογής των δημοσιονομικών κανόνων που ενσωματώνονται στο εθνικό πλαίσιο δημοσιονομικής διαχείρισης</w:t>
      </w:r>
      <w:r w:rsidR="00E715E2">
        <w:rPr>
          <w:sz w:val="22"/>
          <w:szCs w:val="22"/>
        </w:rPr>
        <w:t>,</w:t>
      </w:r>
      <w:r w:rsidRPr="00CB5FB1">
        <w:rPr>
          <w:sz w:val="22"/>
          <w:szCs w:val="22"/>
        </w:rPr>
        <w:t xml:space="preserve"> κ</w:t>
      </w:r>
      <w:r w:rsidRPr="00CB5FB1">
        <w:rPr>
          <w:sz w:val="22"/>
          <w:szCs w:val="22"/>
        </w:rPr>
        <w:t>α</w:t>
      </w:r>
      <w:r w:rsidRPr="00CB5FB1">
        <w:rPr>
          <w:sz w:val="22"/>
          <w:szCs w:val="22"/>
        </w:rPr>
        <w:t>θώς επίσης και</w:t>
      </w:r>
      <w:r>
        <w:rPr>
          <w:sz w:val="22"/>
          <w:szCs w:val="22"/>
        </w:rPr>
        <w:t xml:space="preserve"> </w:t>
      </w:r>
      <w:r w:rsidRPr="00CB5FB1">
        <w:rPr>
          <w:sz w:val="22"/>
          <w:szCs w:val="22"/>
        </w:rPr>
        <w:t xml:space="preserve">την παρακολούθηση ως προς τη συμμόρφωση με τους αριθμητικούς δημοσιονομικούς κανόνες. </w:t>
      </w:r>
    </w:p>
    <w:p w:rsidR="00866FFC" w:rsidRPr="00CB5FB1" w:rsidRDefault="00866FFC" w:rsidP="00866FFC">
      <w:pPr>
        <w:jc w:val="both"/>
        <w:rPr>
          <w:sz w:val="22"/>
          <w:szCs w:val="22"/>
        </w:rPr>
      </w:pPr>
      <w:r w:rsidRPr="00CB5FB1">
        <w:rPr>
          <w:sz w:val="22"/>
          <w:szCs w:val="22"/>
        </w:rPr>
        <w:t>Το ισοζύγιο του φορέα για το έτος 2018 είναι ισοσκελισμένο</w:t>
      </w:r>
      <w:r>
        <w:rPr>
          <w:sz w:val="22"/>
          <w:szCs w:val="22"/>
        </w:rPr>
        <w:t>.</w:t>
      </w:r>
    </w:p>
    <w:p w:rsidR="00866FFC" w:rsidRPr="00CB5FB1" w:rsidRDefault="00866FFC" w:rsidP="00866FFC">
      <w:pPr>
        <w:jc w:val="both"/>
        <w:rPr>
          <w:b/>
          <w:sz w:val="22"/>
          <w:szCs w:val="22"/>
        </w:rPr>
      </w:pPr>
    </w:p>
    <w:p w:rsidR="00866FFC" w:rsidRPr="00CB5FB1" w:rsidRDefault="00866FFC" w:rsidP="00866FFC">
      <w:pPr>
        <w:contextualSpacing/>
        <w:jc w:val="both"/>
        <w:rPr>
          <w:rFonts w:ascii="Arial Narrow" w:hAnsi="Arial Narrow"/>
          <w:b/>
          <w:i/>
          <w:sz w:val="22"/>
          <w:szCs w:val="22"/>
        </w:rPr>
      </w:pPr>
      <w:r w:rsidRPr="00CB5FB1">
        <w:rPr>
          <w:rFonts w:ascii="Arial Narrow" w:hAnsi="Arial Narrow"/>
          <w:b/>
          <w:i/>
          <w:sz w:val="22"/>
          <w:szCs w:val="22"/>
        </w:rPr>
        <w:t>Ελληνική Στατιστική Αρχή (ΕΛΣΤΑΤ)</w:t>
      </w:r>
    </w:p>
    <w:p w:rsidR="00866FFC" w:rsidRDefault="00866FFC" w:rsidP="00866FFC">
      <w:pPr>
        <w:jc w:val="both"/>
        <w:rPr>
          <w:sz w:val="22"/>
          <w:szCs w:val="22"/>
        </w:rPr>
      </w:pPr>
    </w:p>
    <w:p w:rsidR="00866FFC" w:rsidRPr="00CB5FB1" w:rsidRDefault="00866FFC" w:rsidP="00866FFC">
      <w:pPr>
        <w:jc w:val="both"/>
        <w:rPr>
          <w:sz w:val="22"/>
          <w:szCs w:val="22"/>
        </w:rPr>
      </w:pPr>
      <w:r w:rsidRPr="00CB5FB1">
        <w:rPr>
          <w:sz w:val="22"/>
          <w:szCs w:val="22"/>
        </w:rPr>
        <w:t>Η Ελληνική Στατιστική Αρχή έχει ως σκοπό τη συστηματική παραγωγή επίσημων στατιστικών, κ</w:t>
      </w:r>
      <w:r w:rsidRPr="00CB5FB1">
        <w:rPr>
          <w:sz w:val="22"/>
          <w:szCs w:val="22"/>
        </w:rPr>
        <w:t>α</w:t>
      </w:r>
      <w:r w:rsidRPr="00CB5FB1">
        <w:rPr>
          <w:sz w:val="22"/>
          <w:szCs w:val="22"/>
        </w:rPr>
        <w:t xml:space="preserve">θώς και τη διενέργεια επιστημονικών ερευνών και την κατάρτιση μελετών οι οποίες : α) αφορούν </w:t>
      </w:r>
      <w:r w:rsidRPr="00CB5FB1">
        <w:rPr>
          <w:sz w:val="22"/>
          <w:szCs w:val="22"/>
        </w:rPr>
        <w:t>ό</w:t>
      </w:r>
      <w:r w:rsidRPr="00CB5FB1">
        <w:rPr>
          <w:sz w:val="22"/>
          <w:szCs w:val="22"/>
        </w:rPr>
        <w:t>λους τους τομείς της δραστηριότητας του δημοσίου και του ιδιωτικού τομέα, β) υποστηρίζουν τη δι</w:t>
      </w:r>
      <w:r w:rsidRPr="00CB5FB1">
        <w:rPr>
          <w:sz w:val="22"/>
          <w:szCs w:val="22"/>
        </w:rPr>
        <w:t>α</w:t>
      </w:r>
      <w:r w:rsidRPr="00CB5FB1">
        <w:rPr>
          <w:sz w:val="22"/>
          <w:szCs w:val="22"/>
        </w:rPr>
        <w:t>δικασία λήψης αποφάσεων, χάραξης και αξιολόγησης πολιτικών της Κυβέρνησης και των φορέων του Δημοσίου (δείκτες αξιολόγησης),</w:t>
      </w:r>
      <w:r>
        <w:rPr>
          <w:sz w:val="22"/>
          <w:szCs w:val="22"/>
        </w:rPr>
        <w:t xml:space="preserve"> </w:t>
      </w:r>
      <w:r w:rsidRPr="00CB5FB1">
        <w:rPr>
          <w:sz w:val="22"/>
          <w:szCs w:val="22"/>
        </w:rPr>
        <w:t xml:space="preserve">γ) υποβάλλονται σε διεθνείς φορείς σύμφωνα με τις υποχρεώσεις της χώρας και δ) αφορούν στο γενικό κοινό ή </w:t>
      </w:r>
      <w:r w:rsidR="00D33580">
        <w:rPr>
          <w:sz w:val="22"/>
          <w:szCs w:val="22"/>
        </w:rPr>
        <w:t xml:space="preserve">σε </w:t>
      </w:r>
      <w:r w:rsidRPr="00CB5FB1">
        <w:rPr>
          <w:sz w:val="22"/>
          <w:szCs w:val="22"/>
        </w:rPr>
        <w:t xml:space="preserve">κατηγορίες χρηστών στατιστικών στοιχείων στο </w:t>
      </w:r>
      <w:r w:rsidRPr="00CB5FB1">
        <w:rPr>
          <w:sz w:val="22"/>
          <w:szCs w:val="22"/>
        </w:rPr>
        <w:t>ε</w:t>
      </w:r>
      <w:r w:rsidRPr="00CB5FB1">
        <w:rPr>
          <w:sz w:val="22"/>
          <w:szCs w:val="22"/>
        </w:rPr>
        <w:t>σωτερικό ή στο εξωτερικό.</w:t>
      </w:r>
    </w:p>
    <w:p w:rsidR="00866FFC" w:rsidRDefault="00866FFC" w:rsidP="00866FFC">
      <w:pPr>
        <w:jc w:val="both"/>
        <w:rPr>
          <w:sz w:val="22"/>
          <w:szCs w:val="22"/>
        </w:rPr>
      </w:pPr>
      <w:r w:rsidRPr="00CB5FB1">
        <w:rPr>
          <w:sz w:val="22"/>
          <w:szCs w:val="22"/>
        </w:rPr>
        <w:t>Το δημοσιονομικό αποτέλεσμα του φορέα για το έτος 2018 αναμένεται να είναι θετικό κατά 1,6 εκατ. ευρώ</w:t>
      </w:r>
      <w:r w:rsidR="005A7094">
        <w:rPr>
          <w:sz w:val="22"/>
          <w:szCs w:val="22"/>
        </w:rPr>
        <w:t>.</w:t>
      </w:r>
    </w:p>
    <w:p w:rsidR="00E715E2" w:rsidRPr="00CB5FB1" w:rsidRDefault="00E715E2" w:rsidP="00866FFC">
      <w:pPr>
        <w:jc w:val="both"/>
        <w:rPr>
          <w:sz w:val="22"/>
          <w:szCs w:val="22"/>
        </w:rPr>
      </w:pPr>
    </w:p>
    <w:p w:rsidR="004841DD" w:rsidRDefault="004841DD" w:rsidP="00F003E3">
      <w:pPr>
        <w:jc w:val="both"/>
        <w:rPr>
          <w:rFonts w:ascii="Arial Narrow" w:hAnsi="Arial Narrow"/>
          <w:b/>
          <w:color w:val="000080"/>
          <w:sz w:val="22"/>
        </w:rPr>
      </w:pP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43"/>
        <w:gridCol w:w="1701"/>
      </w:tblGrid>
      <w:tr w:rsidR="0058214D" w:rsidRPr="003E6D6E" w:rsidTr="005512EC">
        <w:trPr>
          <w:trHeight w:val="20"/>
          <w:jc w:val="center"/>
        </w:trPr>
        <w:tc>
          <w:tcPr>
            <w:tcW w:w="7054" w:type="dxa"/>
            <w:gridSpan w:val="3"/>
            <w:tcBorders>
              <w:bottom w:val="nil"/>
            </w:tcBorders>
            <w:shd w:val="clear" w:color="auto" w:fill="404040"/>
          </w:tcPr>
          <w:p w:rsidR="0058214D" w:rsidRPr="003E6D6E" w:rsidRDefault="00F8198D" w:rsidP="008D240E">
            <w:pPr>
              <w:tabs>
                <w:tab w:val="left" w:pos="567"/>
                <w:tab w:val="num" w:pos="720"/>
              </w:tabs>
              <w:jc w:val="center"/>
              <w:rPr>
                <w:rFonts w:ascii="Arial Narrow" w:hAnsi="Arial Narrow"/>
                <w:b/>
                <w:color w:val="FFFFFF"/>
                <w:sz w:val="22"/>
                <w:szCs w:val="16"/>
              </w:rPr>
            </w:pPr>
            <w:r>
              <w:rPr>
                <w:rFonts w:ascii="Arial Narrow" w:hAnsi="Arial Narrow"/>
                <w:b/>
                <w:color w:val="FFFFFF"/>
                <w:sz w:val="22"/>
                <w:szCs w:val="16"/>
              </w:rPr>
              <w:t>Πίνακας 3.19</w:t>
            </w:r>
            <w:r w:rsidR="0058214D" w:rsidRPr="003E6D6E">
              <w:rPr>
                <w:rFonts w:ascii="Arial Narrow" w:hAnsi="Arial Narrow"/>
                <w:b/>
                <w:color w:val="FFFFFF"/>
                <w:sz w:val="22"/>
                <w:szCs w:val="16"/>
              </w:rPr>
              <w:t xml:space="preserve">  </w:t>
            </w:r>
            <w:r w:rsidR="0058214D">
              <w:rPr>
                <w:rFonts w:ascii="Arial Narrow" w:hAnsi="Arial Narrow"/>
                <w:b/>
                <w:color w:val="FFFFFF"/>
                <w:sz w:val="22"/>
                <w:szCs w:val="16"/>
              </w:rPr>
              <w:t>Ισοζύγιο Ανεξάρτητων Διοικητικών Αρχών (ΑΔΑ)</w:t>
            </w:r>
          </w:p>
          <w:p w:rsidR="0058214D" w:rsidRPr="003E6D6E" w:rsidRDefault="0058214D" w:rsidP="008D240E">
            <w:pPr>
              <w:tabs>
                <w:tab w:val="left" w:pos="567"/>
                <w:tab w:val="num" w:pos="720"/>
              </w:tabs>
              <w:jc w:val="center"/>
              <w:rPr>
                <w:rFonts w:ascii="Arial Narrow" w:hAnsi="Arial Narrow"/>
                <w:b/>
                <w:color w:val="FFFFFF"/>
                <w:sz w:val="22"/>
                <w:szCs w:val="16"/>
              </w:rPr>
            </w:pPr>
            <w:r w:rsidRPr="003E6D6E">
              <w:rPr>
                <w:rFonts w:ascii="Arial Narrow" w:hAnsi="Arial Narrow"/>
                <w:b/>
                <w:color w:val="FFFFFF"/>
                <w:sz w:val="22"/>
                <w:szCs w:val="16"/>
              </w:rPr>
              <w:t>(σε εκατ. ευρώ)</w:t>
            </w:r>
          </w:p>
        </w:tc>
      </w:tr>
      <w:tr w:rsidR="0058214D" w:rsidRPr="003E6D6E" w:rsidTr="005512EC">
        <w:trPr>
          <w:trHeight w:val="20"/>
          <w:jc w:val="center"/>
        </w:trPr>
        <w:tc>
          <w:tcPr>
            <w:tcW w:w="7054" w:type="dxa"/>
            <w:gridSpan w:val="3"/>
            <w:tcBorders>
              <w:top w:val="nil"/>
            </w:tcBorders>
          </w:tcPr>
          <w:p w:rsidR="0058214D" w:rsidRPr="003E6D6E" w:rsidRDefault="0058214D" w:rsidP="008D240E">
            <w:pPr>
              <w:tabs>
                <w:tab w:val="left" w:pos="567"/>
                <w:tab w:val="num" w:pos="720"/>
              </w:tabs>
              <w:jc w:val="center"/>
              <w:rPr>
                <w:rFonts w:ascii="Arial Narrow" w:hAnsi="Arial Narrow"/>
                <w:b/>
                <w:sz w:val="16"/>
                <w:szCs w:val="16"/>
              </w:rPr>
            </w:pPr>
          </w:p>
        </w:tc>
      </w:tr>
      <w:tr w:rsidR="0058214D" w:rsidRPr="003E6D6E" w:rsidTr="005512EC">
        <w:trPr>
          <w:trHeight w:val="20"/>
          <w:jc w:val="center"/>
        </w:trPr>
        <w:tc>
          <w:tcPr>
            <w:tcW w:w="3510" w:type="dxa"/>
            <w:tcBorders>
              <w:bottom w:val="single" w:sz="4" w:space="0" w:color="auto"/>
            </w:tcBorders>
          </w:tcPr>
          <w:p w:rsidR="0058214D" w:rsidRPr="003E6D6E" w:rsidRDefault="0058214D" w:rsidP="008D240E">
            <w:pPr>
              <w:tabs>
                <w:tab w:val="left" w:pos="567"/>
                <w:tab w:val="num" w:pos="720"/>
              </w:tabs>
              <w:jc w:val="center"/>
              <w:rPr>
                <w:rFonts w:ascii="Arial Narrow" w:hAnsi="Arial Narrow"/>
                <w:b/>
                <w:sz w:val="16"/>
                <w:szCs w:val="16"/>
              </w:rPr>
            </w:pPr>
          </w:p>
        </w:tc>
        <w:tc>
          <w:tcPr>
            <w:tcW w:w="1843" w:type="dxa"/>
            <w:tcBorders>
              <w:bottom w:val="single" w:sz="4" w:space="0" w:color="auto"/>
            </w:tcBorders>
          </w:tcPr>
          <w:p w:rsidR="0058214D" w:rsidRDefault="0058214D" w:rsidP="008D240E">
            <w:pPr>
              <w:tabs>
                <w:tab w:val="left" w:pos="567"/>
              </w:tabs>
              <w:jc w:val="center"/>
              <w:rPr>
                <w:rFonts w:ascii="Arial Narrow" w:hAnsi="Arial Narrow"/>
                <w:b/>
                <w:sz w:val="16"/>
                <w:szCs w:val="16"/>
              </w:rPr>
            </w:pPr>
            <w:r w:rsidRPr="003E6D6E">
              <w:rPr>
                <w:rFonts w:ascii="Arial Narrow" w:hAnsi="Arial Narrow"/>
                <w:b/>
                <w:sz w:val="16"/>
                <w:szCs w:val="16"/>
              </w:rPr>
              <w:t>201</w:t>
            </w:r>
            <w:r w:rsidR="00134459">
              <w:rPr>
                <w:rFonts w:ascii="Arial Narrow" w:hAnsi="Arial Narrow"/>
                <w:b/>
                <w:sz w:val="16"/>
                <w:szCs w:val="16"/>
              </w:rPr>
              <w:t>7</w:t>
            </w:r>
          </w:p>
          <w:p w:rsidR="0058214D" w:rsidRPr="003E6D6E" w:rsidRDefault="0058214D" w:rsidP="008D240E">
            <w:pPr>
              <w:tabs>
                <w:tab w:val="left" w:pos="567"/>
              </w:tabs>
              <w:jc w:val="center"/>
              <w:rPr>
                <w:rFonts w:ascii="Arial Narrow" w:hAnsi="Arial Narrow"/>
                <w:b/>
                <w:sz w:val="16"/>
                <w:szCs w:val="16"/>
              </w:rPr>
            </w:pPr>
            <w:r>
              <w:rPr>
                <w:rFonts w:ascii="Arial Narrow" w:hAnsi="Arial Narrow"/>
                <w:b/>
                <w:sz w:val="16"/>
                <w:szCs w:val="16"/>
              </w:rPr>
              <w:t>Εκτιμήσεις</w:t>
            </w:r>
          </w:p>
        </w:tc>
        <w:tc>
          <w:tcPr>
            <w:tcW w:w="1701" w:type="dxa"/>
            <w:tcBorders>
              <w:bottom w:val="single" w:sz="4" w:space="0" w:color="auto"/>
            </w:tcBorders>
          </w:tcPr>
          <w:p w:rsidR="0058214D" w:rsidRDefault="0058214D" w:rsidP="008D240E">
            <w:pPr>
              <w:tabs>
                <w:tab w:val="left" w:pos="567"/>
              </w:tabs>
              <w:jc w:val="center"/>
              <w:rPr>
                <w:rFonts w:ascii="Arial Narrow" w:hAnsi="Arial Narrow"/>
                <w:b/>
                <w:sz w:val="16"/>
                <w:szCs w:val="16"/>
              </w:rPr>
            </w:pPr>
            <w:r w:rsidRPr="003E6D6E">
              <w:rPr>
                <w:rFonts w:ascii="Arial Narrow" w:hAnsi="Arial Narrow"/>
                <w:b/>
                <w:sz w:val="16"/>
                <w:szCs w:val="16"/>
              </w:rPr>
              <w:t>201</w:t>
            </w:r>
            <w:r w:rsidR="00134459">
              <w:rPr>
                <w:rFonts w:ascii="Arial Narrow" w:hAnsi="Arial Narrow"/>
                <w:b/>
                <w:sz w:val="16"/>
                <w:szCs w:val="16"/>
              </w:rPr>
              <w:t>8</w:t>
            </w:r>
          </w:p>
          <w:p w:rsidR="0058214D" w:rsidRPr="003E6D6E" w:rsidRDefault="0058214D" w:rsidP="008D240E">
            <w:pPr>
              <w:tabs>
                <w:tab w:val="left" w:pos="567"/>
              </w:tabs>
              <w:jc w:val="center"/>
              <w:rPr>
                <w:rFonts w:ascii="Arial Narrow" w:hAnsi="Arial Narrow"/>
                <w:b/>
                <w:sz w:val="16"/>
                <w:szCs w:val="16"/>
              </w:rPr>
            </w:pPr>
            <w:r>
              <w:rPr>
                <w:rFonts w:ascii="Arial Narrow" w:hAnsi="Arial Narrow"/>
                <w:b/>
                <w:sz w:val="16"/>
                <w:szCs w:val="16"/>
              </w:rPr>
              <w:t>Προβλέψεις</w:t>
            </w:r>
          </w:p>
        </w:tc>
      </w:tr>
      <w:tr w:rsidR="00134459" w:rsidRPr="003D7661" w:rsidTr="00FF6C69">
        <w:trPr>
          <w:trHeight w:val="20"/>
          <w:jc w:val="center"/>
        </w:trPr>
        <w:tc>
          <w:tcPr>
            <w:tcW w:w="3510" w:type="dxa"/>
            <w:tcBorders>
              <w:top w:val="nil"/>
              <w:bottom w:val="nil"/>
              <w:right w:val="nil"/>
            </w:tcBorders>
          </w:tcPr>
          <w:p w:rsidR="00134459" w:rsidRPr="003E6D6E" w:rsidRDefault="00134459" w:rsidP="008D240E">
            <w:pPr>
              <w:tabs>
                <w:tab w:val="left" w:pos="567"/>
                <w:tab w:val="num" w:pos="720"/>
              </w:tabs>
              <w:jc w:val="both"/>
              <w:rPr>
                <w:rFonts w:ascii="Arial Narrow" w:hAnsi="Arial Narrow"/>
                <w:sz w:val="16"/>
                <w:szCs w:val="16"/>
              </w:rPr>
            </w:pPr>
            <w:r>
              <w:rPr>
                <w:rFonts w:ascii="Arial Narrow" w:hAnsi="Arial Narrow"/>
                <w:sz w:val="16"/>
                <w:szCs w:val="16"/>
              </w:rPr>
              <w:t>Επιτροπή Ανταγωνισμού</w:t>
            </w:r>
          </w:p>
        </w:tc>
        <w:tc>
          <w:tcPr>
            <w:tcW w:w="1843" w:type="dxa"/>
            <w:tcBorders>
              <w:top w:val="nil"/>
              <w:left w:val="nil"/>
              <w:bottom w:val="nil"/>
              <w:right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0</w:t>
            </w:r>
          </w:p>
        </w:tc>
        <w:tc>
          <w:tcPr>
            <w:tcW w:w="1701" w:type="dxa"/>
            <w:tcBorders>
              <w:top w:val="nil"/>
              <w:left w:val="nil"/>
              <w:bottom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1</w:t>
            </w:r>
          </w:p>
        </w:tc>
      </w:tr>
      <w:tr w:rsidR="00134459" w:rsidRPr="00117933" w:rsidTr="00FF6C69">
        <w:trPr>
          <w:trHeight w:val="20"/>
          <w:jc w:val="center"/>
        </w:trPr>
        <w:tc>
          <w:tcPr>
            <w:tcW w:w="3510" w:type="dxa"/>
            <w:tcBorders>
              <w:top w:val="nil"/>
              <w:bottom w:val="nil"/>
              <w:right w:val="nil"/>
            </w:tcBorders>
          </w:tcPr>
          <w:p w:rsidR="00134459" w:rsidRPr="003E6D6E" w:rsidRDefault="00134459" w:rsidP="008D240E">
            <w:pPr>
              <w:tabs>
                <w:tab w:val="left" w:pos="567"/>
                <w:tab w:val="num" w:pos="720"/>
              </w:tabs>
              <w:jc w:val="both"/>
              <w:rPr>
                <w:rFonts w:ascii="Arial Narrow" w:hAnsi="Arial Narrow"/>
                <w:sz w:val="16"/>
                <w:szCs w:val="16"/>
              </w:rPr>
            </w:pPr>
            <w:r>
              <w:rPr>
                <w:rFonts w:ascii="Arial Narrow" w:hAnsi="Arial Narrow"/>
                <w:sz w:val="16"/>
                <w:szCs w:val="16"/>
              </w:rPr>
              <w:t>Εθνική Επιτροπή Τηλεπικοινωνιών και Ταχυδρομείων</w:t>
            </w:r>
          </w:p>
        </w:tc>
        <w:tc>
          <w:tcPr>
            <w:tcW w:w="1843" w:type="dxa"/>
            <w:tcBorders>
              <w:top w:val="nil"/>
              <w:left w:val="nil"/>
              <w:bottom w:val="nil"/>
              <w:right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-37</w:t>
            </w:r>
          </w:p>
        </w:tc>
        <w:tc>
          <w:tcPr>
            <w:tcW w:w="1701" w:type="dxa"/>
            <w:tcBorders>
              <w:top w:val="nil"/>
              <w:left w:val="nil"/>
              <w:bottom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2</w:t>
            </w:r>
          </w:p>
        </w:tc>
      </w:tr>
      <w:tr w:rsidR="00134459" w:rsidRPr="00117933" w:rsidTr="00FF6C69">
        <w:trPr>
          <w:trHeight w:val="20"/>
          <w:jc w:val="center"/>
        </w:trPr>
        <w:tc>
          <w:tcPr>
            <w:tcW w:w="3510" w:type="dxa"/>
            <w:tcBorders>
              <w:top w:val="nil"/>
              <w:bottom w:val="nil"/>
              <w:right w:val="nil"/>
            </w:tcBorders>
          </w:tcPr>
          <w:p w:rsidR="00134459" w:rsidRPr="003E6D6E" w:rsidRDefault="00134459" w:rsidP="008D240E">
            <w:pPr>
              <w:tabs>
                <w:tab w:val="left" w:pos="567"/>
                <w:tab w:val="num" w:pos="720"/>
              </w:tabs>
              <w:jc w:val="both"/>
              <w:rPr>
                <w:rFonts w:ascii="Arial Narrow" w:hAnsi="Arial Narrow"/>
                <w:sz w:val="16"/>
                <w:szCs w:val="16"/>
              </w:rPr>
            </w:pPr>
            <w:r>
              <w:rPr>
                <w:rFonts w:ascii="Arial Narrow" w:hAnsi="Arial Narrow"/>
                <w:sz w:val="16"/>
                <w:szCs w:val="16"/>
              </w:rPr>
              <w:t>Ρυθμιστική Αρχή Ενέργειας</w:t>
            </w:r>
          </w:p>
        </w:tc>
        <w:tc>
          <w:tcPr>
            <w:tcW w:w="1843" w:type="dxa"/>
            <w:tcBorders>
              <w:top w:val="nil"/>
              <w:left w:val="nil"/>
              <w:bottom w:val="nil"/>
              <w:right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2</w:t>
            </w:r>
          </w:p>
        </w:tc>
        <w:tc>
          <w:tcPr>
            <w:tcW w:w="1701" w:type="dxa"/>
            <w:tcBorders>
              <w:top w:val="nil"/>
              <w:left w:val="nil"/>
              <w:bottom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2</w:t>
            </w:r>
          </w:p>
        </w:tc>
      </w:tr>
      <w:tr w:rsidR="00134459" w:rsidRPr="00117933" w:rsidTr="00FF6C69">
        <w:trPr>
          <w:trHeight w:val="20"/>
          <w:jc w:val="center"/>
        </w:trPr>
        <w:tc>
          <w:tcPr>
            <w:tcW w:w="3510" w:type="dxa"/>
            <w:tcBorders>
              <w:top w:val="nil"/>
              <w:bottom w:val="nil"/>
              <w:right w:val="nil"/>
            </w:tcBorders>
          </w:tcPr>
          <w:p w:rsidR="00134459" w:rsidRPr="003E6D6E" w:rsidRDefault="00134459" w:rsidP="008D240E">
            <w:pPr>
              <w:tabs>
                <w:tab w:val="left" w:pos="567"/>
                <w:tab w:val="num" w:pos="720"/>
              </w:tabs>
              <w:jc w:val="both"/>
              <w:rPr>
                <w:rFonts w:ascii="Arial Narrow" w:hAnsi="Arial Narrow"/>
                <w:sz w:val="16"/>
                <w:szCs w:val="16"/>
              </w:rPr>
            </w:pPr>
            <w:r>
              <w:rPr>
                <w:rFonts w:ascii="Arial Narrow" w:hAnsi="Arial Narrow"/>
                <w:sz w:val="16"/>
                <w:szCs w:val="16"/>
              </w:rPr>
              <w:t>Εθνική Αναλογιστική Αρχή</w:t>
            </w:r>
          </w:p>
        </w:tc>
        <w:tc>
          <w:tcPr>
            <w:tcW w:w="1843" w:type="dxa"/>
            <w:tcBorders>
              <w:top w:val="nil"/>
              <w:left w:val="nil"/>
              <w:bottom w:val="nil"/>
              <w:right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1</w:t>
            </w:r>
          </w:p>
        </w:tc>
        <w:tc>
          <w:tcPr>
            <w:tcW w:w="1701" w:type="dxa"/>
            <w:tcBorders>
              <w:top w:val="nil"/>
              <w:left w:val="nil"/>
              <w:bottom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0</w:t>
            </w:r>
          </w:p>
        </w:tc>
      </w:tr>
      <w:tr w:rsidR="00134459" w:rsidRPr="00117933" w:rsidTr="00FF6C69">
        <w:trPr>
          <w:trHeight w:val="20"/>
          <w:jc w:val="center"/>
        </w:trPr>
        <w:tc>
          <w:tcPr>
            <w:tcW w:w="3510" w:type="dxa"/>
            <w:tcBorders>
              <w:top w:val="nil"/>
              <w:bottom w:val="nil"/>
              <w:right w:val="nil"/>
            </w:tcBorders>
          </w:tcPr>
          <w:p w:rsidR="00134459" w:rsidRPr="003E6D6E" w:rsidRDefault="00134459" w:rsidP="00134459">
            <w:pPr>
              <w:tabs>
                <w:tab w:val="left" w:pos="567"/>
                <w:tab w:val="num" w:pos="720"/>
                <w:tab w:val="right" w:pos="3294"/>
              </w:tabs>
              <w:jc w:val="both"/>
              <w:rPr>
                <w:rFonts w:ascii="Arial Narrow" w:hAnsi="Arial Narrow"/>
                <w:sz w:val="16"/>
                <w:szCs w:val="16"/>
              </w:rPr>
            </w:pPr>
            <w:r>
              <w:rPr>
                <w:rFonts w:ascii="Arial Narrow" w:hAnsi="Arial Narrow"/>
                <w:sz w:val="16"/>
                <w:szCs w:val="16"/>
              </w:rPr>
              <w:t>Επιτροπή Εποπτείας και Ελέγχου Παιγνίων</w:t>
            </w:r>
          </w:p>
        </w:tc>
        <w:tc>
          <w:tcPr>
            <w:tcW w:w="1843" w:type="dxa"/>
            <w:tcBorders>
              <w:top w:val="nil"/>
              <w:left w:val="nil"/>
              <w:bottom w:val="nil"/>
              <w:right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2</w:t>
            </w:r>
          </w:p>
        </w:tc>
        <w:tc>
          <w:tcPr>
            <w:tcW w:w="1701" w:type="dxa"/>
            <w:tcBorders>
              <w:top w:val="nil"/>
              <w:left w:val="nil"/>
              <w:bottom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5</w:t>
            </w:r>
          </w:p>
        </w:tc>
      </w:tr>
      <w:tr w:rsidR="00134459" w:rsidRPr="00117933" w:rsidTr="00FF6C69">
        <w:trPr>
          <w:trHeight w:val="20"/>
          <w:jc w:val="center"/>
        </w:trPr>
        <w:tc>
          <w:tcPr>
            <w:tcW w:w="3510" w:type="dxa"/>
            <w:tcBorders>
              <w:top w:val="nil"/>
              <w:bottom w:val="nil"/>
              <w:right w:val="nil"/>
            </w:tcBorders>
          </w:tcPr>
          <w:p w:rsidR="00134459" w:rsidRDefault="00134459" w:rsidP="001769DA">
            <w:pPr>
              <w:tabs>
                <w:tab w:val="left" w:pos="567"/>
                <w:tab w:val="num" w:pos="720"/>
                <w:tab w:val="right" w:pos="3294"/>
              </w:tabs>
              <w:jc w:val="both"/>
              <w:rPr>
                <w:rFonts w:ascii="Arial Narrow" w:hAnsi="Arial Narrow"/>
                <w:sz w:val="16"/>
                <w:szCs w:val="16"/>
              </w:rPr>
            </w:pPr>
            <w:r>
              <w:rPr>
                <w:rFonts w:ascii="Arial Narrow" w:hAnsi="Arial Narrow"/>
                <w:sz w:val="16"/>
                <w:szCs w:val="16"/>
              </w:rPr>
              <w:t>Ελληνικό Δημοσιονομικό Συμβούλιο</w:t>
            </w:r>
          </w:p>
        </w:tc>
        <w:tc>
          <w:tcPr>
            <w:tcW w:w="1843" w:type="dxa"/>
            <w:tcBorders>
              <w:top w:val="nil"/>
              <w:left w:val="nil"/>
              <w:bottom w:val="nil"/>
              <w:right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0</w:t>
            </w:r>
          </w:p>
        </w:tc>
        <w:tc>
          <w:tcPr>
            <w:tcW w:w="1701" w:type="dxa"/>
            <w:tcBorders>
              <w:top w:val="nil"/>
              <w:left w:val="nil"/>
              <w:bottom w:val="nil"/>
            </w:tcBorders>
            <w:vAlign w:val="bottom"/>
          </w:tcPr>
          <w:p w:rsidR="00134459" w:rsidRDefault="00385A0F" w:rsidP="00134459">
            <w:pPr>
              <w:tabs>
                <w:tab w:val="decimal" w:pos="903"/>
              </w:tabs>
              <w:jc w:val="both"/>
              <w:rPr>
                <w:rFonts w:ascii="Arial Narrow" w:hAnsi="Arial Narrow"/>
                <w:color w:val="000000"/>
                <w:sz w:val="16"/>
                <w:szCs w:val="16"/>
              </w:rPr>
            </w:pPr>
            <w:r>
              <w:rPr>
                <w:rFonts w:ascii="Arial Narrow" w:hAnsi="Arial Narrow"/>
                <w:color w:val="000000"/>
                <w:sz w:val="16"/>
                <w:szCs w:val="16"/>
              </w:rPr>
              <w:t>0</w:t>
            </w:r>
          </w:p>
        </w:tc>
      </w:tr>
      <w:tr w:rsidR="00134459" w:rsidRPr="00117933" w:rsidTr="00FF6C69">
        <w:trPr>
          <w:trHeight w:val="20"/>
          <w:jc w:val="center"/>
        </w:trPr>
        <w:tc>
          <w:tcPr>
            <w:tcW w:w="3510" w:type="dxa"/>
            <w:tcBorders>
              <w:top w:val="nil"/>
              <w:bottom w:val="nil"/>
              <w:right w:val="nil"/>
            </w:tcBorders>
          </w:tcPr>
          <w:p w:rsidR="00134459" w:rsidRDefault="00134459" w:rsidP="008D240E">
            <w:pPr>
              <w:tabs>
                <w:tab w:val="left" w:pos="567"/>
                <w:tab w:val="num" w:pos="720"/>
              </w:tabs>
              <w:jc w:val="both"/>
              <w:rPr>
                <w:rFonts w:ascii="Arial Narrow" w:hAnsi="Arial Narrow"/>
                <w:sz w:val="16"/>
                <w:szCs w:val="16"/>
              </w:rPr>
            </w:pPr>
            <w:r>
              <w:rPr>
                <w:rFonts w:ascii="Arial Narrow" w:hAnsi="Arial Narrow"/>
                <w:sz w:val="16"/>
                <w:szCs w:val="16"/>
              </w:rPr>
              <w:t>Ελληνική Στατιστική Αρχή</w:t>
            </w:r>
          </w:p>
        </w:tc>
        <w:tc>
          <w:tcPr>
            <w:tcW w:w="1843" w:type="dxa"/>
            <w:tcBorders>
              <w:top w:val="nil"/>
              <w:left w:val="nil"/>
              <w:bottom w:val="nil"/>
              <w:right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3</w:t>
            </w:r>
          </w:p>
        </w:tc>
        <w:tc>
          <w:tcPr>
            <w:tcW w:w="1701" w:type="dxa"/>
            <w:tcBorders>
              <w:top w:val="nil"/>
              <w:left w:val="nil"/>
              <w:bottom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 xml:space="preserve">2 </w:t>
            </w:r>
          </w:p>
        </w:tc>
      </w:tr>
      <w:tr w:rsidR="00134459" w:rsidRPr="00117933" w:rsidTr="00FF6C69">
        <w:trPr>
          <w:trHeight w:val="20"/>
          <w:jc w:val="center"/>
        </w:trPr>
        <w:tc>
          <w:tcPr>
            <w:tcW w:w="3510" w:type="dxa"/>
            <w:tcBorders>
              <w:top w:val="nil"/>
              <w:bottom w:val="nil"/>
              <w:right w:val="nil"/>
            </w:tcBorders>
          </w:tcPr>
          <w:p w:rsidR="00134459" w:rsidRDefault="00134459" w:rsidP="008D240E">
            <w:pPr>
              <w:tabs>
                <w:tab w:val="left" w:pos="567"/>
                <w:tab w:val="num" w:pos="720"/>
              </w:tabs>
              <w:jc w:val="both"/>
              <w:rPr>
                <w:rFonts w:ascii="Arial Narrow" w:hAnsi="Arial Narrow"/>
                <w:sz w:val="16"/>
                <w:szCs w:val="16"/>
              </w:rPr>
            </w:pPr>
            <w:r>
              <w:rPr>
                <w:rFonts w:ascii="Arial Narrow" w:hAnsi="Arial Narrow"/>
                <w:sz w:val="16"/>
                <w:szCs w:val="16"/>
              </w:rPr>
              <w:t>Ενιαία Ανεξάρτητη Αρχή Δημοσίων Συμβάσεων</w:t>
            </w:r>
          </w:p>
        </w:tc>
        <w:tc>
          <w:tcPr>
            <w:tcW w:w="1843" w:type="dxa"/>
            <w:tcBorders>
              <w:top w:val="nil"/>
              <w:left w:val="nil"/>
              <w:bottom w:val="nil"/>
              <w:right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0</w:t>
            </w:r>
          </w:p>
        </w:tc>
        <w:tc>
          <w:tcPr>
            <w:tcW w:w="1701" w:type="dxa"/>
            <w:tcBorders>
              <w:top w:val="nil"/>
              <w:left w:val="nil"/>
              <w:bottom w:val="nil"/>
            </w:tcBorders>
            <w:vAlign w:val="bottom"/>
          </w:tcPr>
          <w:p w:rsidR="00134459" w:rsidRDefault="00134459" w:rsidP="00134459">
            <w:pPr>
              <w:tabs>
                <w:tab w:val="decimal" w:pos="903"/>
              </w:tabs>
              <w:jc w:val="both"/>
              <w:rPr>
                <w:rFonts w:ascii="Arial Narrow" w:hAnsi="Arial Narrow"/>
                <w:color w:val="000000"/>
                <w:sz w:val="16"/>
                <w:szCs w:val="16"/>
              </w:rPr>
            </w:pPr>
            <w:r>
              <w:rPr>
                <w:rFonts w:ascii="Arial Narrow" w:hAnsi="Arial Narrow"/>
                <w:color w:val="000000"/>
                <w:sz w:val="16"/>
                <w:szCs w:val="16"/>
              </w:rPr>
              <w:t xml:space="preserve">-1 </w:t>
            </w:r>
          </w:p>
        </w:tc>
      </w:tr>
      <w:tr w:rsidR="00134459" w:rsidRPr="00134459" w:rsidTr="00FF6C69">
        <w:trPr>
          <w:trHeight w:val="20"/>
          <w:jc w:val="center"/>
        </w:trPr>
        <w:tc>
          <w:tcPr>
            <w:tcW w:w="3510" w:type="dxa"/>
            <w:tcBorders>
              <w:top w:val="nil"/>
              <w:bottom w:val="single" w:sz="4" w:space="0" w:color="auto"/>
              <w:right w:val="nil"/>
            </w:tcBorders>
            <w:shd w:val="clear" w:color="auto" w:fill="A6A6A6" w:themeFill="background1" w:themeFillShade="A6"/>
          </w:tcPr>
          <w:p w:rsidR="00134459" w:rsidRPr="00134459" w:rsidRDefault="00134459" w:rsidP="00134459">
            <w:pPr>
              <w:tabs>
                <w:tab w:val="left" w:pos="567"/>
                <w:tab w:val="num" w:pos="720"/>
              </w:tabs>
              <w:spacing w:before="120" w:after="120"/>
              <w:jc w:val="both"/>
              <w:rPr>
                <w:rFonts w:ascii="Arial Narrow" w:hAnsi="Arial Narrow"/>
                <w:b/>
                <w:sz w:val="16"/>
                <w:szCs w:val="16"/>
              </w:rPr>
            </w:pPr>
            <w:r w:rsidRPr="00134459">
              <w:rPr>
                <w:rFonts w:ascii="Arial Narrow" w:hAnsi="Arial Narrow"/>
                <w:b/>
                <w:sz w:val="16"/>
                <w:szCs w:val="16"/>
              </w:rPr>
              <w:t>Ισοζύγιο</w:t>
            </w:r>
          </w:p>
        </w:tc>
        <w:tc>
          <w:tcPr>
            <w:tcW w:w="1843" w:type="dxa"/>
            <w:tcBorders>
              <w:top w:val="nil"/>
              <w:left w:val="nil"/>
              <w:bottom w:val="single" w:sz="4" w:space="0" w:color="auto"/>
              <w:right w:val="nil"/>
            </w:tcBorders>
            <w:shd w:val="clear" w:color="auto" w:fill="A6A6A6" w:themeFill="background1" w:themeFillShade="A6"/>
            <w:vAlign w:val="bottom"/>
          </w:tcPr>
          <w:p w:rsidR="00134459" w:rsidRPr="00134459" w:rsidRDefault="00134459" w:rsidP="00134459">
            <w:pPr>
              <w:tabs>
                <w:tab w:val="decimal" w:pos="903"/>
              </w:tabs>
              <w:spacing w:before="120" w:after="120"/>
              <w:jc w:val="both"/>
              <w:rPr>
                <w:rFonts w:ascii="Arial Narrow" w:hAnsi="Arial Narrow"/>
                <w:b/>
                <w:color w:val="000000"/>
                <w:sz w:val="16"/>
                <w:szCs w:val="16"/>
              </w:rPr>
            </w:pPr>
            <w:r w:rsidRPr="00134459">
              <w:rPr>
                <w:rFonts w:ascii="Arial Narrow" w:hAnsi="Arial Narrow"/>
                <w:b/>
                <w:color w:val="000000"/>
                <w:sz w:val="16"/>
                <w:szCs w:val="16"/>
              </w:rPr>
              <w:t>-29</w:t>
            </w:r>
          </w:p>
        </w:tc>
        <w:tc>
          <w:tcPr>
            <w:tcW w:w="1701" w:type="dxa"/>
            <w:tcBorders>
              <w:top w:val="nil"/>
              <w:left w:val="nil"/>
              <w:bottom w:val="single" w:sz="4" w:space="0" w:color="auto"/>
            </w:tcBorders>
            <w:shd w:val="clear" w:color="auto" w:fill="A6A6A6" w:themeFill="background1" w:themeFillShade="A6"/>
            <w:vAlign w:val="bottom"/>
          </w:tcPr>
          <w:p w:rsidR="00134459" w:rsidRPr="00134459" w:rsidRDefault="00134459" w:rsidP="00134459">
            <w:pPr>
              <w:tabs>
                <w:tab w:val="decimal" w:pos="903"/>
              </w:tabs>
              <w:spacing w:before="120" w:after="120"/>
              <w:jc w:val="both"/>
              <w:rPr>
                <w:rFonts w:ascii="Arial Narrow" w:hAnsi="Arial Narrow"/>
                <w:b/>
                <w:color w:val="000000"/>
                <w:sz w:val="16"/>
                <w:szCs w:val="16"/>
              </w:rPr>
            </w:pPr>
            <w:r w:rsidRPr="00134459">
              <w:rPr>
                <w:rFonts w:ascii="Arial Narrow" w:hAnsi="Arial Narrow"/>
                <w:b/>
                <w:color w:val="000000"/>
                <w:sz w:val="16"/>
                <w:szCs w:val="16"/>
              </w:rPr>
              <w:t>11</w:t>
            </w:r>
          </w:p>
        </w:tc>
      </w:tr>
    </w:tbl>
    <w:p w:rsidR="0058214D" w:rsidRDefault="0058214D" w:rsidP="00F003E3">
      <w:pPr>
        <w:jc w:val="both"/>
        <w:rPr>
          <w:rFonts w:ascii="Arial Narrow" w:hAnsi="Arial Narrow"/>
          <w:b/>
          <w:color w:val="000080"/>
          <w:sz w:val="22"/>
        </w:rPr>
      </w:pPr>
    </w:p>
    <w:p w:rsidR="00866FFC" w:rsidRDefault="00866FFC" w:rsidP="00866FFC">
      <w:pPr>
        <w:jc w:val="both"/>
        <w:rPr>
          <w:b/>
          <w:sz w:val="22"/>
          <w:szCs w:val="22"/>
        </w:rPr>
      </w:pPr>
    </w:p>
    <w:p w:rsidR="00AD6EA8" w:rsidRDefault="00AD6EA8" w:rsidP="00866FFC">
      <w:pPr>
        <w:jc w:val="both"/>
        <w:rPr>
          <w:b/>
          <w:sz w:val="22"/>
          <w:szCs w:val="22"/>
        </w:rPr>
      </w:pPr>
    </w:p>
    <w:p w:rsidR="008A1C7A" w:rsidRDefault="008A1C7A" w:rsidP="00866FFC">
      <w:pPr>
        <w:jc w:val="both"/>
        <w:rPr>
          <w:b/>
          <w:sz w:val="22"/>
          <w:szCs w:val="22"/>
        </w:rPr>
      </w:pPr>
    </w:p>
    <w:p w:rsidR="008A1C7A" w:rsidRDefault="008A1C7A" w:rsidP="00866FFC">
      <w:pPr>
        <w:jc w:val="both"/>
        <w:rPr>
          <w:b/>
          <w:sz w:val="22"/>
          <w:szCs w:val="22"/>
        </w:rPr>
      </w:pPr>
    </w:p>
    <w:p w:rsidR="008A1C7A" w:rsidRPr="00CB5FB1" w:rsidRDefault="008A1C7A" w:rsidP="00866FFC">
      <w:pPr>
        <w:jc w:val="both"/>
        <w:rPr>
          <w:b/>
          <w:sz w:val="22"/>
          <w:szCs w:val="22"/>
        </w:rPr>
      </w:pPr>
    </w:p>
    <w:p w:rsidR="00866FFC" w:rsidRPr="00CB5FB1" w:rsidRDefault="00866FFC" w:rsidP="00866FFC">
      <w:pPr>
        <w:contextualSpacing/>
        <w:jc w:val="both"/>
        <w:rPr>
          <w:rFonts w:ascii="Arial Narrow" w:hAnsi="Arial Narrow"/>
          <w:b/>
          <w:i/>
          <w:sz w:val="22"/>
          <w:szCs w:val="22"/>
        </w:rPr>
      </w:pPr>
      <w:r w:rsidRPr="00CB5FB1">
        <w:rPr>
          <w:rFonts w:ascii="Arial Narrow" w:hAnsi="Arial Narrow"/>
          <w:b/>
          <w:i/>
          <w:sz w:val="22"/>
          <w:szCs w:val="22"/>
        </w:rPr>
        <w:lastRenderedPageBreak/>
        <w:t>Ενιαία Ανεξάρτητη Αρχή Δημοσίων Συμβάσεων (ΕΑΑΔΗΣΥ)</w:t>
      </w:r>
    </w:p>
    <w:p w:rsidR="00866FFC" w:rsidRDefault="00866FFC" w:rsidP="00866FFC">
      <w:pPr>
        <w:jc w:val="both"/>
        <w:rPr>
          <w:sz w:val="22"/>
          <w:szCs w:val="22"/>
        </w:rPr>
      </w:pPr>
    </w:p>
    <w:p w:rsidR="00866FFC" w:rsidRPr="00CB5FB1" w:rsidRDefault="00866FFC" w:rsidP="00866FFC">
      <w:pPr>
        <w:jc w:val="both"/>
        <w:rPr>
          <w:sz w:val="22"/>
          <w:szCs w:val="22"/>
        </w:rPr>
      </w:pPr>
      <w:r w:rsidRPr="00CB5FB1">
        <w:rPr>
          <w:sz w:val="22"/>
          <w:szCs w:val="22"/>
        </w:rPr>
        <w:t>Η Ενιαία Ανεξάρτητη Αρχή Δημοσίων Συμβάσεων έχει ως βασικό σκοπό τη διασφάλιση της διαφ</w:t>
      </w:r>
      <w:r w:rsidRPr="00CB5FB1">
        <w:rPr>
          <w:sz w:val="22"/>
          <w:szCs w:val="22"/>
        </w:rPr>
        <w:t>ά</w:t>
      </w:r>
      <w:r w:rsidRPr="00CB5FB1">
        <w:rPr>
          <w:sz w:val="22"/>
          <w:szCs w:val="22"/>
        </w:rPr>
        <w:t xml:space="preserve">νειας, της αποτελεσματικότητας, της συνοχής και </w:t>
      </w:r>
      <w:r w:rsidR="00AD6EA8">
        <w:rPr>
          <w:sz w:val="22"/>
          <w:szCs w:val="22"/>
        </w:rPr>
        <w:t xml:space="preserve">της </w:t>
      </w:r>
      <w:r w:rsidRPr="00CB5FB1">
        <w:rPr>
          <w:sz w:val="22"/>
          <w:szCs w:val="22"/>
        </w:rPr>
        <w:t xml:space="preserve">εναρμόνισης των διαδικασιών ανάθεσης και </w:t>
      </w:r>
      <w:r w:rsidRPr="00CB5FB1">
        <w:rPr>
          <w:sz w:val="22"/>
          <w:szCs w:val="22"/>
        </w:rPr>
        <w:t>ε</w:t>
      </w:r>
      <w:r w:rsidRPr="00CB5FB1">
        <w:rPr>
          <w:sz w:val="22"/>
          <w:szCs w:val="22"/>
        </w:rPr>
        <w:t>κτέλεσης των δημοσίων συμβάσεων με το εθνικό και ευρωπαϊκό δίκαιο, τη διαρκή βελτίωση του ν</w:t>
      </w:r>
      <w:r w:rsidRPr="00CB5FB1">
        <w:rPr>
          <w:sz w:val="22"/>
          <w:szCs w:val="22"/>
        </w:rPr>
        <w:t>ο</w:t>
      </w:r>
      <w:r w:rsidRPr="00CB5FB1">
        <w:rPr>
          <w:sz w:val="22"/>
          <w:szCs w:val="22"/>
        </w:rPr>
        <w:t xml:space="preserve">μικού πλαισίου των δημοσίων συμβάσεων, καθώς και τον έλεγχο της τήρησής του από το Δημόσιο και τις αναθέτουσες αρχές. </w:t>
      </w:r>
    </w:p>
    <w:p w:rsidR="00866FFC" w:rsidRDefault="00866FFC" w:rsidP="00866FFC">
      <w:pPr>
        <w:jc w:val="both"/>
        <w:rPr>
          <w:sz w:val="22"/>
          <w:szCs w:val="22"/>
        </w:rPr>
      </w:pPr>
    </w:p>
    <w:p w:rsidR="00866FFC" w:rsidRPr="00CB5FB1" w:rsidRDefault="00866FFC" w:rsidP="00866FFC">
      <w:pPr>
        <w:jc w:val="both"/>
        <w:rPr>
          <w:sz w:val="22"/>
          <w:szCs w:val="22"/>
        </w:rPr>
      </w:pPr>
      <w:r w:rsidRPr="00CB5FB1">
        <w:rPr>
          <w:sz w:val="22"/>
          <w:szCs w:val="22"/>
        </w:rPr>
        <w:t>Το αποτέλεσμα της Αρχής για το 2018 θα διαμορφωθεί σε έλλειμμα 0,8 εκατ. ευρώ, λόγω της πρ</w:t>
      </w:r>
      <w:r w:rsidRPr="00CB5FB1">
        <w:rPr>
          <w:sz w:val="22"/>
          <w:szCs w:val="22"/>
        </w:rPr>
        <w:t>ο</w:t>
      </w:r>
      <w:r w:rsidRPr="00CB5FB1">
        <w:rPr>
          <w:sz w:val="22"/>
          <w:szCs w:val="22"/>
        </w:rPr>
        <w:t xml:space="preserve">βλεπόμενης απόδοσης </w:t>
      </w:r>
      <w:r w:rsidR="00E715E2">
        <w:rPr>
          <w:sz w:val="22"/>
          <w:szCs w:val="22"/>
        </w:rPr>
        <w:t xml:space="preserve">στο Ελληνικό Δημόσιο </w:t>
      </w:r>
      <w:r w:rsidR="00AD6EA8">
        <w:rPr>
          <w:sz w:val="22"/>
          <w:szCs w:val="22"/>
        </w:rPr>
        <w:t xml:space="preserve">ισόποσου </w:t>
      </w:r>
      <w:r w:rsidR="00E715E2">
        <w:rPr>
          <w:sz w:val="22"/>
          <w:szCs w:val="22"/>
        </w:rPr>
        <w:t>μερίσματος</w:t>
      </w:r>
      <w:r w:rsidRPr="00CB5FB1">
        <w:rPr>
          <w:sz w:val="22"/>
          <w:szCs w:val="22"/>
        </w:rPr>
        <w:t>.</w:t>
      </w:r>
    </w:p>
    <w:p w:rsidR="00866FFC" w:rsidRDefault="00866FFC" w:rsidP="00866FFC">
      <w:pPr>
        <w:jc w:val="both"/>
        <w:rPr>
          <w:b/>
          <w:sz w:val="22"/>
          <w:szCs w:val="22"/>
        </w:rPr>
      </w:pPr>
    </w:p>
    <w:p w:rsidR="004B3043" w:rsidRPr="004B3043" w:rsidRDefault="004B3043" w:rsidP="004B3043">
      <w:pPr>
        <w:keepNext/>
        <w:jc w:val="both"/>
        <w:outlineLvl w:val="4"/>
        <w:rPr>
          <w:rFonts w:ascii="Arial Narrow" w:hAnsi="Arial Narrow"/>
          <w:b/>
          <w:bCs/>
          <w:color w:val="000080"/>
          <w:szCs w:val="22"/>
        </w:rPr>
      </w:pPr>
      <w:r w:rsidRPr="004B3043">
        <w:rPr>
          <w:rFonts w:ascii="Arial Narrow" w:hAnsi="Arial Narrow"/>
          <w:b/>
          <w:bCs/>
          <w:color w:val="000080"/>
          <w:szCs w:val="22"/>
        </w:rPr>
        <w:t>Ασφαλιστικό Κεφάλαιο Αλληλεγγύης Γενεών (ΑΚΑΓΕ)</w:t>
      </w:r>
    </w:p>
    <w:p w:rsidR="00D57B73" w:rsidRDefault="00D57B73" w:rsidP="00D57B73">
      <w:pPr>
        <w:jc w:val="both"/>
        <w:rPr>
          <w:sz w:val="22"/>
          <w:szCs w:val="22"/>
        </w:rPr>
      </w:pPr>
    </w:p>
    <w:p w:rsidR="00D57B73" w:rsidRPr="00404D75" w:rsidRDefault="00D57B73" w:rsidP="00D57B73">
      <w:pPr>
        <w:jc w:val="both"/>
        <w:rPr>
          <w:sz w:val="22"/>
          <w:szCs w:val="22"/>
        </w:rPr>
      </w:pPr>
      <w:r w:rsidRPr="00404D75">
        <w:rPr>
          <w:sz w:val="22"/>
          <w:szCs w:val="22"/>
        </w:rPr>
        <w:t>Το ΑΚΑΓΕ συστάθηκε με το άρθρο 149 του ν. 3655/2008 με βασικό σκοπό τη δημιουργία αποθεμ</w:t>
      </w:r>
      <w:r w:rsidRPr="00404D75">
        <w:rPr>
          <w:sz w:val="22"/>
          <w:szCs w:val="22"/>
        </w:rPr>
        <w:t>α</w:t>
      </w:r>
      <w:r w:rsidRPr="00404D75">
        <w:rPr>
          <w:sz w:val="22"/>
          <w:szCs w:val="22"/>
        </w:rPr>
        <w:t>τικών στο πλαίσιο της διασφάλισης των συντάξεων των νέων γενεών.</w:t>
      </w:r>
    </w:p>
    <w:p w:rsidR="00D57B73" w:rsidRDefault="00D57B73" w:rsidP="00D57B73">
      <w:pPr>
        <w:jc w:val="both"/>
        <w:rPr>
          <w:sz w:val="22"/>
          <w:szCs w:val="22"/>
        </w:rPr>
      </w:pPr>
    </w:p>
    <w:p w:rsidR="00D57B73" w:rsidRPr="00404D75" w:rsidRDefault="00D57B73" w:rsidP="00D57B73">
      <w:pPr>
        <w:jc w:val="both"/>
        <w:rPr>
          <w:sz w:val="20"/>
          <w:szCs w:val="20"/>
        </w:rPr>
      </w:pPr>
      <w:r w:rsidRPr="00404D75">
        <w:rPr>
          <w:sz w:val="22"/>
          <w:szCs w:val="22"/>
        </w:rPr>
        <w:t>Οι βασικές πηγές εσόδων του ΑΚΑΓΕ είναι η ετήσια επιχορήγηση από τον Κρατικό Προϋπολογισμό</w:t>
      </w:r>
      <w:r w:rsidR="008967F1">
        <w:rPr>
          <w:sz w:val="22"/>
          <w:szCs w:val="22"/>
        </w:rPr>
        <w:t xml:space="preserve"> </w:t>
      </w:r>
      <w:r w:rsidRPr="00404D75">
        <w:rPr>
          <w:sz w:val="22"/>
          <w:szCs w:val="22"/>
        </w:rPr>
        <w:t>καθώς και τα έσοδα από την Εισφορά Αλληλεγγύης Συνταξιούχων (ΕΑΣ) τα οποία τηρούνται σε λ</w:t>
      </w:r>
      <w:r w:rsidRPr="00404D75">
        <w:rPr>
          <w:sz w:val="22"/>
          <w:szCs w:val="22"/>
        </w:rPr>
        <w:t>ο</w:t>
      </w:r>
      <w:r w:rsidRPr="00404D75">
        <w:rPr>
          <w:sz w:val="22"/>
          <w:szCs w:val="22"/>
        </w:rPr>
        <w:t>γαριασμό με οικονομική και λογιστική αυτοτέλεια.</w:t>
      </w:r>
    </w:p>
    <w:p w:rsidR="00D57B73" w:rsidRDefault="00D57B73" w:rsidP="00D57B73">
      <w:pPr>
        <w:jc w:val="both"/>
        <w:rPr>
          <w:sz w:val="22"/>
          <w:szCs w:val="22"/>
        </w:rPr>
      </w:pPr>
    </w:p>
    <w:p w:rsidR="00D57B73" w:rsidRDefault="00D57B73" w:rsidP="00D57B73">
      <w:pPr>
        <w:jc w:val="both"/>
        <w:rPr>
          <w:sz w:val="22"/>
          <w:szCs w:val="22"/>
        </w:rPr>
      </w:pPr>
      <w:r>
        <w:rPr>
          <w:sz w:val="22"/>
          <w:szCs w:val="22"/>
        </w:rPr>
        <w:t>Τ</w:t>
      </w:r>
      <w:r w:rsidRPr="00404D75">
        <w:rPr>
          <w:sz w:val="22"/>
          <w:szCs w:val="22"/>
        </w:rPr>
        <w:t xml:space="preserve">ο αποτέλεσμα του ΑΚΑΓΕ για το έτος </w:t>
      </w:r>
      <w:r w:rsidR="00E715E2">
        <w:rPr>
          <w:sz w:val="22"/>
          <w:szCs w:val="22"/>
        </w:rPr>
        <w:t>2017 εκτιμάται</w:t>
      </w:r>
      <w:r w:rsidR="00934943">
        <w:rPr>
          <w:sz w:val="22"/>
          <w:szCs w:val="22"/>
        </w:rPr>
        <w:t xml:space="preserve"> ότι θ</w:t>
      </w:r>
      <w:r w:rsidRPr="00404D75">
        <w:rPr>
          <w:sz w:val="22"/>
          <w:szCs w:val="22"/>
        </w:rPr>
        <w:t xml:space="preserve">α διαμορφωθεί σε πλεόνασμα 946 εκατ. ευρώ, ενώ για το 2018 </w:t>
      </w:r>
      <w:r w:rsidR="00E715E2">
        <w:rPr>
          <w:sz w:val="22"/>
          <w:szCs w:val="22"/>
        </w:rPr>
        <w:t xml:space="preserve">προβλέπεται </w:t>
      </w:r>
      <w:r w:rsidRPr="00404D75">
        <w:rPr>
          <w:sz w:val="22"/>
          <w:szCs w:val="22"/>
        </w:rPr>
        <w:t>σε 920 εκατ. ευρώ</w:t>
      </w:r>
      <w:r w:rsidR="00E715E2">
        <w:rPr>
          <w:sz w:val="22"/>
          <w:szCs w:val="22"/>
        </w:rPr>
        <w:t>, λόγω τ</w:t>
      </w:r>
      <w:r w:rsidR="00A67B2D">
        <w:rPr>
          <w:sz w:val="22"/>
          <w:szCs w:val="22"/>
        </w:rPr>
        <w:t>ων μειωμένων εσόδων από την</w:t>
      </w:r>
      <w:r w:rsidR="00E715E2">
        <w:rPr>
          <w:sz w:val="22"/>
          <w:szCs w:val="22"/>
        </w:rPr>
        <w:t xml:space="preserve"> εισφορά αλληλεγγύης </w:t>
      </w:r>
      <w:r w:rsidR="005E57E6">
        <w:rPr>
          <w:sz w:val="22"/>
          <w:szCs w:val="22"/>
        </w:rPr>
        <w:t xml:space="preserve">επί </w:t>
      </w:r>
      <w:r w:rsidR="00E715E2">
        <w:rPr>
          <w:sz w:val="22"/>
          <w:szCs w:val="22"/>
        </w:rPr>
        <w:t>των κύριων συντάξεων.</w:t>
      </w:r>
    </w:p>
    <w:p w:rsidR="00D57B73" w:rsidRPr="00404D75" w:rsidRDefault="00D57B73" w:rsidP="00D57B73">
      <w:pPr>
        <w:jc w:val="both"/>
        <w:rPr>
          <w:sz w:val="22"/>
          <w:szCs w:val="22"/>
        </w:rPr>
      </w:pPr>
    </w:p>
    <w:p w:rsidR="00D57B73" w:rsidRDefault="00D57B73" w:rsidP="00D57B73">
      <w:pPr>
        <w:jc w:val="both"/>
        <w:rPr>
          <w:sz w:val="22"/>
          <w:szCs w:val="22"/>
        </w:rPr>
      </w:pPr>
    </w:p>
    <w:p w:rsidR="00E715E2" w:rsidRDefault="00E715E2" w:rsidP="00D57B73">
      <w:pPr>
        <w:jc w:val="both"/>
        <w:rPr>
          <w:sz w:val="22"/>
          <w:szCs w:val="22"/>
        </w:rPr>
      </w:pP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1188"/>
        <w:gridCol w:w="1059"/>
      </w:tblGrid>
      <w:tr w:rsidR="00D91B78" w:rsidRPr="00DD28CB" w:rsidTr="00FF6C69">
        <w:trPr>
          <w:trHeight w:val="20"/>
          <w:jc w:val="center"/>
        </w:trPr>
        <w:tc>
          <w:tcPr>
            <w:tcW w:w="7195" w:type="dxa"/>
            <w:gridSpan w:val="3"/>
            <w:tcBorders>
              <w:top w:val="single" w:sz="4" w:space="0" w:color="auto"/>
              <w:left w:val="single" w:sz="4" w:space="0" w:color="auto"/>
              <w:bottom w:val="nil"/>
              <w:right w:val="single" w:sz="4" w:space="0" w:color="auto"/>
            </w:tcBorders>
            <w:shd w:val="clear" w:color="auto" w:fill="404040"/>
            <w:noWrap/>
            <w:tcMar>
              <w:left w:w="28" w:type="dxa"/>
              <w:right w:w="28" w:type="dxa"/>
            </w:tcMar>
            <w:hideMark/>
          </w:tcPr>
          <w:p w:rsidR="00D91B78" w:rsidRPr="00DD28CB" w:rsidRDefault="00F8198D" w:rsidP="00FF6C69">
            <w:pPr>
              <w:spacing w:before="120"/>
              <w:jc w:val="center"/>
              <w:rPr>
                <w:rFonts w:ascii="Arial Narrow" w:hAnsi="Arial Narrow"/>
                <w:b/>
                <w:color w:val="FFFFFF"/>
                <w:szCs w:val="16"/>
              </w:rPr>
            </w:pPr>
            <w:r>
              <w:rPr>
                <w:rFonts w:ascii="Arial Narrow" w:hAnsi="Arial Narrow"/>
                <w:b/>
                <w:color w:val="FFFFFF"/>
                <w:szCs w:val="16"/>
              </w:rPr>
              <w:t>Πίνακας 3.20</w:t>
            </w:r>
            <w:r w:rsidR="00D91B78" w:rsidRPr="00DD28CB">
              <w:rPr>
                <w:rFonts w:ascii="Arial Narrow" w:hAnsi="Arial Narrow"/>
                <w:b/>
                <w:color w:val="FFFFFF"/>
                <w:szCs w:val="16"/>
              </w:rPr>
              <w:t xml:space="preserve">  Προϋπολογισμός ΑΚΑΓΕ</w:t>
            </w:r>
          </w:p>
          <w:p w:rsidR="00D91B78" w:rsidRPr="00DD28CB" w:rsidRDefault="00D91B78" w:rsidP="00FF6C69">
            <w:pPr>
              <w:spacing w:after="120"/>
              <w:jc w:val="center"/>
              <w:rPr>
                <w:rFonts w:ascii="Arial Narrow" w:hAnsi="Arial Narrow"/>
                <w:b/>
                <w:color w:val="FFFFFF"/>
                <w:szCs w:val="16"/>
              </w:rPr>
            </w:pPr>
            <w:r w:rsidRPr="00DD28CB">
              <w:rPr>
                <w:rFonts w:ascii="Arial Narrow" w:hAnsi="Arial Narrow"/>
                <w:b/>
                <w:color w:val="FFFFFF"/>
                <w:szCs w:val="16"/>
              </w:rPr>
              <w:t>(σε εκατ. ευρώ)</w:t>
            </w:r>
          </w:p>
        </w:tc>
      </w:tr>
      <w:tr w:rsidR="00D91B78" w:rsidRPr="00DD28CB" w:rsidTr="00FF6C69">
        <w:trPr>
          <w:trHeight w:val="20"/>
          <w:jc w:val="center"/>
        </w:trPr>
        <w:tc>
          <w:tcPr>
            <w:tcW w:w="7195" w:type="dxa"/>
            <w:gridSpan w:val="3"/>
            <w:tcBorders>
              <w:top w:val="nil"/>
              <w:left w:val="single" w:sz="4" w:space="0" w:color="auto"/>
              <w:bottom w:val="nil"/>
              <w:right w:val="single" w:sz="4" w:space="0" w:color="auto"/>
            </w:tcBorders>
            <w:noWrap/>
            <w:tcMar>
              <w:left w:w="28" w:type="dxa"/>
              <w:right w:w="28" w:type="dxa"/>
            </w:tcMar>
          </w:tcPr>
          <w:p w:rsidR="00D91B78" w:rsidRPr="00DD28CB" w:rsidRDefault="00D91B78" w:rsidP="00FF6C69">
            <w:pPr>
              <w:ind w:right="907"/>
              <w:jc w:val="right"/>
              <w:rPr>
                <w:rFonts w:ascii="Arial Narrow" w:hAnsi="Arial Narrow"/>
                <w:sz w:val="16"/>
                <w:szCs w:val="16"/>
              </w:rPr>
            </w:pPr>
          </w:p>
        </w:tc>
      </w:tr>
      <w:tr w:rsidR="00D91B78" w:rsidRPr="00DD28CB" w:rsidTr="00FF6C69">
        <w:trPr>
          <w:trHeight w:val="20"/>
          <w:jc w:val="center"/>
        </w:trPr>
        <w:tc>
          <w:tcPr>
            <w:tcW w:w="4948" w:type="dxa"/>
            <w:tcBorders>
              <w:top w:val="single" w:sz="4" w:space="0" w:color="auto"/>
              <w:left w:val="single" w:sz="4" w:space="0" w:color="auto"/>
              <w:bottom w:val="single" w:sz="4" w:space="0" w:color="auto"/>
              <w:right w:val="single" w:sz="4" w:space="0" w:color="auto"/>
            </w:tcBorders>
            <w:noWrap/>
            <w:tcMar>
              <w:left w:w="28" w:type="dxa"/>
              <w:right w:w="28" w:type="dxa"/>
            </w:tcMar>
          </w:tcPr>
          <w:p w:rsidR="00D91B78" w:rsidRPr="00DD28CB" w:rsidRDefault="00D91B78" w:rsidP="00FF6C69">
            <w:pPr>
              <w:spacing w:before="60" w:after="60" w:line="360" w:lineRule="auto"/>
              <w:jc w:val="both"/>
              <w:rPr>
                <w:rFonts w:ascii="Arial Narrow" w:hAnsi="Arial Narrow"/>
                <w:b/>
                <w:bCs/>
                <w:sz w:val="16"/>
                <w:szCs w:val="16"/>
              </w:rPr>
            </w:pPr>
          </w:p>
        </w:tc>
        <w:tc>
          <w:tcPr>
            <w:tcW w:w="1188"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D91B78" w:rsidRPr="00DD28CB" w:rsidRDefault="00D91B78" w:rsidP="00FF6C69">
            <w:pPr>
              <w:jc w:val="center"/>
              <w:rPr>
                <w:rFonts w:ascii="Arial Narrow" w:hAnsi="Arial Narrow"/>
                <w:b/>
                <w:bCs/>
                <w:sz w:val="16"/>
                <w:szCs w:val="16"/>
              </w:rPr>
            </w:pPr>
            <w:r>
              <w:rPr>
                <w:rFonts w:ascii="Arial Narrow" w:hAnsi="Arial Narrow"/>
                <w:b/>
                <w:bCs/>
                <w:sz w:val="16"/>
                <w:szCs w:val="16"/>
              </w:rPr>
              <w:t>2017</w:t>
            </w:r>
          </w:p>
          <w:p w:rsidR="00D91B78" w:rsidRPr="00DD28CB" w:rsidRDefault="00D91B78" w:rsidP="00FF6C69">
            <w:pPr>
              <w:jc w:val="center"/>
              <w:rPr>
                <w:rFonts w:ascii="Arial Narrow" w:hAnsi="Arial Narrow"/>
                <w:b/>
                <w:bCs/>
                <w:sz w:val="16"/>
                <w:szCs w:val="16"/>
              </w:rPr>
            </w:pPr>
            <w:r w:rsidRPr="00DD28CB">
              <w:rPr>
                <w:rFonts w:ascii="Arial Narrow" w:hAnsi="Arial Narrow"/>
                <w:b/>
                <w:bCs/>
                <w:sz w:val="16"/>
                <w:szCs w:val="16"/>
              </w:rPr>
              <w:t>Εκτιμήσεις</w:t>
            </w:r>
          </w:p>
        </w:tc>
        <w:tc>
          <w:tcPr>
            <w:tcW w:w="10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D91B78" w:rsidRPr="00DD28CB" w:rsidRDefault="00D91B78" w:rsidP="00FF6C69">
            <w:pPr>
              <w:jc w:val="center"/>
              <w:rPr>
                <w:rFonts w:ascii="Arial Narrow" w:hAnsi="Arial Narrow"/>
                <w:b/>
                <w:bCs/>
                <w:sz w:val="16"/>
                <w:szCs w:val="16"/>
              </w:rPr>
            </w:pPr>
            <w:r>
              <w:rPr>
                <w:rFonts w:ascii="Arial Narrow" w:hAnsi="Arial Narrow"/>
                <w:b/>
                <w:bCs/>
                <w:sz w:val="16"/>
                <w:szCs w:val="16"/>
              </w:rPr>
              <w:t>2018</w:t>
            </w:r>
          </w:p>
          <w:p w:rsidR="00D91B78" w:rsidRPr="00DD28CB" w:rsidRDefault="00D91B78" w:rsidP="00FF6C69">
            <w:pPr>
              <w:jc w:val="center"/>
              <w:rPr>
                <w:rFonts w:ascii="Arial Narrow" w:hAnsi="Arial Narrow"/>
                <w:b/>
                <w:bCs/>
                <w:sz w:val="16"/>
                <w:szCs w:val="16"/>
              </w:rPr>
            </w:pPr>
            <w:r w:rsidRPr="00DD28CB">
              <w:rPr>
                <w:rFonts w:ascii="Arial Narrow" w:hAnsi="Arial Narrow"/>
                <w:b/>
                <w:bCs/>
                <w:sz w:val="16"/>
                <w:szCs w:val="16"/>
              </w:rPr>
              <w:t>Προβλέψεις</w:t>
            </w:r>
          </w:p>
        </w:tc>
      </w:tr>
      <w:tr w:rsidR="00D91B78" w:rsidRPr="00DD28CB" w:rsidTr="00D91B78">
        <w:trPr>
          <w:trHeight w:val="20"/>
          <w:jc w:val="center"/>
        </w:trPr>
        <w:tc>
          <w:tcPr>
            <w:tcW w:w="4948" w:type="dxa"/>
            <w:tcBorders>
              <w:top w:val="single" w:sz="4" w:space="0" w:color="auto"/>
              <w:left w:val="single" w:sz="4" w:space="0" w:color="auto"/>
              <w:bottom w:val="nil"/>
              <w:right w:val="nil"/>
            </w:tcBorders>
            <w:shd w:val="clear" w:color="auto" w:fill="A6A6A6"/>
            <w:noWrap/>
            <w:tcMar>
              <w:left w:w="28" w:type="dxa"/>
              <w:right w:w="28" w:type="dxa"/>
            </w:tcMar>
            <w:vAlign w:val="center"/>
            <w:hideMark/>
          </w:tcPr>
          <w:p w:rsidR="00D91B78" w:rsidRPr="00DD28CB" w:rsidRDefault="00D91B78" w:rsidP="00D91B78">
            <w:pPr>
              <w:spacing w:before="120" w:after="120"/>
              <w:rPr>
                <w:rFonts w:ascii="Arial Narrow" w:hAnsi="Arial Narrow"/>
                <w:b/>
                <w:bCs/>
                <w:sz w:val="16"/>
                <w:szCs w:val="16"/>
              </w:rPr>
            </w:pPr>
            <w:r w:rsidRPr="00DD28CB">
              <w:rPr>
                <w:rFonts w:ascii="Arial Narrow" w:hAnsi="Arial Narrow"/>
                <w:b/>
                <w:bCs/>
                <w:sz w:val="16"/>
                <w:szCs w:val="16"/>
              </w:rPr>
              <w:t>Έσοδα</w:t>
            </w:r>
          </w:p>
        </w:tc>
        <w:tc>
          <w:tcPr>
            <w:tcW w:w="1188" w:type="dxa"/>
            <w:tcBorders>
              <w:top w:val="single" w:sz="4" w:space="0" w:color="auto"/>
              <w:left w:val="nil"/>
              <w:bottom w:val="nil"/>
              <w:right w:val="nil"/>
            </w:tcBorders>
            <w:shd w:val="clear" w:color="auto" w:fill="A6A6A6"/>
            <w:tcMar>
              <w:left w:w="28" w:type="dxa"/>
              <w:right w:w="28" w:type="dxa"/>
            </w:tcMar>
            <w:vAlign w:val="center"/>
            <w:hideMark/>
          </w:tcPr>
          <w:p w:rsidR="00D91B78" w:rsidRPr="006F1154" w:rsidRDefault="00D91B78" w:rsidP="00D91B78">
            <w:pPr>
              <w:ind w:right="397"/>
              <w:jc w:val="right"/>
              <w:rPr>
                <w:rFonts w:ascii="Arial Narrow" w:hAnsi="Arial Narrow" w:cs="Arial"/>
                <w:b/>
                <w:bCs/>
                <w:sz w:val="16"/>
                <w:szCs w:val="16"/>
              </w:rPr>
            </w:pPr>
            <w:r>
              <w:rPr>
                <w:rFonts w:ascii="Arial Narrow" w:hAnsi="Arial Narrow" w:cs="Arial"/>
                <w:b/>
                <w:bCs/>
                <w:sz w:val="16"/>
                <w:szCs w:val="16"/>
              </w:rPr>
              <w:t>1.</w:t>
            </w:r>
            <w:r w:rsidRPr="00F8198D">
              <w:rPr>
                <w:rFonts w:ascii="Arial Narrow" w:hAnsi="Arial Narrow" w:cs="Arial"/>
                <w:b/>
                <w:bCs/>
                <w:sz w:val="16"/>
                <w:szCs w:val="16"/>
              </w:rPr>
              <w:t>3</w:t>
            </w:r>
            <w:r>
              <w:rPr>
                <w:rFonts w:ascii="Arial Narrow" w:hAnsi="Arial Narrow" w:cs="Arial"/>
                <w:b/>
                <w:bCs/>
                <w:sz w:val="16"/>
                <w:szCs w:val="16"/>
              </w:rPr>
              <w:t>81</w:t>
            </w:r>
          </w:p>
        </w:tc>
        <w:tc>
          <w:tcPr>
            <w:tcW w:w="1059" w:type="dxa"/>
            <w:tcBorders>
              <w:top w:val="single" w:sz="4" w:space="0" w:color="auto"/>
              <w:left w:val="nil"/>
              <w:bottom w:val="nil"/>
              <w:right w:val="single" w:sz="4" w:space="0" w:color="auto"/>
            </w:tcBorders>
            <w:shd w:val="clear" w:color="auto" w:fill="A6A6A6"/>
            <w:tcMar>
              <w:left w:w="28" w:type="dxa"/>
              <w:right w:w="28" w:type="dxa"/>
            </w:tcMar>
            <w:vAlign w:val="center"/>
            <w:hideMark/>
          </w:tcPr>
          <w:p w:rsidR="00D91B78" w:rsidRPr="00F8198D" w:rsidRDefault="00D91B78" w:rsidP="00D91B78">
            <w:pPr>
              <w:ind w:right="397"/>
              <w:jc w:val="right"/>
              <w:rPr>
                <w:rFonts w:ascii="Arial Narrow" w:hAnsi="Arial Narrow" w:cs="Arial"/>
                <w:b/>
                <w:bCs/>
                <w:sz w:val="16"/>
                <w:szCs w:val="16"/>
              </w:rPr>
            </w:pPr>
            <w:r>
              <w:rPr>
                <w:rFonts w:ascii="Arial Narrow" w:hAnsi="Arial Narrow" w:cs="Arial"/>
                <w:b/>
                <w:bCs/>
                <w:sz w:val="16"/>
                <w:szCs w:val="16"/>
              </w:rPr>
              <w:t>1.35</w:t>
            </w:r>
            <w:r w:rsidRPr="00F8198D">
              <w:rPr>
                <w:rFonts w:ascii="Arial Narrow" w:hAnsi="Arial Narrow" w:cs="Arial"/>
                <w:b/>
                <w:bCs/>
                <w:sz w:val="16"/>
                <w:szCs w:val="16"/>
              </w:rPr>
              <w:t>5</w:t>
            </w:r>
          </w:p>
        </w:tc>
      </w:tr>
      <w:tr w:rsidR="00D91B78" w:rsidRPr="00DD28CB" w:rsidTr="00D91B78">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D91B78" w:rsidRPr="00DD28CB" w:rsidRDefault="00D91B78" w:rsidP="00D91B78">
            <w:pPr>
              <w:spacing w:line="360" w:lineRule="auto"/>
              <w:rPr>
                <w:rFonts w:ascii="Arial Narrow" w:hAnsi="Arial Narrow"/>
                <w:sz w:val="16"/>
                <w:szCs w:val="16"/>
              </w:rPr>
            </w:pPr>
            <w:r w:rsidRPr="00DD28CB">
              <w:rPr>
                <w:rFonts w:ascii="Arial Narrow" w:hAnsi="Arial Narrow"/>
                <w:sz w:val="16"/>
                <w:szCs w:val="16"/>
              </w:rPr>
              <w:t>Εισφορά αλληλεγγύης συνταξιούχων (κύρια σύνταξη)</w:t>
            </w:r>
          </w:p>
        </w:tc>
        <w:tc>
          <w:tcPr>
            <w:tcW w:w="1188" w:type="dxa"/>
            <w:tcBorders>
              <w:top w:val="nil"/>
              <w:left w:val="nil"/>
              <w:bottom w:val="nil"/>
              <w:right w:val="nil"/>
            </w:tcBorders>
            <w:tcMar>
              <w:left w:w="28" w:type="dxa"/>
              <w:right w:w="28" w:type="dxa"/>
            </w:tcMar>
            <w:vAlign w:val="center"/>
            <w:hideMark/>
          </w:tcPr>
          <w:p w:rsidR="00D91B78" w:rsidRPr="006F1154" w:rsidRDefault="00D91B78" w:rsidP="00D91B78">
            <w:pPr>
              <w:ind w:right="397"/>
              <w:jc w:val="right"/>
              <w:rPr>
                <w:rFonts w:ascii="Arial Narrow" w:hAnsi="Arial Narrow" w:cs="Arial"/>
                <w:sz w:val="16"/>
                <w:szCs w:val="16"/>
              </w:rPr>
            </w:pPr>
            <w:r>
              <w:rPr>
                <w:rFonts w:ascii="Arial Narrow" w:hAnsi="Arial Narrow" w:cs="Arial"/>
                <w:sz w:val="16"/>
                <w:szCs w:val="16"/>
              </w:rPr>
              <w:t xml:space="preserve"> </w:t>
            </w:r>
            <w:r w:rsidRPr="00F8198D">
              <w:rPr>
                <w:rFonts w:ascii="Arial Narrow" w:hAnsi="Arial Narrow" w:cs="Arial"/>
                <w:sz w:val="16"/>
                <w:szCs w:val="16"/>
              </w:rPr>
              <w:t>6</w:t>
            </w:r>
            <w:r>
              <w:rPr>
                <w:rFonts w:ascii="Arial Narrow" w:hAnsi="Arial Narrow" w:cs="Arial"/>
                <w:sz w:val="16"/>
                <w:szCs w:val="16"/>
              </w:rPr>
              <w:t>19</w:t>
            </w:r>
          </w:p>
        </w:tc>
        <w:tc>
          <w:tcPr>
            <w:tcW w:w="1059" w:type="dxa"/>
            <w:tcBorders>
              <w:top w:val="nil"/>
              <w:left w:val="nil"/>
              <w:bottom w:val="nil"/>
              <w:right w:val="single" w:sz="4" w:space="0" w:color="auto"/>
            </w:tcBorders>
            <w:tcMar>
              <w:left w:w="28" w:type="dxa"/>
              <w:right w:w="28" w:type="dxa"/>
            </w:tcMar>
            <w:vAlign w:val="center"/>
            <w:hideMark/>
          </w:tcPr>
          <w:p w:rsidR="00D91B78" w:rsidRPr="00F8198D" w:rsidRDefault="00D91B78" w:rsidP="00D91B78">
            <w:pPr>
              <w:ind w:right="397"/>
              <w:jc w:val="right"/>
              <w:rPr>
                <w:rFonts w:ascii="Arial Narrow" w:hAnsi="Arial Narrow" w:cs="Arial"/>
                <w:sz w:val="16"/>
                <w:szCs w:val="16"/>
              </w:rPr>
            </w:pPr>
            <w:r w:rsidRPr="00F8198D">
              <w:rPr>
                <w:rFonts w:ascii="Arial Narrow" w:hAnsi="Arial Narrow" w:cs="Arial"/>
                <w:sz w:val="16"/>
                <w:szCs w:val="16"/>
              </w:rPr>
              <w:t>556</w:t>
            </w:r>
          </w:p>
        </w:tc>
      </w:tr>
      <w:tr w:rsidR="00D91B78" w:rsidRPr="00DD28CB" w:rsidTr="00D91B78">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D91B78" w:rsidRPr="00DD28CB" w:rsidRDefault="00D91B78" w:rsidP="00D91B78">
            <w:pPr>
              <w:spacing w:line="360" w:lineRule="auto"/>
              <w:rPr>
                <w:rFonts w:ascii="Arial Narrow" w:hAnsi="Arial Narrow"/>
                <w:sz w:val="16"/>
                <w:szCs w:val="16"/>
              </w:rPr>
            </w:pPr>
            <w:r w:rsidRPr="00DD28CB">
              <w:rPr>
                <w:rFonts w:ascii="Arial Narrow" w:hAnsi="Arial Narrow"/>
                <w:sz w:val="16"/>
                <w:szCs w:val="16"/>
              </w:rPr>
              <w:t>Εισφορά αλληλεγγύης συνταξιούχων (επικουρική σύνταξη)</w:t>
            </w:r>
          </w:p>
        </w:tc>
        <w:tc>
          <w:tcPr>
            <w:tcW w:w="1188" w:type="dxa"/>
            <w:tcBorders>
              <w:top w:val="nil"/>
              <w:left w:val="nil"/>
              <w:bottom w:val="nil"/>
              <w:right w:val="nil"/>
            </w:tcBorders>
            <w:tcMar>
              <w:left w:w="28" w:type="dxa"/>
              <w:right w:w="28" w:type="dxa"/>
            </w:tcMar>
            <w:vAlign w:val="center"/>
            <w:hideMark/>
          </w:tcPr>
          <w:p w:rsidR="00D91B78" w:rsidRPr="00DD5B4B" w:rsidRDefault="00D91B78" w:rsidP="00D91B78">
            <w:pPr>
              <w:ind w:right="397"/>
              <w:jc w:val="right"/>
              <w:rPr>
                <w:rFonts w:ascii="Arial Narrow" w:hAnsi="Arial Narrow" w:cs="Arial"/>
                <w:sz w:val="16"/>
                <w:szCs w:val="16"/>
              </w:rPr>
            </w:pPr>
            <w:r>
              <w:rPr>
                <w:rFonts w:ascii="Arial Narrow" w:hAnsi="Arial Narrow" w:cs="Arial"/>
                <w:sz w:val="16"/>
                <w:szCs w:val="16"/>
              </w:rPr>
              <w:t xml:space="preserve"> </w:t>
            </w:r>
            <w:r>
              <w:rPr>
                <w:rFonts w:ascii="Arial Narrow" w:hAnsi="Arial Narrow" w:cs="Arial"/>
                <w:sz w:val="16"/>
                <w:szCs w:val="16"/>
                <w:lang w:val="en-US"/>
              </w:rPr>
              <w:t>6</w:t>
            </w:r>
            <w:r>
              <w:rPr>
                <w:rFonts w:ascii="Arial Narrow" w:hAnsi="Arial Narrow" w:cs="Arial"/>
                <w:sz w:val="16"/>
                <w:szCs w:val="16"/>
              </w:rPr>
              <w:t>7</w:t>
            </w:r>
          </w:p>
        </w:tc>
        <w:tc>
          <w:tcPr>
            <w:tcW w:w="1059" w:type="dxa"/>
            <w:tcBorders>
              <w:top w:val="nil"/>
              <w:left w:val="nil"/>
              <w:bottom w:val="nil"/>
              <w:right w:val="single" w:sz="4" w:space="0" w:color="auto"/>
            </w:tcBorders>
            <w:tcMar>
              <w:left w:w="28" w:type="dxa"/>
              <w:right w:w="28" w:type="dxa"/>
            </w:tcMar>
            <w:vAlign w:val="center"/>
            <w:hideMark/>
          </w:tcPr>
          <w:p w:rsidR="00D91B78" w:rsidRPr="00D76581" w:rsidRDefault="00D91B78" w:rsidP="00D91B78">
            <w:pPr>
              <w:ind w:right="397"/>
              <w:jc w:val="right"/>
              <w:rPr>
                <w:rFonts w:ascii="Arial Narrow" w:hAnsi="Arial Narrow" w:cs="Arial"/>
                <w:sz w:val="16"/>
                <w:szCs w:val="16"/>
              </w:rPr>
            </w:pPr>
            <w:r>
              <w:rPr>
                <w:rFonts w:ascii="Arial Narrow" w:hAnsi="Arial Narrow" w:cs="Arial"/>
                <w:sz w:val="16"/>
                <w:szCs w:val="16"/>
              </w:rPr>
              <w:t>6</w:t>
            </w:r>
            <w:r>
              <w:rPr>
                <w:rFonts w:ascii="Arial Narrow" w:hAnsi="Arial Narrow" w:cs="Arial"/>
                <w:sz w:val="16"/>
                <w:szCs w:val="16"/>
                <w:lang w:val="en-US"/>
              </w:rPr>
              <w:t>7</w:t>
            </w:r>
          </w:p>
        </w:tc>
      </w:tr>
      <w:tr w:rsidR="00D91B78" w:rsidRPr="00DD28CB" w:rsidTr="00D91B78">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D91B78" w:rsidRPr="00DD28CB" w:rsidRDefault="00D91B78" w:rsidP="00D91B78">
            <w:pPr>
              <w:spacing w:line="360" w:lineRule="auto"/>
              <w:rPr>
                <w:rFonts w:ascii="Arial Narrow" w:hAnsi="Arial Narrow"/>
                <w:sz w:val="16"/>
                <w:szCs w:val="16"/>
              </w:rPr>
            </w:pPr>
            <w:r w:rsidRPr="00DD28CB">
              <w:rPr>
                <w:rFonts w:ascii="Arial Narrow" w:hAnsi="Arial Narrow"/>
                <w:sz w:val="16"/>
                <w:szCs w:val="16"/>
              </w:rPr>
              <w:t xml:space="preserve">Έσοδα από </w:t>
            </w:r>
            <w:r>
              <w:rPr>
                <w:rFonts w:ascii="Arial Narrow" w:hAnsi="Arial Narrow"/>
                <w:sz w:val="16"/>
                <w:szCs w:val="16"/>
              </w:rPr>
              <w:t>επιχειρηματική δραστηριότητα (έσοδα από τόκους)</w:t>
            </w:r>
          </w:p>
        </w:tc>
        <w:tc>
          <w:tcPr>
            <w:tcW w:w="1188" w:type="dxa"/>
            <w:tcBorders>
              <w:top w:val="nil"/>
              <w:left w:val="nil"/>
              <w:bottom w:val="nil"/>
              <w:right w:val="nil"/>
            </w:tcBorders>
            <w:tcMar>
              <w:left w:w="28" w:type="dxa"/>
              <w:right w:w="28" w:type="dxa"/>
            </w:tcMar>
            <w:vAlign w:val="center"/>
            <w:hideMark/>
          </w:tcPr>
          <w:p w:rsidR="00D91B78" w:rsidRPr="001B6944" w:rsidRDefault="00D91B78" w:rsidP="00D91B78">
            <w:pPr>
              <w:ind w:right="397"/>
              <w:jc w:val="right"/>
              <w:rPr>
                <w:rFonts w:ascii="Arial Narrow" w:hAnsi="Arial Narrow" w:cs="Arial"/>
                <w:sz w:val="16"/>
                <w:szCs w:val="16"/>
                <w:lang w:val="en-US"/>
              </w:rPr>
            </w:pPr>
            <w:r>
              <w:rPr>
                <w:rFonts w:ascii="Arial Narrow" w:hAnsi="Arial Narrow" w:cs="Arial"/>
                <w:sz w:val="16"/>
                <w:szCs w:val="16"/>
              </w:rPr>
              <w:t xml:space="preserve"> </w:t>
            </w:r>
            <w:r>
              <w:rPr>
                <w:rFonts w:ascii="Arial Narrow" w:hAnsi="Arial Narrow" w:cs="Arial"/>
                <w:sz w:val="16"/>
                <w:szCs w:val="16"/>
                <w:lang w:val="en-US"/>
              </w:rPr>
              <w:t>190</w:t>
            </w:r>
          </w:p>
        </w:tc>
        <w:tc>
          <w:tcPr>
            <w:tcW w:w="1059" w:type="dxa"/>
            <w:tcBorders>
              <w:top w:val="nil"/>
              <w:left w:val="nil"/>
              <w:bottom w:val="nil"/>
              <w:right w:val="single" w:sz="4" w:space="0" w:color="auto"/>
            </w:tcBorders>
            <w:tcMar>
              <w:left w:w="28" w:type="dxa"/>
              <w:right w:w="28" w:type="dxa"/>
            </w:tcMar>
            <w:vAlign w:val="center"/>
            <w:hideMark/>
          </w:tcPr>
          <w:p w:rsidR="00D91B78" w:rsidRPr="00221CB0" w:rsidRDefault="00D91B78" w:rsidP="00D91B78">
            <w:pPr>
              <w:ind w:right="397"/>
              <w:jc w:val="right"/>
              <w:rPr>
                <w:rFonts w:ascii="Arial Narrow" w:hAnsi="Arial Narrow" w:cs="Arial"/>
                <w:sz w:val="16"/>
                <w:szCs w:val="16"/>
                <w:lang w:val="en-US"/>
              </w:rPr>
            </w:pPr>
            <w:r>
              <w:rPr>
                <w:rFonts w:ascii="Arial Narrow" w:hAnsi="Arial Narrow" w:cs="Arial"/>
                <w:sz w:val="16"/>
                <w:szCs w:val="16"/>
                <w:lang w:val="en-US"/>
              </w:rPr>
              <w:t>210</w:t>
            </w:r>
          </w:p>
        </w:tc>
      </w:tr>
      <w:tr w:rsidR="00D91B78" w:rsidRPr="00DD28CB" w:rsidTr="00D91B78">
        <w:trPr>
          <w:trHeight w:val="20"/>
          <w:jc w:val="center"/>
        </w:trPr>
        <w:tc>
          <w:tcPr>
            <w:tcW w:w="4948" w:type="dxa"/>
            <w:tcBorders>
              <w:top w:val="nil"/>
              <w:left w:val="single" w:sz="4" w:space="0" w:color="auto"/>
              <w:bottom w:val="nil"/>
              <w:right w:val="nil"/>
            </w:tcBorders>
            <w:noWrap/>
            <w:tcMar>
              <w:left w:w="28" w:type="dxa"/>
              <w:right w:w="28" w:type="dxa"/>
            </w:tcMar>
            <w:vAlign w:val="center"/>
            <w:hideMark/>
          </w:tcPr>
          <w:p w:rsidR="00D91B78" w:rsidRPr="00DD28CB" w:rsidRDefault="00D91B78" w:rsidP="00D91B78">
            <w:pPr>
              <w:spacing w:line="360" w:lineRule="auto"/>
              <w:rPr>
                <w:rFonts w:ascii="Arial Narrow" w:hAnsi="Arial Narrow"/>
                <w:sz w:val="16"/>
                <w:szCs w:val="16"/>
                <w:vertAlign w:val="superscript"/>
              </w:rPr>
            </w:pPr>
            <w:r>
              <w:rPr>
                <w:rFonts w:ascii="Arial Narrow" w:hAnsi="Arial Narrow"/>
                <w:sz w:val="16"/>
                <w:szCs w:val="16"/>
              </w:rPr>
              <w:t>Ετήσια επιχορήγηση μέσω πιστώσεων του κρατικού προϋπολογισμού (ν. 4254/14)</w:t>
            </w:r>
          </w:p>
        </w:tc>
        <w:tc>
          <w:tcPr>
            <w:tcW w:w="1188" w:type="dxa"/>
            <w:tcBorders>
              <w:top w:val="nil"/>
              <w:left w:val="nil"/>
              <w:bottom w:val="nil"/>
              <w:right w:val="nil"/>
            </w:tcBorders>
            <w:tcMar>
              <w:left w:w="28" w:type="dxa"/>
              <w:right w:w="28" w:type="dxa"/>
            </w:tcMar>
            <w:vAlign w:val="center"/>
            <w:hideMark/>
          </w:tcPr>
          <w:p w:rsidR="00D91B78" w:rsidRPr="00221CB0" w:rsidRDefault="00D91B78" w:rsidP="00D91B78">
            <w:pPr>
              <w:ind w:right="397"/>
              <w:jc w:val="right"/>
              <w:rPr>
                <w:rFonts w:ascii="Arial Narrow" w:hAnsi="Arial Narrow" w:cs="Arial"/>
                <w:sz w:val="16"/>
                <w:szCs w:val="16"/>
                <w:lang w:val="en-US"/>
              </w:rPr>
            </w:pPr>
            <w:r>
              <w:rPr>
                <w:rFonts w:ascii="Arial Narrow" w:hAnsi="Arial Narrow" w:cs="Arial"/>
                <w:sz w:val="16"/>
                <w:szCs w:val="16"/>
              </w:rPr>
              <w:t xml:space="preserve"> </w:t>
            </w:r>
            <w:r>
              <w:rPr>
                <w:rFonts w:ascii="Arial Narrow" w:hAnsi="Arial Narrow" w:cs="Arial"/>
                <w:sz w:val="16"/>
                <w:szCs w:val="16"/>
                <w:lang w:val="en-US"/>
              </w:rPr>
              <w:t>505</w:t>
            </w:r>
          </w:p>
        </w:tc>
        <w:tc>
          <w:tcPr>
            <w:tcW w:w="1059" w:type="dxa"/>
            <w:tcBorders>
              <w:top w:val="nil"/>
              <w:left w:val="nil"/>
              <w:bottom w:val="nil"/>
              <w:right w:val="single" w:sz="4" w:space="0" w:color="auto"/>
            </w:tcBorders>
            <w:tcMar>
              <w:left w:w="28" w:type="dxa"/>
              <w:right w:w="28" w:type="dxa"/>
            </w:tcMar>
            <w:vAlign w:val="center"/>
            <w:hideMark/>
          </w:tcPr>
          <w:p w:rsidR="00D91B78" w:rsidRPr="00221CB0" w:rsidRDefault="00D91B78" w:rsidP="00D91B78">
            <w:pPr>
              <w:ind w:right="397"/>
              <w:jc w:val="right"/>
              <w:rPr>
                <w:rFonts w:ascii="Arial Narrow" w:hAnsi="Arial Narrow" w:cs="Arial"/>
                <w:sz w:val="16"/>
                <w:szCs w:val="16"/>
                <w:lang w:val="en-US"/>
              </w:rPr>
            </w:pPr>
            <w:r>
              <w:rPr>
                <w:rFonts w:ascii="Arial Narrow" w:hAnsi="Arial Narrow" w:cs="Arial"/>
                <w:sz w:val="16"/>
                <w:szCs w:val="16"/>
                <w:lang w:val="en-US"/>
              </w:rPr>
              <w:t>522</w:t>
            </w:r>
          </w:p>
        </w:tc>
      </w:tr>
      <w:tr w:rsidR="00D91B78" w:rsidRPr="00DD28CB" w:rsidTr="00D91B78">
        <w:trPr>
          <w:trHeight w:val="488"/>
          <w:jc w:val="center"/>
        </w:trPr>
        <w:tc>
          <w:tcPr>
            <w:tcW w:w="4948" w:type="dxa"/>
            <w:tcBorders>
              <w:top w:val="nil"/>
              <w:left w:val="single" w:sz="4" w:space="0" w:color="auto"/>
              <w:bottom w:val="nil"/>
              <w:right w:val="nil"/>
            </w:tcBorders>
            <w:shd w:val="clear" w:color="auto" w:fill="A6A6A6"/>
            <w:noWrap/>
            <w:tcMar>
              <w:left w:w="28" w:type="dxa"/>
              <w:right w:w="28" w:type="dxa"/>
            </w:tcMar>
            <w:vAlign w:val="center"/>
            <w:hideMark/>
          </w:tcPr>
          <w:p w:rsidR="00D91B78" w:rsidRPr="00DD28CB" w:rsidRDefault="00D91B78" w:rsidP="00D91B78">
            <w:pPr>
              <w:spacing w:before="120" w:after="120"/>
              <w:rPr>
                <w:rFonts w:ascii="Arial Narrow" w:hAnsi="Arial Narrow"/>
                <w:b/>
                <w:bCs/>
                <w:sz w:val="16"/>
                <w:szCs w:val="16"/>
              </w:rPr>
            </w:pPr>
            <w:r w:rsidRPr="00DD28CB">
              <w:rPr>
                <w:rFonts w:ascii="Arial Narrow" w:hAnsi="Arial Narrow"/>
                <w:b/>
                <w:bCs/>
                <w:sz w:val="16"/>
                <w:szCs w:val="16"/>
              </w:rPr>
              <w:t>Δαπάνες</w:t>
            </w:r>
          </w:p>
        </w:tc>
        <w:tc>
          <w:tcPr>
            <w:tcW w:w="1188" w:type="dxa"/>
            <w:tcBorders>
              <w:top w:val="nil"/>
              <w:left w:val="nil"/>
              <w:bottom w:val="nil"/>
              <w:right w:val="nil"/>
            </w:tcBorders>
            <w:shd w:val="clear" w:color="auto" w:fill="A6A6A6"/>
            <w:tcMar>
              <w:left w:w="28" w:type="dxa"/>
              <w:right w:w="28" w:type="dxa"/>
            </w:tcMar>
            <w:vAlign w:val="center"/>
            <w:hideMark/>
          </w:tcPr>
          <w:p w:rsidR="00D91B78" w:rsidRDefault="00D91B78" w:rsidP="00D91B78">
            <w:pPr>
              <w:ind w:right="397"/>
              <w:jc w:val="right"/>
              <w:rPr>
                <w:rFonts w:ascii="Arial Narrow" w:hAnsi="Arial Narrow" w:cs="Arial"/>
                <w:b/>
                <w:bCs/>
                <w:sz w:val="16"/>
                <w:szCs w:val="16"/>
              </w:rPr>
            </w:pPr>
            <w:r>
              <w:rPr>
                <w:rFonts w:ascii="Arial Narrow" w:hAnsi="Arial Narrow" w:cs="Arial"/>
                <w:b/>
                <w:bCs/>
                <w:sz w:val="16"/>
                <w:szCs w:val="16"/>
              </w:rPr>
              <w:t>435</w:t>
            </w:r>
          </w:p>
        </w:tc>
        <w:tc>
          <w:tcPr>
            <w:tcW w:w="1059" w:type="dxa"/>
            <w:tcBorders>
              <w:top w:val="nil"/>
              <w:left w:val="nil"/>
              <w:bottom w:val="nil"/>
              <w:right w:val="single" w:sz="4" w:space="0" w:color="auto"/>
            </w:tcBorders>
            <w:shd w:val="clear" w:color="auto" w:fill="A6A6A6"/>
            <w:tcMar>
              <w:left w:w="28" w:type="dxa"/>
              <w:right w:w="28" w:type="dxa"/>
            </w:tcMar>
            <w:vAlign w:val="center"/>
            <w:hideMark/>
          </w:tcPr>
          <w:p w:rsidR="00D91B78" w:rsidRDefault="00D91B78" w:rsidP="00D91B78">
            <w:pPr>
              <w:ind w:right="397"/>
              <w:jc w:val="right"/>
              <w:rPr>
                <w:rFonts w:ascii="Arial Narrow" w:hAnsi="Arial Narrow" w:cs="Arial"/>
                <w:b/>
                <w:bCs/>
                <w:sz w:val="16"/>
                <w:szCs w:val="16"/>
              </w:rPr>
            </w:pPr>
            <w:r>
              <w:rPr>
                <w:rFonts w:ascii="Arial Narrow" w:hAnsi="Arial Narrow" w:cs="Arial"/>
                <w:b/>
                <w:bCs/>
                <w:sz w:val="16"/>
                <w:szCs w:val="16"/>
              </w:rPr>
              <w:t>435</w:t>
            </w:r>
          </w:p>
        </w:tc>
      </w:tr>
      <w:tr w:rsidR="00D91B78" w:rsidRPr="00DD28CB" w:rsidTr="00D91B78">
        <w:trPr>
          <w:trHeight w:val="325"/>
          <w:jc w:val="center"/>
        </w:trPr>
        <w:tc>
          <w:tcPr>
            <w:tcW w:w="4948" w:type="dxa"/>
            <w:tcBorders>
              <w:top w:val="nil"/>
              <w:left w:val="single" w:sz="4" w:space="0" w:color="auto"/>
              <w:bottom w:val="nil"/>
              <w:right w:val="nil"/>
            </w:tcBorders>
            <w:noWrap/>
            <w:tcMar>
              <w:left w:w="28" w:type="dxa"/>
              <w:right w:w="28" w:type="dxa"/>
            </w:tcMar>
            <w:vAlign w:val="center"/>
            <w:hideMark/>
          </w:tcPr>
          <w:p w:rsidR="00D91B78" w:rsidRPr="00DD28CB" w:rsidRDefault="00D91B78" w:rsidP="00A67B2D">
            <w:pPr>
              <w:spacing w:line="360" w:lineRule="auto"/>
              <w:rPr>
                <w:rFonts w:ascii="Arial Narrow" w:hAnsi="Arial Narrow"/>
                <w:sz w:val="16"/>
                <w:szCs w:val="16"/>
              </w:rPr>
            </w:pPr>
            <w:r>
              <w:rPr>
                <w:rFonts w:ascii="Arial Narrow" w:hAnsi="Arial Narrow"/>
                <w:sz w:val="16"/>
                <w:szCs w:val="16"/>
              </w:rPr>
              <w:t>Επιχορηγήσεις σε ΦΚΑ</w:t>
            </w:r>
          </w:p>
        </w:tc>
        <w:tc>
          <w:tcPr>
            <w:tcW w:w="1188" w:type="dxa"/>
            <w:tcBorders>
              <w:top w:val="nil"/>
              <w:left w:val="nil"/>
              <w:bottom w:val="nil"/>
              <w:right w:val="nil"/>
            </w:tcBorders>
            <w:tcMar>
              <w:left w:w="28" w:type="dxa"/>
              <w:right w:w="28" w:type="dxa"/>
            </w:tcMar>
            <w:vAlign w:val="center"/>
            <w:hideMark/>
          </w:tcPr>
          <w:p w:rsidR="00D91B78" w:rsidRPr="000D7BF8" w:rsidRDefault="00D91B78" w:rsidP="00D91B78">
            <w:pPr>
              <w:ind w:right="397"/>
              <w:jc w:val="right"/>
              <w:rPr>
                <w:rFonts w:ascii="Arial Narrow" w:hAnsi="Arial Narrow" w:cs="Arial"/>
                <w:sz w:val="16"/>
                <w:szCs w:val="16"/>
                <w:lang w:val="en-US"/>
              </w:rPr>
            </w:pPr>
            <w:r>
              <w:rPr>
                <w:rFonts w:ascii="Arial Narrow" w:hAnsi="Arial Narrow" w:cs="Arial"/>
                <w:sz w:val="16"/>
                <w:szCs w:val="16"/>
                <w:lang w:val="en-US"/>
              </w:rPr>
              <w:t>395</w:t>
            </w:r>
          </w:p>
        </w:tc>
        <w:tc>
          <w:tcPr>
            <w:tcW w:w="1059" w:type="dxa"/>
            <w:tcBorders>
              <w:top w:val="nil"/>
              <w:left w:val="nil"/>
              <w:bottom w:val="nil"/>
              <w:right w:val="single" w:sz="4" w:space="0" w:color="auto"/>
            </w:tcBorders>
            <w:tcMar>
              <w:left w:w="28" w:type="dxa"/>
              <w:right w:w="28" w:type="dxa"/>
            </w:tcMar>
            <w:vAlign w:val="center"/>
            <w:hideMark/>
          </w:tcPr>
          <w:p w:rsidR="00D91B78" w:rsidRPr="00B42EE8" w:rsidRDefault="00D91B78" w:rsidP="00D91B78">
            <w:pPr>
              <w:ind w:right="397"/>
              <w:jc w:val="right"/>
              <w:rPr>
                <w:rFonts w:ascii="Arial Narrow" w:hAnsi="Arial Narrow" w:cs="Arial"/>
                <w:sz w:val="16"/>
                <w:szCs w:val="16"/>
                <w:lang w:val="en-US"/>
              </w:rPr>
            </w:pPr>
            <w:r>
              <w:rPr>
                <w:rFonts w:ascii="Arial Narrow" w:hAnsi="Arial Narrow" w:cs="Arial"/>
                <w:sz w:val="16"/>
                <w:szCs w:val="16"/>
                <w:lang w:val="en-US"/>
              </w:rPr>
              <w:t>395</w:t>
            </w:r>
          </w:p>
        </w:tc>
      </w:tr>
      <w:tr w:rsidR="00D91B78" w:rsidRPr="00DD28CB" w:rsidTr="00D91B78">
        <w:trPr>
          <w:trHeight w:val="325"/>
          <w:jc w:val="center"/>
        </w:trPr>
        <w:tc>
          <w:tcPr>
            <w:tcW w:w="4948" w:type="dxa"/>
            <w:tcBorders>
              <w:top w:val="nil"/>
              <w:left w:val="single" w:sz="4" w:space="0" w:color="auto"/>
              <w:bottom w:val="single" w:sz="4" w:space="0" w:color="auto"/>
              <w:right w:val="nil"/>
            </w:tcBorders>
            <w:noWrap/>
            <w:tcMar>
              <w:left w:w="28" w:type="dxa"/>
              <w:right w:w="28" w:type="dxa"/>
            </w:tcMar>
            <w:vAlign w:val="center"/>
            <w:hideMark/>
          </w:tcPr>
          <w:p w:rsidR="00D91B78" w:rsidRPr="00DD28CB" w:rsidRDefault="00D91B78" w:rsidP="00D91B78">
            <w:pPr>
              <w:spacing w:line="360" w:lineRule="auto"/>
              <w:rPr>
                <w:rFonts w:ascii="Arial Narrow" w:hAnsi="Arial Narrow"/>
                <w:sz w:val="16"/>
                <w:szCs w:val="16"/>
              </w:rPr>
            </w:pPr>
            <w:r>
              <w:rPr>
                <w:rFonts w:ascii="Arial Narrow" w:hAnsi="Arial Narrow"/>
                <w:sz w:val="16"/>
                <w:szCs w:val="16"/>
              </w:rPr>
              <w:t xml:space="preserve">Επιχορηγήσεις για </w:t>
            </w:r>
            <w:r w:rsidRPr="00DD28CB">
              <w:rPr>
                <w:rFonts w:ascii="Arial Narrow" w:hAnsi="Arial Narrow"/>
                <w:sz w:val="16"/>
                <w:szCs w:val="16"/>
              </w:rPr>
              <w:t>το Πρόγραμμα "Βοήθεια στο σπίτι"</w:t>
            </w:r>
          </w:p>
        </w:tc>
        <w:tc>
          <w:tcPr>
            <w:tcW w:w="1188" w:type="dxa"/>
            <w:tcBorders>
              <w:top w:val="nil"/>
              <w:left w:val="nil"/>
              <w:right w:val="nil"/>
            </w:tcBorders>
            <w:tcMar>
              <w:left w:w="28" w:type="dxa"/>
              <w:right w:w="28" w:type="dxa"/>
            </w:tcMar>
            <w:vAlign w:val="center"/>
            <w:hideMark/>
          </w:tcPr>
          <w:p w:rsidR="00D91B78" w:rsidRPr="000D7BF8" w:rsidRDefault="00D91B78" w:rsidP="00D91B78">
            <w:pPr>
              <w:ind w:right="397"/>
              <w:jc w:val="right"/>
              <w:rPr>
                <w:rFonts w:ascii="Arial Narrow" w:hAnsi="Arial Narrow" w:cs="Arial"/>
                <w:sz w:val="16"/>
                <w:szCs w:val="16"/>
                <w:lang w:val="en-US"/>
              </w:rPr>
            </w:pPr>
            <w:r>
              <w:rPr>
                <w:rFonts w:ascii="Arial Narrow" w:hAnsi="Arial Narrow" w:cs="Arial"/>
                <w:sz w:val="16"/>
                <w:szCs w:val="16"/>
                <w:lang w:val="en-US"/>
              </w:rPr>
              <w:t>40</w:t>
            </w:r>
          </w:p>
        </w:tc>
        <w:tc>
          <w:tcPr>
            <w:tcW w:w="1059" w:type="dxa"/>
            <w:tcBorders>
              <w:top w:val="nil"/>
              <w:left w:val="nil"/>
              <w:right w:val="single" w:sz="4" w:space="0" w:color="auto"/>
            </w:tcBorders>
            <w:tcMar>
              <w:left w:w="28" w:type="dxa"/>
              <w:right w:w="28" w:type="dxa"/>
            </w:tcMar>
            <w:vAlign w:val="center"/>
            <w:hideMark/>
          </w:tcPr>
          <w:p w:rsidR="00D91B78" w:rsidRPr="000D7BF8" w:rsidRDefault="00D91B78" w:rsidP="00D91B78">
            <w:pPr>
              <w:ind w:right="397"/>
              <w:jc w:val="right"/>
              <w:rPr>
                <w:rFonts w:ascii="Arial Narrow" w:hAnsi="Arial Narrow" w:cs="Arial"/>
                <w:sz w:val="16"/>
                <w:szCs w:val="16"/>
                <w:lang w:val="en-US"/>
              </w:rPr>
            </w:pPr>
            <w:r>
              <w:rPr>
                <w:rFonts w:ascii="Arial Narrow" w:hAnsi="Arial Narrow" w:cs="Arial"/>
                <w:sz w:val="16"/>
                <w:szCs w:val="16"/>
                <w:lang w:val="en-US"/>
              </w:rPr>
              <w:t>40</w:t>
            </w:r>
          </w:p>
        </w:tc>
      </w:tr>
      <w:tr w:rsidR="00D91B78" w:rsidRPr="00DD28CB" w:rsidTr="00D91B78">
        <w:trPr>
          <w:trHeight w:val="20"/>
          <w:jc w:val="center"/>
        </w:trPr>
        <w:tc>
          <w:tcPr>
            <w:tcW w:w="4948" w:type="dxa"/>
            <w:tcBorders>
              <w:top w:val="nil"/>
              <w:left w:val="single" w:sz="4" w:space="0" w:color="auto"/>
              <w:bottom w:val="single" w:sz="4" w:space="0" w:color="auto"/>
              <w:right w:val="nil"/>
            </w:tcBorders>
            <w:shd w:val="clear" w:color="auto" w:fill="A6A6A6"/>
            <w:noWrap/>
            <w:tcMar>
              <w:left w:w="28" w:type="dxa"/>
              <w:right w:w="28" w:type="dxa"/>
            </w:tcMar>
            <w:vAlign w:val="center"/>
            <w:hideMark/>
          </w:tcPr>
          <w:p w:rsidR="00D91B78" w:rsidRPr="00DD28CB" w:rsidRDefault="00D91B78" w:rsidP="00D91B78">
            <w:pPr>
              <w:spacing w:before="120" w:after="120"/>
              <w:rPr>
                <w:rFonts w:ascii="Arial Narrow" w:hAnsi="Arial Narrow"/>
                <w:b/>
                <w:bCs/>
                <w:sz w:val="16"/>
                <w:szCs w:val="16"/>
              </w:rPr>
            </w:pPr>
            <w:r w:rsidRPr="00DD28CB">
              <w:rPr>
                <w:rFonts w:ascii="Arial Narrow" w:hAnsi="Arial Narrow"/>
                <w:b/>
                <w:bCs/>
                <w:sz w:val="16"/>
                <w:szCs w:val="16"/>
              </w:rPr>
              <w:t>Ισοζύγιο</w:t>
            </w:r>
            <w:r>
              <w:rPr>
                <w:rFonts w:ascii="Arial Narrow" w:hAnsi="Arial Narrow"/>
                <w:b/>
                <w:bCs/>
                <w:sz w:val="16"/>
                <w:szCs w:val="16"/>
              </w:rPr>
              <w:t xml:space="preserve"> (αποτέλεσμα)</w:t>
            </w:r>
          </w:p>
        </w:tc>
        <w:tc>
          <w:tcPr>
            <w:tcW w:w="1188" w:type="dxa"/>
            <w:tcBorders>
              <w:top w:val="single" w:sz="4" w:space="0" w:color="auto"/>
              <w:left w:val="nil"/>
              <w:bottom w:val="single" w:sz="4" w:space="0" w:color="auto"/>
              <w:right w:val="nil"/>
            </w:tcBorders>
            <w:shd w:val="clear" w:color="auto" w:fill="A6A6A6"/>
            <w:tcMar>
              <w:left w:w="28" w:type="dxa"/>
              <w:right w:w="28" w:type="dxa"/>
            </w:tcMar>
            <w:vAlign w:val="center"/>
            <w:hideMark/>
          </w:tcPr>
          <w:p w:rsidR="00D91B78" w:rsidRPr="006F1154" w:rsidRDefault="00D91B78" w:rsidP="00D91B78">
            <w:pPr>
              <w:ind w:right="397"/>
              <w:jc w:val="right"/>
              <w:rPr>
                <w:rFonts w:ascii="Arial Narrow" w:hAnsi="Arial Narrow" w:cs="Arial"/>
                <w:b/>
                <w:bCs/>
                <w:sz w:val="16"/>
                <w:szCs w:val="16"/>
              </w:rPr>
            </w:pPr>
            <w:r>
              <w:rPr>
                <w:rFonts w:ascii="Arial Narrow" w:hAnsi="Arial Narrow" w:cs="Arial"/>
                <w:b/>
                <w:bCs/>
                <w:sz w:val="16"/>
                <w:szCs w:val="16"/>
              </w:rPr>
              <w:t>946</w:t>
            </w:r>
          </w:p>
        </w:tc>
        <w:tc>
          <w:tcPr>
            <w:tcW w:w="1059" w:type="dxa"/>
            <w:tcBorders>
              <w:top w:val="single" w:sz="4" w:space="0" w:color="auto"/>
              <w:left w:val="nil"/>
              <w:bottom w:val="single" w:sz="4" w:space="0" w:color="auto"/>
              <w:right w:val="single" w:sz="4" w:space="0" w:color="auto"/>
            </w:tcBorders>
            <w:shd w:val="clear" w:color="auto" w:fill="A6A6A6"/>
            <w:tcMar>
              <w:left w:w="28" w:type="dxa"/>
              <w:right w:w="28" w:type="dxa"/>
            </w:tcMar>
            <w:vAlign w:val="center"/>
            <w:hideMark/>
          </w:tcPr>
          <w:p w:rsidR="00D91B78" w:rsidRPr="00221CB0" w:rsidRDefault="00D91B78" w:rsidP="00D91B78">
            <w:pPr>
              <w:ind w:right="397"/>
              <w:jc w:val="right"/>
              <w:rPr>
                <w:rFonts w:ascii="Arial Narrow" w:hAnsi="Arial Narrow" w:cs="Arial"/>
                <w:b/>
                <w:bCs/>
                <w:sz w:val="16"/>
                <w:szCs w:val="16"/>
                <w:lang w:val="en-US"/>
              </w:rPr>
            </w:pPr>
            <w:r>
              <w:rPr>
                <w:rFonts w:ascii="Arial Narrow" w:hAnsi="Arial Narrow" w:cs="Arial"/>
                <w:b/>
                <w:bCs/>
                <w:sz w:val="16"/>
                <w:szCs w:val="16"/>
              </w:rPr>
              <w:t>92</w:t>
            </w:r>
            <w:r>
              <w:rPr>
                <w:rFonts w:ascii="Arial Narrow" w:hAnsi="Arial Narrow" w:cs="Arial"/>
                <w:b/>
                <w:bCs/>
                <w:sz w:val="16"/>
                <w:szCs w:val="16"/>
                <w:lang w:val="en-US"/>
              </w:rPr>
              <w:t>0</w:t>
            </w:r>
          </w:p>
        </w:tc>
      </w:tr>
    </w:tbl>
    <w:p w:rsidR="00D57B73" w:rsidRPr="00404D75" w:rsidRDefault="00D57B73" w:rsidP="00D57B73">
      <w:pPr>
        <w:jc w:val="both"/>
        <w:rPr>
          <w:sz w:val="22"/>
          <w:szCs w:val="22"/>
        </w:rPr>
      </w:pPr>
    </w:p>
    <w:p w:rsidR="00BB71F0" w:rsidRDefault="00BB71F0">
      <w:pPr>
        <w:rPr>
          <w:bCs/>
          <w:sz w:val="22"/>
          <w:szCs w:val="22"/>
        </w:rPr>
      </w:pPr>
      <w:r>
        <w:rPr>
          <w:bCs/>
          <w:sz w:val="22"/>
          <w:szCs w:val="22"/>
        </w:rPr>
        <w:br w:type="page"/>
      </w:r>
    </w:p>
    <w:p w:rsidR="0023508C" w:rsidRPr="005B1BAC" w:rsidRDefault="0023508C" w:rsidP="0023508C">
      <w:pPr>
        <w:shd w:val="clear" w:color="auto" w:fill="595959"/>
        <w:jc w:val="both"/>
        <w:rPr>
          <w:rFonts w:ascii="Arial Narrow" w:hAnsi="Arial Narrow"/>
          <w:b/>
          <w:color w:val="FFFFFF"/>
          <w:sz w:val="26"/>
          <w:szCs w:val="22"/>
        </w:rPr>
      </w:pPr>
      <w:r w:rsidRPr="005B1BAC">
        <w:rPr>
          <w:rFonts w:ascii="Arial Narrow" w:hAnsi="Arial Narrow"/>
          <w:b/>
          <w:color w:val="FFFFFF"/>
          <w:sz w:val="26"/>
          <w:szCs w:val="22"/>
        </w:rPr>
        <w:lastRenderedPageBreak/>
        <w:t>6.</w:t>
      </w:r>
      <w:r w:rsidRPr="005B1BAC">
        <w:rPr>
          <w:rFonts w:ascii="Arial Narrow" w:hAnsi="Arial Narrow"/>
          <w:b/>
          <w:color w:val="FFFFFF"/>
          <w:sz w:val="26"/>
          <w:szCs w:val="22"/>
        </w:rPr>
        <w:tab/>
        <w:t>Κοινωνικός προϋπολογισμός</w:t>
      </w:r>
    </w:p>
    <w:p w:rsidR="0023508C" w:rsidRPr="005B1BAC" w:rsidRDefault="0023508C" w:rsidP="002C76E1">
      <w:pPr>
        <w:rPr>
          <w:sz w:val="22"/>
        </w:rPr>
      </w:pPr>
    </w:p>
    <w:p w:rsidR="00FF6C69" w:rsidRPr="00FF6C69" w:rsidRDefault="00FF6C69" w:rsidP="00FF6C69">
      <w:pPr>
        <w:jc w:val="both"/>
        <w:rPr>
          <w:sz w:val="22"/>
        </w:rPr>
      </w:pPr>
      <w:r w:rsidRPr="00FF6C69">
        <w:rPr>
          <w:sz w:val="22"/>
        </w:rPr>
        <w:t xml:space="preserve">Ο κοινωνικός προϋπολογισμός, για το 2018, συνεχίζει να χαρακτηρίζεται από την εφαρμογή της </w:t>
      </w:r>
      <w:r w:rsidRPr="00FF6C69">
        <w:rPr>
          <w:sz w:val="22"/>
        </w:rPr>
        <w:t>α</w:t>
      </w:r>
      <w:r w:rsidRPr="00FF6C69">
        <w:rPr>
          <w:sz w:val="22"/>
        </w:rPr>
        <w:t>σφαλιστικής μεταρρύθμισης που θεσμοθετήθηκε με τους νόμους 4336/15 και 4387/16 και από τις α</w:t>
      </w:r>
      <w:r w:rsidRPr="00FF6C69">
        <w:rPr>
          <w:sz w:val="22"/>
        </w:rPr>
        <w:t>λ</w:t>
      </w:r>
      <w:r w:rsidRPr="00FF6C69">
        <w:rPr>
          <w:sz w:val="22"/>
        </w:rPr>
        <w:t xml:space="preserve">λαγές που </w:t>
      </w:r>
      <w:r w:rsidR="00934943">
        <w:rPr>
          <w:sz w:val="22"/>
        </w:rPr>
        <w:t xml:space="preserve">αυτή </w:t>
      </w:r>
      <w:r w:rsidRPr="00FF6C69">
        <w:rPr>
          <w:sz w:val="22"/>
        </w:rPr>
        <w:t>επιφέρει.</w:t>
      </w:r>
    </w:p>
    <w:p w:rsidR="00FF6C69" w:rsidRPr="00FF6C69" w:rsidRDefault="00FF6C69" w:rsidP="00FF6C69">
      <w:pPr>
        <w:jc w:val="both"/>
        <w:rPr>
          <w:sz w:val="22"/>
        </w:rPr>
      </w:pPr>
    </w:p>
    <w:p w:rsidR="00FF6C69" w:rsidRPr="00FF6C69" w:rsidRDefault="00FF6C69" w:rsidP="00FF6C69">
      <w:pPr>
        <w:jc w:val="both"/>
        <w:rPr>
          <w:sz w:val="22"/>
        </w:rPr>
      </w:pPr>
      <w:r w:rsidRPr="00FF6C69">
        <w:rPr>
          <w:sz w:val="22"/>
        </w:rPr>
        <w:t>Παράλληλα εντείνονται οι προσπάθειες για την αποτελεσματικότερη άμβλυνση των κοινωνικών σ</w:t>
      </w:r>
      <w:r w:rsidRPr="00FF6C69">
        <w:rPr>
          <w:sz w:val="22"/>
        </w:rPr>
        <w:t>υ</w:t>
      </w:r>
      <w:r w:rsidRPr="00FF6C69">
        <w:rPr>
          <w:sz w:val="22"/>
        </w:rPr>
        <w:t xml:space="preserve">νεπειών από την τρέχουσα οικονομική κρίση στον τομέα της απασχόλησης και της ανάσχεσης της </w:t>
      </w:r>
      <w:r w:rsidRPr="00FF6C69">
        <w:rPr>
          <w:sz w:val="22"/>
        </w:rPr>
        <w:t>α</w:t>
      </w:r>
      <w:r w:rsidRPr="00FF6C69">
        <w:rPr>
          <w:sz w:val="22"/>
        </w:rPr>
        <w:t xml:space="preserve">νεργίας με βασικό άξονα τις πολιτικές που σχεδιάζονται και εφαρμόζονται από τον ΟΑΕΔ. </w:t>
      </w:r>
    </w:p>
    <w:p w:rsidR="00FF6C69" w:rsidRPr="00FF6C69" w:rsidRDefault="00FF6C69" w:rsidP="00FF6C69">
      <w:pPr>
        <w:jc w:val="both"/>
        <w:rPr>
          <w:i/>
          <w:iCs/>
          <w:sz w:val="22"/>
        </w:rPr>
      </w:pPr>
    </w:p>
    <w:p w:rsidR="00FF6C69" w:rsidRPr="00FF6C69" w:rsidRDefault="00FF6C69" w:rsidP="00FF6C69">
      <w:pPr>
        <w:jc w:val="both"/>
        <w:rPr>
          <w:sz w:val="22"/>
        </w:rPr>
      </w:pPr>
      <w:r w:rsidRPr="00FF6C69">
        <w:rPr>
          <w:sz w:val="22"/>
        </w:rPr>
        <w:t xml:space="preserve">Στον τομέα της υγείας οι προσπάθειες επικεντρώνονται στη συνέχιση των διαρθρωτικών δράσεων που έχουν ήδη δρομολογηθεί, προκειμένου να εξασφαλιστεί η συνεχιζόμενη βελτίωση των παρεχόμενων υπηρεσιών προς τους ασφαλισμένους και τους ανασφάλιστους πολίτες. </w:t>
      </w:r>
    </w:p>
    <w:p w:rsidR="00FF6C69" w:rsidRPr="00FF6C69" w:rsidRDefault="00FF6C69" w:rsidP="00FF6C69">
      <w:pPr>
        <w:jc w:val="both"/>
        <w:rPr>
          <w:i/>
          <w:iCs/>
          <w:sz w:val="22"/>
        </w:rPr>
      </w:pPr>
    </w:p>
    <w:p w:rsidR="00FF6C69" w:rsidRPr="00FF6C69" w:rsidRDefault="00FF6C69" w:rsidP="00FF6C69">
      <w:pPr>
        <w:jc w:val="both"/>
        <w:rPr>
          <w:sz w:val="22"/>
        </w:rPr>
      </w:pPr>
      <w:r w:rsidRPr="00FF6C69">
        <w:rPr>
          <w:sz w:val="22"/>
        </w:rPr>
        <w:t>Τέλος, εξασφαλίζεται η ομαλή ροή μεταφοράς των ασφαλιστικών εισφορών από τα ασφαλιστικά τ</w:t>
      </w:r>
      <w:r w:rsidRPr="00FF6C69">
        <w:rPr>
          <w:sz w:val="22"/>
        </w:rPr>
        <w:t>α</w:t>
      </w:r>
      <w:r w:rsidRPr="00FF6C69">
        <w:rPr>
          <w:sz w:val="22"/>
        </w:rPr>
        <w:t xml:space="preserve">μεία, κυρίως προς τον ΕΟΠΥΥ, γεγονός που στοχεύει στην κανονική εξυπηρέτηση των πληρωμών του φορέα για τις παρεχόμενες υπηρεσίες στους ασφαλισμένους του, τα δημόσια νοσοκομεία, αλλά και τους ιδιώτες παρόχους υπηρεσιών υγείας. </w:t>
      </w:r>
    </w:p>
    <w:p w:rsidR="00FF6C69" w:rsidRDefault="00FF6C69" w:rsidP="00FF6C69">
      <w:pPr>
        <w:jc w:val="both"/>
        <w:rPr>
          <w:sz w:val="22"/>
        </w:rPr>
      </w:pPr>
    </w:p>
    <w:p w:rsidR="00FF6C69" w:rsidRDefault="00FF6C69" w:rsidP="00FF6C69">
      <w:pPr>
        <w:jc w:val="both"/>
        <w:rPr>
          <w:sz w:val="22"/>
        </w:rPr>
      </w:pP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1649"/>
        <w:gridCol w:w="1721"/>
      </w:tblGrid>
      <w:tr w:rsidR="00FF6C69" w:rsidRPr="003E6D6E" w:rsidTr="00FF6C69">
        <w:trPr>
          <w:trHeight w:val="20"/>
          <w:jc w:val="center"/>
        </w:trPr>
        <w:tc>
          <w:tcPr>
            <w:tcW w:w="8484" w:type="dxa"/>
            <w:gridSpan w:val="3"/>
            <w:tcBorders>
              <w:bottom w:val="nil"/>
            </w:tcBorders>
            <w:shd w:val="clear" w:color="auto" w:fill="404040"/>
          </w:tcPr>
          <w:p w:rsidR="00FF6C69" w:rsidRPr="00164DB6" w:rsidRDefault="00164DB6" w:rsidP="00FF6C69">
            <w:pPr>
              <w:tabs>
                <w:tab w:val="left" w:pos="567"/>
                <w:tab w:val="num" w:pos="720"/>
              </w:tabs>
              <w:spacing w:before="120"/>
              <w:jc w:val="center"/>
              <w:rPr>
                <w:rFonts w:ascii="Arial Narrow" w:hAnsi="Arial Narrow"/>
                <w:b/>
                <w:color w:val="FFFFFF"/>
                <w:szCs w:val="16"/>
              </w:rPr>
            </w:pPr>
            <w:r w:rsidRPr="00164DB6">
              <w:rPr>
                <w:rFonts w:ascii="Arial Narrow" w:hAnsi="Arial Narrow"/>
                <w:b/>
                <w:color w:val="FFFFFF"/>
                <w:szCs w:val="16"/>
              </w:rPr>
              <w:t>Πίνακας 3.21</w:t>
            </w:r>
            <w:r w:rsidR="00FF6C69" w:rsidRPr="00164DB6">
              <w:rPr>
                <w:rFonts w:ascii="Arial Narrow" w:hAnsi="Arial Narrow"/>
                <w:b/>
                <w:color w:val="FFFFFF"/>
                <w:szCs w:val="16"/>
              </w:rPr>
              <w:t xml:space="preserve">  Ενοποιημένος κοινωνικός προϋπολογισμός</w:t>
            </w:r>
          </w:p>
          <w:p w:rsidR="00FF6C69" w:rsidRPr="003E6D6E" w:rsidRDefault="00FF6C69" w:rsidP="00FF6C69">
            <w:pPr>
              <w:tabs>
                <w:tab w:val="left" w:pos="567"/>
                <w:tab w:val="num" w:pos="720"/>
              </w:tabs>
              <w:spacing w:after="120"/>
              <w:jc w:val="center"/>
              <w:rPr>
                <w:rFonts w:ascii="Arial Narrow" w:hAnsi="Arial Narrow"/>
                <w:b/>
                <w:color w:val="FFFFFF"/>
                <w:sz w:val="22"/>
                <w:szCs w:val="16"/>
              </w:rPr>
            </w:pPr>
            <w:r w:rsidRPr="00164DB6">
              <w:rPr>
                <w:rFonts w:ascii="Arial Narrow" w:hAnsi="Arial Narrow"/>
                <w:b/>
                <w:color w:val="FFFFFF"/>
                <w:szCs w:val="16"/>
              </w:rPr>
              <w:t>(σε εκατ. ευρώ)</w:t>
            </w:r>
          </w:p>
        </w:tc>
      </w:tr>
      <w:tr w:rsidR="00FF6C69" w:rsidRPr="003E6D6E" w:rsidTr="00FF6C69">
        <w:trPr>
          <w:trHeight w:val="20"/>
          <w:jc w:val="center"/>
        </w:trPr>
        <w:tc>
          <w:tcPr>
            <w:tcW w:w="8484" w:type="dxa"/>
            <w:gridSpan w:val="3"/>
            <w:tcBorders>
              <w:top w:val="nil"/>
            </w:tcBorders>
          </w:tcPr>
          <w:p w:rsidR="00FF6C69" w:rsidRPr="003E6D6E" w:rsidRDefault="00FF6C69" w:rsidP="00FF6C69">
            <w:pPr>
              <w:tabs>
                <w:tab w:val="left" w:pos="567"/>
                <w:tab w:val="num" w:pos="720"/>
              </w:tabs>
              <w:jc w:val="center"/>
              <w:rPr>
                <w:rFonts w:ascii="Arial Narrow" w:hAnsi="Arial Narrow"/>
                <w:b/>
                <w:sz w:val="16"/>
                <w:szCs w:val="16"/>
              </w:rPr>
            </w:pPr>
          </w:p>
        </w:tc>
      </w:tr>
      <w:tr w:rsidR="00FF6C69" w:rsidRPr="003E6D6E" w:rsidTr="00FF6C69">
        <w:trPr>
          <w:trHeight w:val="20"/>
          <w:jc w:val="center"/>
        </w:trPr>
        <w:tc>
          <w:tcPr>
            <w:tcW w:w="5114" w:type="dxa"/>
            <w:tcBorders>
              <w:bottom w:val="single" w:sz="4" w:space="0" w:color="auto"/>
            </w:tcBorders>
          </w:tcPr>
          <w:p w:rsidR="00FF6C69" w:rsidRPr="003E6D6E" w:rsidRDefault="00FF6C69" w:rsidP="00FF6C69">
            <w:pPr>
              <w:tabs>
                <w:tab w:val="left" w:pos="567"/>
                <w:tab w:val="num" w:pos="720"/>
              </w:tabs>
              <w:spacing w:before="120" w:after="120"/>
              <w:jc w:val="center"/>
              <w:rPr>
                <w:rFonts w:ascii="Arial Narrow" w:hAnsi="Arial Narrow"/>
                <w:b/>
                <w:sz w:val="16"/>
                <w:szCs w:val="16"/>
              </w:rPr>
            </w:pPr>
          </w:p>
        </w:tc>
        <w:tc>
          <w:tcPr>
            <w:tcW w:w="1649" w:type="dxa"/>
            <w:tcBorders>
              <w:bottom w:val="single" w:sz="4" w:space="0" w:color="auto"/>
            </w:tcBorders>
          </w:tcPr>
          <w:p w:rsidR="00FF6C69" w:rsidRDefault="00FF6C69" w:rsidP="00FF6C69">
            <w:pPr>
              <w:tabs>
                <w:tab w:val="left" w:pos="567"/>
              </w:tabs>
              <w:spacing w:before="120"/>
              <w:jc w:val="center"/>
              <w:rPr>
                <w:rFonts w:ascii="Arial Narrow" w:hAnsi="Arial Narrow"/>
                <w:b/>
                <w:sz w:val="16"/>
                <w:szCs w:val="16"/>
              </w:rPr>
            </w:pPr>
            <w:r w:rsidRPr="003E6D6E">
              <w:rPr>
                <w:rFonts w:ascii="Arial Narrow" w:hAnsi="Arial Narrow"/>
                <w:b/>
                <w:sz w:val="16"/>
                <w:szCs w:val="16"/>
              </w:rPr>
              <w:t>201</w:t>
            </w:r>
            <w:r w:rsidR="00992F46">
              <w:rPr>
                <w:rFonts w:ascii="Arial Narrow" w:hAnsi="Arial Narrow"/>
                <w:b/>
                <w:sz w:val="16"/>
                <w:szCs w:val="16"/>
              </w:rPr>
              <w:t>7</w:t>
            </w:r>
          </w:p>
          <w:p w:rsidR="00FF6C69" w:rsidRPr="003E6D6E" w:rsidRDefault="00FF6C69" w:rsidP="00FF6C69">
            <w:pPr>
              <w:tabs>
                <w:tab w:val="left" w:pos="567"/>
              </w:tabs>
              <w:spacing w:after="120"/>
              <w:jc w:val="center"/>
              <w:rPr>
                <w:rFonts w:ascii="Arial Narrow" w:hAnsi="Arial Narrow"/>
                <w:b/>
                <w:sz w:val="16"/>
                <w:szCs w:val="16"/>
              </w:rPr>
            </w:pPr>
            <w:r>
              <w:rPr>
                <w:rFonts w:ascii="Arial Narrow" w:hAnsi="Arial Narrow"/>
                <w:b/>
                <w:sz w:val="16"/>
                <w:szCs w:val="16"/>
              </w:rPr>
              <w:t>Εκτιμήσεις</w:t>
            </w:r>
          </w:p>
        </w:tc>
        <w:tc>
          <w:tcPr>
            <w:tcW w:w="1721" w:type="dxa"/>
            <w:tcBorders>
              <w:bottom w:val="single" w:sz="4" w:space="0" w:color="auto"/>
            </w:tcBorders>
          </w:tcPr>
          <w:p w:rsidR="00FF6C69" w:rsidRDefault="00FF6C69" w:rsidP="00FF6C69">
            <w:pPr>
              <w:tabs>
                <w:tab w:val="left" w:pos="567"/>
              </w:tabs>
              <w:spacing w:before="120"/>
              <w:jc w:val="center"/>
              <w:rPr>
                <w:rFonts w:ascii="Arial Narrow" w:hAnsi="Arial Narrow"/>
                <w:b/>
                <w:sz w:val="16"/>
                <w:szCs w:val="16"/>
              </w:rPr>
            </w:pPr>
            <w:r w:rsidRPr="003E6D6E">
              <w:rPr>
                <w:rFonts w:ascii="Arial Narrow" w:hAnsi="Arial Narrow"/>
                <w:b/>
                <w:sz w:val="16"/>
                <w:szCs w:val="16"/>
              </w:rPr>
              <w:t>201</w:t>
            </w:r>
            <w:r w:rsidR="00992F46">
              <w:rPr>
                <w:rFonts w:ascii="Arial Narrow" w:hAnsi="Arial Narrow"/>
                <w:b/>
                <w:sz w:val="16"/>
                <w:szCs w:val="16"/>
              </w:rPr>
              <w:t>8</w:t>
            </w:r>
          </w:p>
          <w:p w:rsidR="00FF6C69" w:rsidRPr="003E6D6E" w:rsidRDefault="00FF6C69" w:rsidP="00FF6C69">
            <w:pPr>
              <w:tabs>
                <w:tab w:val="left" w:pos="567"/>
              </w:tabs>
              <w:spacing w:after="120"/>
              <w:jc w:val="center"/>
              <w:rPr>
                <w:rFonts w:ascii="Arial Narrow" w:hAnsi="Arial Narrow"/>
                <w:b/>
                <w:sz w:val="16"/>
                <w:szCs w:val="16"/>
              </w:rPr>
            </w:pPr>
            <w:r>
              <w:rPr>
                <w:rFonts w:ascii="Arial Narrow" w:hAnsi="Arial Narrow"/>
                <w:b/>
                <w:sz w:val="16"/>
                <w:szCs w:val="16"/>
              </w:rPr>
              <w:t>Προβλέψεις</w:t>
            </w:r>
          </w:p>
        </w:tc>
      </w:tr>
      <w:tr w:rsidR="00CC4101" w:rsidRPr="003E6D6E" w:rsidTr="00CC4101">
        <w:trPr>
          <w:trHeight w:val="20"/>
          <w:jc w:val="center"/>
        </w:trPr>
        <w:tc>
          <w:tcPr>
            <w:tcW w:w="5114" w:type="dxa"/>
            <w:tcBorders>
              <w:top w:val="nil"/>
              <w:bottom w:val="nil"/>
              <w:right w:val="nil"/>
            </w:tcBorders>
            <w:shd w:val="clear" w:color="auto" w:fill="D9D9D9" w:themeFill="background1" w:themeFillShade="D9"/>
          </w:tcPr>
          <w:p w:rsidR="00CC4101" w:rsidRPr="003E6D6E" w:rsidRDefault="00CC4101" w:rsidP="00FF6C69">
            <w:pPr>
              <w:tabs>
                <w:tab w:val="left" w:pos="567"/>
                <w:tab w:val="num" w:pos="720"/>
              </w:tabs>
              <w:spacing w:before="120" w:after="120"/>
              <w:jc w:val="both"/>
              <w:rPr>
                <w:rFonts w:ascii="Arial Narrow" w:hAnsi="Arial Narrow"/>
                <w:b/>
                <w:sz w:val="16"/>
                <w:szCs w:val="16"/>
              </w:rPr>
            </w:pPr>
            <w:r w:rsidRPr="003E6D6E">
              <w:rPr>
                <w:rFonts w:ascii="Arial Narrow" w:hAnsi="Arial Narrow"/>
                <w:b/>
                <w:sz w:val="16"/>
                <w:szCs w:val="16"/>
              </w:rPr>
              <w:t>Έσοδα</w:t>
            </w:r>
          </w:p>
        </w:tc>
        <w:tc>
          <w:tcPr>
            <w:tcW w:w="1649" w:type="dxa"/>
            <w:tcBorders>
              <w:top w:val="nil"/>
              <w:left w:val="nil"/>
              <w:bottom w:val="nil"/>
              <w:right w:val="nil"/>
            </w:tcBorders>
            <w:shd w:val="clear" w:color="auto" w:fill="D9D9D9" w:themeFill="background1" w:themeFillShade="D9"/>
            <w:vAlign w:val="center"/>
          </w:tcPr>
          <w:p w:rsidR="00CC4101" w:rsidRDefault="00CC4101" w:rsidP="00CC4101">
            <w:pPr>
              <w:tabs>
                <w:tab w:val="decimal" w:pos="1006"/>
              </w:tabs>
              <w:jc w:val="both"/>
              <w:rPr>
                <w:rFonts w:ascii="Arial Narrow" w:hAnsi="Arial Narrow"/>
                <w:b/>
                <w:bCs/>
                <w:sz w:val="16"/>
                <w:szCs w:val="16"/>
              </w:rPr>
            </w:pPr>
            <w:r>
              <w:rPr>
                <w:rFonts w:ascii="Arial Narrow" w:hAnsi="Arial Narrow"/>
                <w:b/>
                <w:bCs/>
                <w:sz w:val="16"/>
                <w:szCs w:val="16"/>
              </w:rPr>
              <w:t>41.235</w:t>
            </w:r>
          </w:p>
        </w:tc>
        <w:tc>
          <w:tcPr>
            <w:tcW w:w="1721" w:type="dxa"/>
            <w:tcBorders>
              <w:top w:val="nil"/>
              <w:left w:val="nil"/>
              <w:bottom w:val="nil"/>
            </w:tcBorders>
            <w:shd w:val="clear" w:color="auto" w:fill="D9D9D9" w:themeFill="background1" w:themeFillShade="D9"/>
            <w:vAlign w:val="center"/>
          </w:tcPr>
          <w:p w:rsidR="00CC4101" w:rsidRDefault="00CC4101" w:rsidP="00CC4101">
            <w:pPr>
              <w:tabs>
                <w:tab w:val="decimal" w:pos="1006"/>
              </w:tabs>
              <w:jc w:val="both"/>
              <w:rPr>
                <w:rFonts w:ascii="Arial Narrow" w:hAnsi="Arial Narrow"/>
                <w:b/>
                <w:bCs/>
                <w:sz w:val="16"/>
                <w:szCs w:val="16"/>
              </w:rPr>
            </w:pPr>
            <w:r>
              <w:rPr>
                <w:rFonts w:ascii="Arial Narrow" w:hAnsi="Arial Narrow"/>
                <w:b/>
                <w:bCs/>
                <w:sz w:val="16"/>
                <w:szCs w:val="16"/>
              </w:rPr>
              <w:t>40.906</w:t>
            </w:r>
          </w:p>
        </w:tc>
      </w:tr>
      <w:tr w:rsidR="00CC4101" w:rsidRPr="003E6D6E" w:rsidTr="00CC4101">
        <w:trPr>
          <w:trHeight w:val="20"/>
          <w:jc w:val="center"/>
        </w:trPr>
        <w:tc>
          <w:tcPr>
            <w:tcW w:w="5114" w:type="dxa"/>
            <w:tcBorders>
              <w:top w:val="nil"/>
              <w:bottom w:val="nil"/>
              <w:right w:val="nil"/>
            </w:tcBorders>
          </w:tcPr>
          <w:p w:rsidR="00CC4101" w:rsidRPr="003E6D6E" w:rsidRDefault="00CC4101" w:rsidP="00FF6C69">
            <w:pPr>
              <w:tabs>
                <w:tab w:val="left" w:pos="567"/>
                <w:tab w:val="num" w:pos="720"/>
              </w:tabs>
              <w:jc w:val="both"/>
              <w:rPr>
                <w:rFonts w:ascii="Arial Narrow" w:hAnsi="Arial Narrow"/>
                <w:sz w:val="16"/>
                <w:szCs w:val="16"/>
              </w:rPr>
            </w:pPr>
            <w:r w:rsidRPr="003E6D6E">
              <w:rPr>
                <w:rFonts w:ascii="Arial Narrow" w:hAnsi="Arial Narrow"/>
                <w:sz w:val="16"/>
                <w:szCs w:val="16"/>
              </w:rPr>
              <w:t>Ασφαλιστικές εισφορές</w:t>
            </w:r>
          </w:p>
        </w:tc>
        <w:tc>
          <w:tcPr>
            <w:tcW w:w="1649" w:type="dxa"/>
            <w:tcBorders>
              <w:top w:val="nil"/>
              <w:left w:val="nil"/>
              <w:bottom w:val="nil"/>
              <w:right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20.679</w:t>
            </w:r>
          </w:p>
        </w:tc>
        <w:tc>
          <w:tcPr>
            <w:tcW w:w="1721" w:type="dxa"/>
            <w:tcBorders>
              <w:top w:val="nil"/>
              <w:left w:val="nil"/>
              <w:bottom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21.041</w:t>
            </w:r>
          </w:p>
        </w:tc>
      </w:tr>
      <w:tr w:rsidR="00CC4101" w:rsidRPr="003E6D6E" w:rsidTr="00CC4101">
        <w:trPr>
          <w:trHeight w:val="20"/>
          <w:jc w:val="center"/>
        </w:trPr>
        <w:tc>
          <w:tcPr>
            <w:tcW w:w="5114" w:type="dxa"/>
            <w:tcBorders>
              <w:top w:val="nil"/>
              <w:bottom w:val="nil"/>
              <w:right w:val="nil"/>
            </w:tcBorders>
          </w:tcPr>
          <w:p w:rsidR="00CC4101" w:rsidRPr="003E6D6E" w:rsidRDefault="00CC4101" w:rsidP="00FF6C69">
            <w:pPr>
              <w:tabs>
                <w:tab w:val="left" w:pos="567"/>
                <w:tab w:val="num" w:pos="720"/>
              </w:tabs>
              <w:jc w:val="both"/>
              <w:rPr>
                <w:rFonts w:ascii="Arial Narrow" w:hAnsi="Arial Narrow"/>
                <w:sz w:val="16"/>
                <w:szCs w:val="16"/>
              </w:rPr>
            </w:pPr>
            <w:r w:rsidRPr="003E6D6E">
              <w:rPr>
                <w:rFonts w:ascii="Arial Narrow" w:hAnsi="Arial Narrow"/>
                <w:sz w:val="16"/>
                <w:szCs w:val="16"/>
              </w:rPr>
              <w:t>Έσοδα από τόκους</w:t>
            </w:r>
          </w:p>
        </w:tc>
        <w:tc>
          <w:tcPr>
            <w:tcW w:w="1649" w:type="dxa"/>
            <w:tcBorders>
              <w:top w:val="nil"/>
              <w:left w:val="nil"/>
              <w:bottom w:val="nil"/>
              <w:right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299</w:t>
            </w:r>
          </w:p>
        </w:tc>
        <w:tc>
          <w:tcPr>
            <w:tcW w:w="1721" w:type="dxa"/>
            <w:tcBorders>
              <w:top w:val="nil"/>
              <w:left w:val="nil"/>
              <w:bottom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283</w:t>
            </w:r>
          </w:p>
        </w:tc>
      </w:tr>
      <w:tr w:rsidR="00CC4101" w:rsidRPr="003E6D6E" w:rsidTr="00CC4101">
        <w:trPr>
          <w:trHeight w:val="20"/>
          <w:jc w:val="center"/>
        </w:trPr>
        <w:tc>
          <w:tcPr>
            <w:tcW w:w="5114" w:type="dxa"/>
            <w:tcBorders>
              <w:top w:val="nil"/>
              <w:bottom w:val="nil"/>
              <w:right w:val="nil"/>
            </w:tcBorders>
          </w:tcPr>
          <w:p w:rsidR="00CC4101" w:rsidRPr="003E6D6E" w:rsidRDefault="00CC4101" w:rsidP="00FF6C69">
            <w:pPr>
              <w:tabs>
                <w:tab w:val="left" w:pos="567"/>
                <w:tab w:val="num" w:pos="720"/>
              </w:tabs>
              <w:jc w:val="both"/>
              <w:rPr>
                <w:rFonts w:ascii="Arial Narrow" w:hAnsi="Arial Narrow"/>
                <w:sz w:val="16"/>
                <w:szCs w:val="16"/>
              </w:rPr>
            </w:pPr>
            <w:r w:rsidRPr="003E6D6E">
              <w:rPr>
                <w:rFonts w:ascii="Arial Narrow" w:hAnsi="Arial Narrow"/>
                <w:sz w:val="16"/>
                <w:szCs w:val="16"/>
              </w:rPr>
              <w:t xml:space="preserve">Λοιπά έσοδα </w:t>
            </w:r>
          </w:p>
        </w:tc>
        <w:tc>
          <w:tcPr>
            <w:tcW w:w="1649" w:type="dxa"/>
            <w:tcBorders>
              <w:top w:val="nil"/>
              <w:left w:val="nil"/>
              <w:bottom w:val="nil"/>
              <w:right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1.795</w:t>
            </w:r>
          </w:p>
        </w:tc>
        <w:tc>
          <w:tcPr>
            <w:tcW w:w="1721" w:type="dxa"/>
            <w:tcBorders>
              <w:top w:val="nil"/>
              <w:left w:val="nil"/>
              <w:bottom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1.753</w:t>
            </w:r>
          </w:p>
        </w:tc>
      </w:tr>
      <w:tr w:rsidR="00CC4101" w:rsidRPr="003E6D6E" w:rsidTr="00CC4101">
        <w:trPr>
          <w:trHeight w:val="20"/>
          <w:jc w:val="center"/>
        </w:trPr>
        <w:tc>
          <w:tcPr>
            <w:tcW w:w="5114" w:type="dxa"/>
            <w:tcBorders>
              <w:top w:val="nil"/>
              <w:bottom w:val="nil"/>
              <w:right w:val="nil"/>
            </w:tcBorders>
          </w:tcPr>
          <w:p w:rsidR="00CC4101" w:rsidRPr="003E6D6E" w:rsidRDefault="00CC4101" w:rsidP="00FF6C69">
            <w:pPr>
              <w:tabs>
                <w:tab w:val="left" w:pos="567"/>
                <w:tab w:val="num" w:pos="720"/>
              </w:tabs>
              <w:jc w:val="both"/>
              <w:rPr>
                <w:rFonts w:ascii="Arial Narrow" w:hAnsi="Arial Narrow"/>
                <w:sz w:val="16"/>
                <w:szCs w:val="16"/>
                <w:vertAlign w:val="superscript"/>
              </w:rPr>
            </w:pPr>
            <w:r w:rsidRPr="003E6D6E">
              <w:rPr>
                <w:rFonts w:ascii="Arial Narrow" w:hAnsi="Arial Narrow"/>
                <w:sz w:val="16"/>
                <w:szCs w:val="16"/>
              </w:rPr>
              <w:t>Μεταβιβάσεις από Τακτικό Προϋπολογισμό</w:t>
            </w:r>
            <w:r>
              <w:rPr>
                <w:rFonts w:ascii="Arial Narrow" w:hAnsi="Arial Narrow"/>
                <w:sz w:val="16"/>
                <w:szCs w:val="16"/>
                <w:vertAlign w:val="superscript"/>
              </w:rPr>
              <w:t xml:space="preserve"> </w:t>
            </w:r>
          </w:p>
        </w:tc>
        <w:tc>
          <w:tcPr>
            <w:tcW w:w="1649" w:type="dxa"/>
            <w:tcBorders>
              <w:top w:val="nil"/>
              <w:left w:val="nil"/>
              <w:bottom w:val="nil"/>
              <w:right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17.911</w:t>
            </w:r>
          </w:p>
        </w:tc>
        <w:tc>
          <w:tcPr>
            <w:tcW w:w="1721" w:type="dxa"/>
            <w:tcBorders>
              <w:top w:val="nil"/>
              <w:left w:val="nil"/>
              <w:bottom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17.273</w:t>
            </w:r>
          </w:p>
        </w:tc>
      </w:tr>
      <w:tr w:rsidR="00CC4101" w:rsidRPr="003E6D6E" w:rsidTr="00CC4101">
        <w:trPr>
          <w:trHeight w:val="20"/>
          <w:jc w:val="center"/>
        </w:trPr>
        <w:tc>
          <w:tcPr>
            <w:tcW w:w="5114" w:type="dxa"/>
            <w:tcBorders>
              <w:top w:val="nil"/>
              <w:bottom w:val="nil"/>
              <w:right w:val="nil"/>
            </w:tcBorders>
          </w:tcPr>
          <w:p w:rsidR="00CC4101" w:rsidRPr="003E6D6E" w:rsidRDefault="00CC4101" w:rsidP="00FF6C69">
            <w:pPr>
              <w:tabs>
                <w:tab w:val="left" w:pos="567"/>
                <w:tab w:val="num" w:pos="720"/>
              </w:tabs>
              <w:jc w:val="both"/>
              <w:rPr>
                <w:rFonts w:ascii="Arial Narrow" w:hAnsi="Arial Narrow"/>
                <w:sz w:val="16"/>
                <w:szCs w:val="16"/>
              </w:rPr>
            </w:pPr>
            <w:r w:rsidRPr="003E6D6E">
              <w:rPr>
                <w:rFonts w:ascii="Arial Narrow" w:hAnsi="Arial Narrow"/>
                <w:sz w:val="16"/>
                <w:szCs w:val="16"/>
              </w:rPr>
              <w:t>Μεταβιβάσεις από ΠΔΕ</w:t>
            </w:r>
          </w:p>
        </w:tc>
        <w:tc>
          <w:tcPr>
            <w:tcW w:w="1649" w:type="dxa"/>
            <w:tcBorders>
              <w:top w:val="nil"/>
              <w:left w:val="nil"/>
              <w:bottom w:val="nil"/>
              <w:right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156</w:t>
            </w:r>
          </w:p>
        </w:tc>
        <w:tc>
          <w:tcPr>
            <w:tcW w:w="1721" w:type="dxa"/>
            <w:tcBorders>
              <w:top w:val="nil"/>
              <w:left w:val="nil"/>
              <w:bottom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161</w:t>
            </w:r>
          </w:p>
        </w:tc>
      </w:tr>
      <w:tr w:rsidR="00CC4101" w:rsidRPr="003E6D6E" w:rsidTr="00CC4101">
        <w:trPr>
          <w:trHeight w:val="20"/>
          <w:jc w:val="center"/>
        </w:trPr>
        <w:tc>
          <w:tcPr>
            <w:tcW w:w="5114" w:type="dxa"/>
            <w:tcBorders>
              <w:top w:val="nil"/>
              <w:bottom w:val="nil"/>
              <w:right w:val="nil"/>
            </w:tcBorders>
          </w:tcPr>
          <w:p w:rsidR="00CC4101" w:rsidRPr="003E6D6E" w:rsidRDefault="00CC4101" w:rsidP="00FF6C69">
            <w:pPr>
              <w:tabs>
                <w:tab w:val="left" w:pos="567"/>
                <w:tab w:val="num" w:pos="720"/>
              </w:tabs>
              <w:jc w:val="both"/>
              <w:rPr>
                <w:rFonts w:ascii="Arial Narrow" w:hAnsi="Arial Narrow"/>
                <w:sz w:val="16"/>
                <w:szCs w:val="16"/>
              </w:rPr>
            </w:pPr>
            <w:r w:rsidRPr="003E6D6E">
              <w:rPr>
                <w:rFonts w:ascii="Arial Narrow" w:hAnsi="Arial Narrow"/>
                <w:sz w:val="16"/>
                <w:szCs w:val="16"/>
              </w:rPr>
              <w:t>Μεταβιβάσεις από άλλους φορείς Γενικής Κυβέρνησης</w:t>
            </w:r>
          </w:p>
        </w:tc>
        <w:tc>
          <w:tcPr>
            <w:tcW w:w="1649" w:type="dxa"/>
            <w:tcBorders>
              <w:top w:val="nil"/>
              <w:left w:val="nil"/>
              <w:bottom w:val="nil"/>
              <w:right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395</w:t>
            </w:r>
          </w:p>
        </w:tc>
        <w:tc>
          <w:tcPr>
            <w:tcW w:w="1721" w:type="dxa"/>
            <w:tcBorders>
              <w:top w:val="nil"/>
              <w:left w:val="nil"/>
              <w:bottom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395</w:t>
            </w:r>
          </w:p>
        </w:tc>
      </w:tr>
      <w:tr w:rsidR="00CC4101" w:rsidRPr="003E6D6E" w:rsidTr="00CC4101">
        <w:trPr>
          <w:trHeight w:val="20"/>
          <w:jc w:val="center"/>
        </w:trPr>
        <w:tc>
          <w:tcPr>
            <w:tcW w:w="5114" w:type="dxa"/>
            <w:tcBorders>
              <w:top w:val="nil"/>
              <w:bottom w:val="nil"/>
              <w:right w:val="nil"/>
            </w:tcBorders>
            <w:shd w:val="clear" w:color="auto" w:fill="D9D9D9" w:themeFill="background1" w:themeFillShade="D9"/>
          </w:tcPr>
          <w:p w:rsidR="00CC4101" w:rsidRPr="003E6D6E" w:rsidRDefault="00CC4101" w:rsidP="00FF6C69">
            <w:pPr>
              <w:tabs>
                <w:tab w:val="left" w:pos="567"/>
                <w:tab w:val="num" w:pos="720"/>
              </w:tabs>
              <w:spacing w:before="120" w:after="120"/>
              <w:jc w:val="both"/>
              <w:rPr>
                <w:rFonts w:ascii="Arial Narrow" w:hAnsi="Arial Narrow"/>
                <w:b/>
                <w:sz w:val="16"/>
                <w:szCs w:val="16"/>
              </w:rPr>
            </w:pPr>
            <w:r w:rsidRPr="003E6D6E">
              <w:rPr>
                <w:rFonts w:ascii="Arial Narrow" w:hAnsi="Arial Narrow"/>
                <w:b/>
                <w:sz w:val="16"/>
                <w:szCs w:val="16"/>
              </w:rPr>
              <w:t>Έξοδα</w:t>
            </w:r>
          </w:p>
        </w:tc>
        <w:tc>
          <w:tcPr>
            <w:tcW w:w="1649" w:type="dxa"/>
            <w:tcBorders>
              <w:top w:val="nil"/>
              <w:left w:val="nil"/>
              <w:bottom w:val="nil"/>
              <w:right w:val="nil"/>
            </w:tcBorders>
            <w:shd w:val="clear" w:color="auto" w:fill="D9D9D9" w:themeFill="background1" w:themeFillShade="D9"/>
            <w:vAlign w:val="center"/>
          </w:tcPr>
          <w:p w:rsidR="00CC4101" w:rsidRDefault="00CC4101" w:rsidP="00CC4101">
            <w:pPr>
              <w:tabs>
                <w:tab w:val="decimal" w:pos="1006"/>
              </w:tabs>
              <w:jc w:val="both"/>
              <w:rPr>
                <w:rFonts w:ascii="Arial Narrow" w:hAnsi="Arial Narrow"/>
                <w:b/>
                <w:bCs/>
                <w:sz w:val="16"/>
                <w:szCs w:val="16"/>
              </w:rPr>
            </w:pPr>
            <w:r>
              <w:rPr>
                <w:rFonts w:ascii="Arial Narrow" w:hAnsi="Arial Narrow"/>
                <w:b/>
                <w:bCs/>
                <w:sz w:val="16"/>
                <w:szCs w:val="16"/>
              </w:rPr>
              <w:t>39.654</w:t>
            </w:r>
          </w:p>
        </w:tc>
        <w:tc>
          <w:tcPr>
            <w:tcW w:w="1721" w:type="dxa"/>
            <w:tcBorders>
              <w:top w:val="nil"/>
              <w:left w:val="nil"/>
              <w:bottom w:val="nil"/>
            </w:tcBorders>
            <w:shd w:val="clear" w:color="auto" w:fill="D9D9D9" w:themeFill="background1" w:themeFillShade="D9"/>
            <w:vAlign w:val="center"/>
          </w:tcPr>
          <w:p w:rsidR="00CC4101" w:rsidRDefault="00CC4101" w:rsidP="00CC4101">
            <w:pPr>
              <w:tabs>
                <w:tab w:val="decimal" w:pos="1006"/>
              </w:tabs>
              <w:jc w:val="both"/>
              <w:rPr>
                <w:rFonts w:ascii="Arial Narrow" w:hAnsi="Arial Narrow"/>
                <w:b/>
                <w:bCs/>
                <w:sz w:val="16"/>
                <w:szCs w:val="16"/>
              </w:rPr>
            </w:pPr>
            <w:r>
              <w:rPr>
                <w:rFonts w:ascii="Arial Narrow" w:hAnsi="Arial Narrow"/>
                <w:b/>
                <w:bCs/>
                <w:sz w:val="16"/>
                <w:szCs w:val="16"/>
              </w:rPr>
              <w:t>39.411</w:t>
            </w:r>
          </w:p>
        </w:tc>
      </w:tr>
      <w:tr w:rsidR="00CC4101" w:rsidRPr="003E6D6E" w:rsidTr="00CC4101">
        <w:trPr>
          <w:trHeight w:val="20"/>
          <w:jc w:val="center"/>
        </w:trPr>
        <w:tc>
          <w:tcPr>
            <w:tcW w:w="5114" w:type="dxa"/>
            <w:tcBorders>
              <w:top w:val="nil"/>
              <w:bottom w:val="nil"/>
              <w:right w:val="nil"/>
            </w:tcBorders>
            <w:vAlign w:val="bottom"/>
          </w:tcPr>
          <w:p w:rsidR="00CC4101" w:rsidRPr="003E6D6E" w:rsidRDefault="00CC4101" w:rsidP="00FF6C69">
            <w:pPr>
              <w:tabs>
                <w:tab w:val="left" w:pos="567"/>
              </w:tabs>
              <w:jc w:val="both"/>
              <w:rPr>
                <w:rFonts w:ascii="Arial Narrow" w:hAnsi="Arial Narrow" w:cs="Arial"/>
                <w:color w:val="000000"/>
                <w:sz w:val="16"/>
                <w:szCs w:val="16"/>
              </w:rPr>
            </w:pPr>
            <w:r w:rsidRPr="003E6D6E">
              <w:rPr>
                <w:rFonts w:ascii="Arial Narrow" w:hAnsi="Arial Narrow" w:cs="Arial"/>
                <w:color w:val="000000"/>
                <w:sz w:val="16"/>
                <w:szCs w:val="16"/>
              </w:rPr>
              <w:t>Αμοιβές προσωπικού</w:t>
            </w:r>
          </w:p>
        </w:tc>
        <w:tc>
          <w:tcPr>
            <w:tcW w:w="1649" w:type="dxa"/>
            <w:tcBorders>
              <w:top w:val="nil"/>
              <w:left w:val="nil"/>
              <w:bottom w:val="nil"/>
              <w:right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866</w:t>
            </w:r>
          </w:p>
        </w:tc>
        <w:tc>
          <w:tcPr>
            <w:tcW w:w="1721" w:type="dxa"/>
            <w:tcBorders>
              <w:top w:val="nil"/>
              <w:left w:val="nil"/>
              <w:bottom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940</w:t>
            </w:r>
          </w:p>
        </w:tc>
      </w:tr>
      <w:tr w:rsidR="00CC4101" w:rsidRPr="003E6D6E" w:rsidTr="00CC4101">
        <w:trPr>
          <w:trHeight w:val="20"/>
          <w:jc w:val="center"/>
        </w:trPr>
        <w:tc>
          <w:tcPr>
            <w:tcW w:w="5114" w:type="dxa"/>
            <w:tcBorders>
              <w:top w:val="nil"/>
              <w:bottom w:val="nil"/>
              <w:right w:val="nil"/>
            </w:tcBorders>
            <w:vAlign w:val="bottom"/>
          </w:tcPr>
          <w:p w:rsidR="00CC4101" w:rsidRPr="0027277C" w:rsidRDefault="00CC4101" w:rsidP="00FF6C69">
            <w:pPr>
              <w:tabs>
                <w:tab w:val="left" w:pos="567"/>
              </w:tabs>
              <w:jc w:val="both"/>
              <w:rPr>
                <w:rFonts w:ascii="Arial Narrow" w:hAnsi="Arial Narrow" w:cs="Arial"/>
                <w:i/>
                <w:color w:val="000000"/>
                <w:sz w:val="16"/>
                <w:szCs w:val="16"/>
                <w:vertAlign w:val="superscript"/>
              </w:rPr>
            </w:pPr>
            <w:r w:rsidRPr="003E6D6E">
              <w:rPr>
                <w:rFonts w:ascii="Arial Narrow" w:hAnsi="Arial Narrow" w:cs="Arial"/>
                <w:color w:val="000000"/>
                <w:sz w:val="16"/>
                <w:szCs w:val="16"/>
              </w:rPr>
              <w:t>Συντάξεις</w:t>
            </w:r>
            <w:r w:rsidR="0027277C">
              <w:rPr>
                <w:rFonts w:ascii="Arial Narrow" w:hAnsi="Arial Narrow" w:cs="Arial"/>
                <w:color w:val="000000"/>
                <w:sz w:val="16"/>
                <w:szCs w:val="16"/>
                <w:vertAlign w:val="superscript"/>
              </w:rPr>
              <w:t>(5)</w:t>
            </w:r>
          </w:p>
        </w:tc>
        <w:tc>
          <w:tcPr>
            <w:tcW w:w="1649" w:type="dxa"/>
            <w:tcBorders>
              <w:top w:val="nil"/>
              <w:left w:val="nil"/>
              <w:bottom w:val="nil"/>
              <w:right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29.004</w:t>
            </w:r>
          </w:p>
        </w:tc>
        <w:tc>
          <w:tcPr>
            <w:tcW w:w="1721" w:type="dxa"/>
            <w:tcBorders>
              <w:top w:val="nil"/>
              <w:left w:val="nil"/>
              <w:bottom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28.853</w:t>
            </w:r>
          </w:p>
        </w:tc>
      </w:tr>
      <w:tr w:rsidR="00CC4101" w:rsidRPr="003E6D6E" w:rsidTr="00CC4101">
        <w:trPr>
          <w:trHeight w:val="20"/>
          <w:jc w:val="center"/>
        </w:trPr>
        <w:tc>
          <w:tcPr>
            <w:tcW w:w="5114" w:type="dxa"/>
            <w:tcBorders>
              <w:top w:val="nil"/>
              <w:bottom w:val="nil"/>
              <w:right w:val="nil"/>
            </w:tcBorders>
            <w:vAlign w:val="bottom"/>
          </w:tcPr>
          <w:p w:rsidR="00CC4101" w:rsidRPr="003E6D6E" w:rsidRDefault="00CC4101" w:rsidP="00FF6C69">
            <w:pPr>
              <w:tabs>
                <w:tab w:val="left" w:pos="567"/>
              </w:tabs>
              <w:jc w:val="both"/>
              <w:rPr>
                <w:rFonts w:ascii="Arial Narrow" w:hAnsi="Arial Narrow" w:cs="Arial"/>
                <w:color w:val="000000"/>
                <w:sz w:val="16"/>
                <w:szCs w:val="16"/>
              </w:rPr>
            </w:pPr>
            <w:r w:rsidRPr="003E6D6E">
              <w:rPr>
                <w:rFonts w:ascii="Arial Narrow" w:hAnsi="Arial Narrow" w:cs="Arial"/>
                <w:color w:val="000000"/>
                <w:sz w:val="16"/>
                <w:szCs w:val="16"/>
              </w:rPr>
              <w:t>Λοιπές μεταβιβάσεις</w:t>
            </w:r>
            <w:r>
              <w:rPr>
                <w:rFonts w:ascii="Arial Narrow" w:hAnsi="Arial Narrow" w:cs="Arial"/>
                <w:color w:val="000000"/>
                <w:sz w:val="16"/>
                <w:szCs w:val="16"/>
              </w:rPr>
              <w:t xml:space="preserve"> σε τρίτους</w:t>
            </w:r>
            <w:r w:rsidRPr="001A4A6C">
              <w:rPr>
                <w:rFonts w:ascii="Arial Narrow" w:hAnsi="Arial Narrow" w:cs="Arial"/>
                <w:color w:val="000000"/>
                <w:sz w:val="16"/>
                <w:szCs w:val="16"/>
                <w:vertAlign w:val="superscript"/>
              </w:rPr>
              <w:t>(2)</w:t>
            </w:r>
          </w:p>
        </w:tc>
        <w:tc>
          <w:tcPr>
            <w:tcW w:w="1649" w:type="dxa"/>
            <w:tcBorders>
              <w:top w:val="nil"/>
              <w:left w:val="nil"/>
              <w:bottom w:val="nil"/>
              <w:right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474</w:t>
            </w:r>
          </w:p>
        </w:tc>
        <w:tc>
          <w:tcPr>
            <w:tcW w:w="1721" w:type="dxa"/>
            <w:tcBorders>
              <w:top w:val="nil"/>
              <w:left w:val="nil"/>
              <w:bottom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563</w:t>
            </w:r>
          </w:p>
        </w:tc>
      </w:tr>
      <w:tr w:rsidR="00CC4101" w:rsidRPr="005D0895" w:rsidTr="00CC4101">
        <w:trPr>
          <w:trHeight w:val="20"/>
          <w:jc w:val="center"/>
        </w:trPr>
        <w:tc>
          <w:tcPr>
            <w:tcW w:w="5114" w:type="dxa"/>
            <w:tcBorders>
              <w:top w:val="nil"/>
              <w:bottom w:val="nil"/>
              <w:right w:val="nil"/>
            </w:tcBorders>
            <w:vAlign w:val="bottom"/>
          </w:tcPr>
          <w:p w:rsidR="00CC4101" w:rsidRPr="005D0895" w:rsidRDefault="00CC4101" w:rsidP="00FF6C69">
            <w:pPr>
              <w:tabs>
                <w:tab w:val="left" w:pos="567"/>
              </w:tabs>
              <w:jc w:val="both"/>
              <w:rPr>
                <w:rFonts w:ascii="Arial Narrow" w:hAnsi="Arial Narrow" w:cs="Arial"/>
                <w:i/>
                <w:color w:val="000000"/>
                <w:sz w:val="16"/>
                <w:szCs w:val="16"/>
              </w:rPr>
            </w:pPr>
            <w:r>
              <w:rPr>
                <w:rFonts w:ascii="Arial Narrow" w:hAnsi="Arial Narrow" w:cs="Arial"/>
                <w:color w:val="000000"/>
                <w:sz w:val="16"/>
                <w:szCs w:val="16"/>
              </w:rPr>
              <w:t>Λ</w:t>
            </w:r>
            <w:r w:rsidRPr="005D0895">
              <w:rPr>
                <w:rFonts w:ascii="Arial Narrow" w:hAnsi="Arial Narrow" w:cs="Arial"/>
                <w:color w:val="000000"/>
                <w:sz w:val="16"/>
                <w:szCs w:val="16"/>
              </w:rPr>
              <w:t>οιπές δαπάνες</w:t>
            </w:r>
            <w:r>
              <w:rPr>
                <w:rFonts w:ascii="Arial Narrow" w:hAnsi="Arial Narrow"/>
                <w:sz w:val="16"/>
                <w:szCs w:val="16"/>
                <w:vertAlign w:val="superscript"/>
              </w:rPr>
              <w:t>(3)</w:t>
            </w:r>
          </w:p>
        </w:tc>
        <w:tc>
          <w:tcPr>
            <w:tcW w:w="1649" w:type="dxa"/>
            <w:tcBorders>
              <w:top w:val="nil"/>
              <w:left w:val="nil"/>
              <w:bottom w:val="nil"/>
              <w:right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9.311</w:t>
            </w:r>
          </w:p>
        </w:tc>
        <w:tc>
          <w:tcPr>
            <w:tcW w:w="1721" w:type="dxa"/>
            <w:tcBorders>
              <w:top w:val="nil"/>
              <w:left w:val="nil"/>
              <w:bottom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9.044</w:t>
            </w:r>
          </w:p>
        </w:tc>
      </w:tr>
      <w:tr w:rsidR="00CC4101" w:rsidRPr="005D0895" w:rsidTr="00CC4101">
        <w:trPr>
          <w:trHeight w:val="20"/>
          <w:jc w:val="center"/>
        </w:trPr>
        <w:tc>
          <w:tcPr>
            <w:tcW w:w="5114" w:type="dxa"/>
            <w:tcBorders>
              <w:top w:val="nil"/>
              <w:bottom w:val="nil"/>
              <w:right w:val="nil"/>
            </w:tcBorders>
            <w:vAlign w:val="bottom"/>
          </w:tcPr>
          <w:p w:rsidR="00CC4101" w:rsidRPr="001226D2" w:rsidRDefault="00CC4101" w:rsidP="00FF6C69">
            <w:pPr>
              <w:tabs>
                <w:tab w:val="left" w:pos="567"/>
              </w:tabs>
              <w:jc w:val="both"/>
              <w:rPr>
                <w:rFonts w:ascii="Arial Narrow" w:hAnsi="Arial Narrow" w:cs="Arial"/>
                <w:color w:val="000000"/>
                <w:sz w:val="16"/>
                <w:szCs w:val="16"/>
                <w:vertAlign w:val="superscript"/>
              </w:rPr>
            </w:pPr>
            <w:r>
              <w:rPr>
                <w:rFonts w:ascii="Arial Narrow" w:hAnsi="Arial Narrow" w:cs="Arial"/>
                <w:color w:val="000000"/>
                <w:sz w:val="16"/>
                <w:szCs w:val="16"/>
              </w:rPr>
              <w:t>Μεταβιβάσεις σε λοιπούς φορείς ΓΚ εκτός κοινωνικού προϋπολογισμού</w:t>
            </w:r>
            <w:r>
              <w:rPr>
                <w:rFonts w:ascii="Arial Narrow" w:hAnsi="Arial Narrow" w:cs="Arial"/>
                <w:color w:val="000000"/>
                <w:sz w:val="16"/>
                <w:szCs w:val="16"/>
                <w:vertAlign w:val="superscript"/>
              </w:rPr>
              <w:t>(4)</w:t>
            </w:r>
          </w:p>
        </w:tc>
        <w:tc>
          <w:tcPr>
            <w:tcW w:w="1649" w:type="dxa"/>
            <w:tcBorders>
              <w:top w:val="nil"/>
              <w:left w:val="nil"/>
              <w:bottom w:val="nil"/>
              <w:right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0</w:t>
            </w:r>
          </w:p>
        </w:tc>
        <w:tc>
          <w:tcPr>
            <w:tcW w:w="1721" w:type="dxa"/>
            <w:tcBorders>
              <w:top w:val="nil"/>
              <w:left w:val="nil"/>
              <w:bottom w:val="nil"/>
            </w:tcBorders>
            <w:vAlign w:val="center"/>
          </w:tcPr>
          <w:p w:rsidR="00CC4101" w:rsidRDefault="00CC4101" w:rsidP="00CC4101">
            <w:pPr>
              <w:tabs>
                <w:tab w:val="decimal" w:pos="1006"/>
              </w:tabs>
              <w:jc w:val="both"/>
              <w:rPr>
                <w:rFonts w:ascii="Arial Narrow" w:hAnsi="Arial Narrow"/>
                <w:sz w:val="16"/>
                <w:szCs w:val="16"/>
              </w:rPr>
            </w:pPr>
            <w:r>
              <w:rPr>
                <w:rFonts w:ascii="Arial Narrow" w:hAnsi="Arial Narrow"/>
                <w:sz w:val="16"/>
                <w:szCs w:val="16"/>
              </w:rPr>
              <w:t>12</w:t>
            </w:r>
          </w:p>
        </w:tc>
      </w:tr>
      <w:tr w:rsidR="00CC4101" w:rsidRPr="00C30B8E" w:rsidTr="00CC4101">
        <w:trPr>
          <w:trHeight w:val="20"/>
          <w:jc w:val="center"/>
        </w:trPr>
        <w:tc>
          <w:tcPr>
            <w:tcW w:w="5114" w:type="dxa"/>
            <w:tcBorders>
              <w:top w:val="nil"/>
              <w:bottom w:val="nil"/>
              <w:right w:val="nil"/>
            </w:tcBorders>
            <w:shd w:val="clear" w:color="auto" w:fill="D9D9D9" w:themeFill="background1" w:themeFillShade="D9"/>
            <w:vAlign w:val="bottom"/>
          </w:tcPr>
          <w:p w:rsidR="00CC4101" w:rsidRPr="003E6D6E" w:rsidRDefault="00CC4101" w:rsidP="00FF6C69">
            <w:pPr>
              <w:tabs>
                <w:tab w:val="left" w:pos="567"/>
              </w:tabs>
              <w:spacing w:before="120" w:after="120"/>
              <w:jc w:val="both"/>
              <w:rPr>
                <w:rFonts w:ascii="Arial Narrow" w:hAnsi="Arial Narrow" w:cs="Arial"/>
                <w:b/>
                <w:bCs/>
                <w:color w:val="000000"/>
                <w:sz w:val="16"/>
                <w:szCs w:val="16"/>
              </w:rPr>
            </w:pPr>
            <w:r>
              <w:rPr>
                <w:rFonts w:ascii="Arial Narrow" w:hAnsi="Arial Narrow" w:cs="Arial"/>
                <w:b/>
                <w:bCs/>
                <w:color w:val="000000"/>
                <w:sz w:val="16"/>
                <w:szCs w:val="16"/>
              </w:rPr>
              <w:t xml:space="preserve">Ταμειακό </w:t>
            </w:r>
            <w:r w:rsidRPr="003E6D6E">
              <w:rPr>
                <w:rFonts w:ascii="Arial Narrow" w:hAnsi="Arial Narrow" w:cs="Arial"/>
                <w:b/>
                <w:bCs/>
                <w:color w:val="000000"/>
                <w:sz w:val="16"/>
                <w:szCs w:val="16"/>
              </w:rPr>
              <w:t>Ισοζύγιο</w:t>
            </w:r>
            <w:r>
              <w:rPr>
                <w:rFonts w:ascii="Arial Narrow" w:hAnsi="Arial Narrow" w:cs="Arial"/>
                <w:b/>
                <w:bCs/>
                <w:color w:val="000000"/>
                <w:sz w:val="16"/>
                <w:szCs w:val="16"/>
                <w:vertAlign w:val="superscript"/>
              </w:rPr>
              <w:t>(1)</w:t>
            </w:r>
          </w:p>
        </w:tc>
        <w:tc>
          <w:tcPr>
            <w:tcW w:w="1649" w:type="dxa"/>
            <w:tcBorders>
              <w:top w:val="nil"/>
              <w:left w:val="nil"/>
              <w:bottom w:val="nil"/>
              <w:right w:val="nil"/>
            </w:tcBorders>
            <w:shd w:val="clear" w:color="auto" w:fill="D9D9D9" w:themeFill="background1" w:themeFillShade="D9"/>
            <w:vAlign w:val="center"/>
          </w:tcPr>
          <w:p w:rsidR="00CC4101" w:rsidRDefault="00CC4101" w:rsidP="00CC4101">
            <w:pPr>
              <w:tabs>
                <w:tab w:val="decimal" w:pos="1006"/>
              </w:tabs>
              <w:jc w:val="both"/>
              <w:rPr>
                <w:rFonts w:ascii="Arial Narrow" w:hAnsi="Arial Narrow"/>
                <w:b/>
                <w:bCs/>
                <w:sz w:val="16"/>
                <w:szCs w:val="16"/>
              </w:rPr>
            </w:pPr>
            <w:r>
              <w:rPr>
                <w:rFonts w:ascii="Arial Narrow" w:hAnsi="Arial Narrow"/>
                <w:b/>
                <w:bCs/>
                <w:sz w:val="16"/>
                <w:szCs w:val="16"/>
              </w:rPr>
              <w:t>1.581</w:t>
            </w:r>
          </w:p>
        </w:tc>
        <w:tc>
          <w:tcPr>
            <w:tcW w:w="1721" w:type="dxa"/>
            <w:tcBorders>
              <w:top w:val="nil"/>
              <w:left w:val="nil"/>
              <w:bottom w:val="nil"/>
            </w:tcBorders>
            <w:shd w:val="clear" w:color="auto" w:fill="D9D9D9" w:themeFill="background1" w:themeFillShade="D9"/>
            <w:vAlign w:val="center"/>
          </w:tcPr>
          <w:p w:rsidR="00CC4101" w:rsidRDefault="00CC4101" w:rsidP="00CC4101">
            <w:pPr>
              <w:tabs>
                <w:tab w:val="decimal" w:pos="1006"/>
              </w:tabs>
              <w:jc w:val="both"/>
              <w:rPr>
                <w:rFonts w:ascii="Arial Narrow" w:hAnsi="Arial Narrow"/>
                <w:b/>
                <w:bCs/>
                <w:sz w:val="16"/>
                <w:szCs w:val="16"/>
              </w:rPr>
            </w:pPr>
            <w:r>
              <w:rPr>
                <w:rFonts w:ascii="Arial Narrow" w:hAnsi="Arial Narrow"/>
                <w:b/>
                <w:bCs/>
                <w:sz w:val="16"/>
                <w:szCs w:val="16"/>
              </w:rPr>
              <w:t>1.495</w:t>
            </w:r>
          </w:p>
        </w:tc>
      </w:tr>
      <w:tr w:rsidR="00CC4101" w:rsidRPr="00C30B8E" w:rsidTr="00CC4101">
        <w:trPr>
          <w:trHeight w:val="20"/>
          <w:jc w:val="center"/>
        </w:trPr>
        <w:tc>
          <w:tcPr>
            <w:tcW w:w="5114" w:type="dxa"/>
            <w:tcBorders>
              <w:top w:val="nil"/>
              <w:bottom w:val="nil"/>
              <w:right w:val="nil"/>
            </w:tcBorders>
            <w:shd w:val="clear" w:color="auto" w:fill="auto"/>
            <w:vAlign w:val="bottom"/>
          </w:tcPr>
          <w:p w:rsidR="00CC4101" w:rsidRPr="003E6D6E" w:rsidRDefault="00066063" w:rsidP="00FF6C69">
            <w:pPr>
              <w:tabs>
                <w:tab w:val="left" w:pos="567"/>
              </w:tabs>
              <w:spacing w:before="120" w:after="120"/>
              <w:jc w:val="both"/>
              <w:rPr>
                <w:rFonts w:ascii="Arial Narrow" w:hAnsi="Arial Narrow" w:cs="Arial"/>
                <w:b/>
                <w:bCs/>
                <w:color w:val="000000"/>
                <w:sz w:val="16"/>
                <w:szCs w:val="16"/>
              </w:rPr>
            </w:pPr>
            <w:r>
              <w:rPr>
                <w:rFonts w:ascii="Arial Narrow" w:hAnsi="Arial Narrow" w:cs="Arial"/>
                <w:b/>
                <w:bCs/>
                <w:color w:val="000000"/>
                <w:sz w:val="16"/>
                <w:szCs w:val="16"/>
              </w:rPr>
              <w:t>Ε</w:t>
            </w:r>
            <w:r w:rsidR="00CC4101">
              <w:rPr>
                <w:rFonts w:ascii="Arial Narrow" w:hAnsi="Arial Narrow" w:cs="Arial"/>
                <w:b/>
                <w:bCs/>
                <w:color w:val="000000"/>
                <w:sz w:val="16"/>
                <w:szCs w:val="16"/>
              </w:rPr>
              <w:t>θνικολογιστικές προσαρμογές</w:t>
            </w:r>
          </w:p>
        </w:tc>
        <w:tc>
          <w:tcPr>
            <w:tcW w:w="1649" w:type="dxa"/>
            <w:tcBorders>
              <w:top w:val="nil"/>
              <w:left w:val="nil"/>
              <w:bottom w:val="nil"/>
              <w:right w:val="nil"/>
            </w:tcBorders>
            <w:shd w:val="clear" w:color="auto" w:fill="auto"/>
            <w:vAlign w:val="center"/>
          </w:tcPr>
          <w:p w:rsidR="00CC4101" w:rsidRDefault="00CC4101" w:rsidP="00CC4101">
            <w:pPr>
              <w:tabs>
                <w:tab w:val="decimal" w:pos="1006"/>
              </w:tabs>
              <w:jc w:val="both"/>
              <w:rPr>
                <w:rFonts w:ascii="Arial Narrow" w:hAnsi="Arial Narrow"/>
                <w:b/>
                <w:bCs/>
                <w:sz w:val="16"/>
                <w:szCs w:val="16"/>
              </w:rPr>
            </w:pPr>
            <w:r>
              <w:rPr>
                <w:rFonts w:ascii="Arial Narrow" w:hAnsi="Arial Narrow"/>
                <w:b/>
                <w:bCs/>
                <w:sz w:val="16"/>
                <w:szCs w:val="16"/>
              </w:rPr>
              <w:t>-21</w:t>
            </w:r>
          </w:p>
        </w:tc>
        <w:tc>
          <w:tcPr>
            <w:tcW w:w="1721" w:type="dxa"/>
            <w:tcBorders>
              <w:top w:val="nil"/>
              <w:left w:val="nil"/>
              <w:bottom w:val="nil"/>
            </w:tcBorders>
            <w:shd w:val="clear" w:color="auto" w:fill="auto"/>
            <w:vAlign w:val="center"/>
          </w:tcPr>
          <w:p w:rsidR="00CC4101" w:rsidRDefault="00CC4101" w:rsidP="00CC4101">
            <w:pPr>
              <w:tabs>
                <w:tab w:val="decimal" w:pos="1006"/>
              </w:tabs>
              <w:jc w:val="both"/>
              <w:rPr>
                <w:rFonts w:ascii="Arial Narrow" w:hAnsi="Arial Narrow"/>
                <w:b/>
                <w:bCs/>
                <w:sz w:val="16"/>
                <w:szCs w:val="16"/>
              </w:rPr>
            </w:pPr>
            <w:r>
              <w:rPr>
                <w:rFonts w:ascii="Arial Narrow" w:hAnsi="Arial Narrow"/>
                <w:b/>
                <w:bCs/>
                <w:sz w:val="16"/>
                <w:szCs w:val="16"/>
              </w:rPr>
              <w:t>434</w:t>
            </w:r>
          </w:p>
        </w:tc>
      </w:tr>
      <w:tr w:rsidR="00CC4101" w:rsidRPr="00C30B8E" w:rsidTr="00CC4101">
        <w:trPr>
          <w:trHeight w:val="20"/>
          <w:jc w:val="center"/>
        </w:trPr>
        <w:tc>
          <w:tcPr>
            <w:tcW w:w="5114" w:type="dxa"/>
            <w:tcBorders>
              <w:top w:val="nil"/>
              <w:bottom w:val="single" w:sz="4" w:space="0" w:color="auto"/>
              <w:right w:val="nil"/>
            </w:tcBorders>
            <w:shd w:val="clear" w:color="auto" w:fill="D9D9D9" w:themeFill="background1" w:themeFillShade="D9"/>
            <w:vAlign w:val="bottom"/>
          </w:tcPr>
          <w:p w:rsidR="00CC4101" w:rsidRPr="001A4A6C" w:rsidRDefault="00CC4101" w:rsidP="00FF6C69">
            <w:pPr>
              <w:tabs>
                <w:tab w:val="left" w:pos="567"/>
              </w:tabs>
              <w:spacing w:before="120" w:after="120"/>
              <w:jc w:val="both"/>
              <w:rPr>
                <w:rFonts w:ascii="Arial Narrow" w:hAnsi="Arial Narrow" w:cs="Arial"/>
                <w:b/>
                <w:bCs/>
                <w:color w:val="000000"/>
                <w:sz w:val="16"/>
                <w:szCs w:val="16"/>
                <w:lang w:val="en-GB"/>
              </w:rPr>
            </w:pPr>
            <w:r>
              <w:rPr>
                <w:rFonts w:ascii="Arial Narrow" w:hAnsi="Arial Narrow" w:cs="Arial"/>
                <w:b/>
                <w:bCs/>
                <w:color w:val="000000"/>
                <w:sz w:val="16"/>
                <w:szCs w:val="16"/>
              </w:rPr>
              <w:t xml:space="preserve">Ισοζύγιο κατά </w:t>
            </w:r>
            <w:r>
              <w:rPr>
                <w:rFonts w:ascii="Arial Narrow" w:hAnsi="Arial Narrow" w:cs="Arial"/>
                <w:b/>
                <w:bCs/>
                <w:color w:val="000000"/>
                <w:sz w:val="16"/>
                <w:szCs w:val="16"/>
                <w:lang w:val="en-GB"/>
              </w:rPr>
              <w:t>ESA 2010</w:t>
            </w:r>
          </w:p>
        </w:tc>
        <w:tc>
          <w:tcPr>
            <w:tcW w:w="1649" w:type="dxa"/>
            <w:tcBorders>
              <w:top w:val="nil"/>
              <w:left w:val="nil"/>
              <w:bottom w:val="single" w:sz="4" w:space="0" w:color="auto"/>
              <w:right w:val="nil"/>
            </w:tcBorders>
            <w:shd w:val="clear" w:color="auto" w:fill="D9D9D9" w:themeFill="background1" w:themeFillShade="D9"/>
            <w:vAlign w:val="center"/>
          </w:tcPr>
          <w:p w:rsidR="00CC4101" w:rsidRDefault="00CC4101" w:rsidP="00CC4101">
            <w:pPr>
              <w:tabs>
                <w:tab w:val="decimal" w:pos="1006"/>
              </w:tabs>
              <w:jc w:val="both"/>
              <w:rPr>
                <w:rFonts w:ascii="Arial Narrow" w:hAnsi="Arial Narrow"/>
                <w:b/>
                <w:bCs/>
                <w:sz w:val="16"/>
                <w:szCs w:val="16"/>
              </w:rPr>
            </w:pPr>
            <w:r>
              <w:rPr>
                <w:rFonts w:ascii="Arial Narrow" w:hAnsi="Arial Narrow"/>
                <w:b/>
                <w:bCs/>
                <w:sz w:val="16"/>
                <w:szCs w:val="16"/>
              </w:rPr>
              <w:t>1.560</w:t>
            </w:r>
          </w:p>
        </w:tc>
        <w:tc>
          <w:tcPr>
            <w:tcW w:w="1721" w:type="dxa"/>
            <w:tcBorders>
              <w:top w:val="nil"/>
              <w:left w:val="nil"/>
              <w:bottom w:val="single" w:sz="4" w:space="0" w:color="auto"/>
            </w:tcBorders>
            <w:shd w:val="clear" w:color="auto" w:fill="D9D9D9" w:themeFill="background1" w:themeFillShade="D9"/>
            <w:vAlign w:val="center"/>
          </w:tcPr>
          <w:p w:rsidR="00CC4101" w:rsidRDefault="00CC4101" w:rsidP="00CC4101">
            <w:pPr>
              <w:tabs>
                <w:tab w:val="decimal" w:pos="1006"/>
              </w:tabs>
              <w:jc w:val="both"/>
              <w:rPr>
                <w:rFonts w:ascii="Arial Narrow" w:hAnsi="Arial Narrow"/>
                <w:b/>
                <w:bCs/>
                <w:sz w:val="16"/>
                <w:szCs w:val="16"/>
              </w:rPr>
            </w:pPr>
            <w:r>
              <w:rPr>
                <w:rFonts w:ascii="Arial Narrow" w:hAnsi="Arial Narrow"/>
                <w:b/>
                <w:bCs/>
                <w:sz w:val="16"/>
                <w:szCs w:val="16"/>
              </w:rPr>
              <w:t>1.929</w:t>
            </w:r>
          </w:p>
        </w:tc>
      </w:tr>
    </w:tbl>
    <w:p w:rsidR="00FF6C69" w:rsidRDefault="00FF6C69" w:rsidP="00FF6C69">
      <w:pPr>
        <w:pStyle w:val="af2"/>
        <w:numPr>
          <w:ilvl w:val="0"/>
          <w:numId w:val="12"/>
        </w:numPr>
        <w:spacing w:after="0" w:line="240" w:lineRule="auto"/>
        <w:ind w:left="567" w:right="992" w:hanging="283"/>
        <w:rPr>
          <w:rFonts w:ascii="Arial Narrow" w:hAnsi="Arial Narrow"/>
          <w:sz w:val="16"/>
          <w:szCs w:val="16"/>
        </w:rPr>
      </w:pPr>
      <w:r w:rsidRPr="00F677E2">
        <w:rPr>
          <w:rFonts w:ascii="Arial Narrow" w:hAnsi="Arial Narrow"/>
          <w:sz w:val="16"/>
          <w:szCs w:val="16"/>
        </w:rPr>
        <w:t xml:space="preserve">Περιλαμβάνεται το ισοζύγιο των ΟΚΑ, νοσοκομείων και </w:t>
      </w:r>
      <w:r w:rsidR="0027277C">
        <w:rPr>
          <w:rFonts w:ascii="Arial Narrow" w:hAnsi="Arial Narrow"/>
          <w:sz w:val="16"/>
          <w:szCs w:val="16"/>
        </w:rPr>
        <w:t>των ΥΠ</w:t>
      </w:r>
      <w:r w:rsidR="00CD4F0A">
        <w:rPr>
          <w:rFonts w:ascii="Arial Narrow" w:hAnsi="Arial Narrow"/>
          <w:sz w:val="16"/>
          <w:szCs w:val="16"/>
        </w:rPr>
        <w:t>Ε</w:t>
      </w:r>
      <w:r w:rsidR="0027277C">
        <w:rPr>
          <w:rFonts w:ascii="Arial Narrow" w:hAnsi="Arial Narrow"/>
          <w:sz w:val="16"/>
          <w:szCs w:val="16"/>
        </w:rPr>
        <w:t>-</w:t>
      </w:r>
      <w:r w:rsidRPr="00F677E2">
        <w:rPr>
          <w:rFonts w:ascii="Arial Narrow" w:hAnsi="Arial Narrow"/>
          <w:sz w:val="16"/>
          <w:szCs w:val="16"/>
        </w:rPr>
        <w:t>ΠΕΔΥ.</w:t>
      </w:r>
    </w:p>
    <w:p w:rsidR="00992F46" w:rsidRPr="00F677E2" w:rsidRDefault="00992F46" w:rsidP="00FF6C69">
      <w:pPr>
        <w:pStyle w:val="af2"/>
        <w:numPr>
          <w:ilvl w:val="0"/>
          <w:numId w:val="12"/>
        </w:numPr>
        <w:spacing w:after="0" w:line="240" w:lineRule="auto"/>
        <w:ind w:left="567" w:right="992" w:hanging="283"/>
        <w:rPr>
          <w:rFonts w:ascii="Arial Narrow" w:hAnsi="Arial Narrow"/>
          <w:sz w:val="16"/>
          <w:szCs w:val="16"/>
        </w:rPr>
      </w:pPr>
      <w:r>
        <w:rPr>
          <w:rFonts w:ascii="Arial Narrow" w:hAnsi="Arial Narrow"/>
          <w:sz w:val="16"/>
          <w:szCs w:val="16"/>
        </w:rPr>
        <w:t>Περιλαμβάνεται και η δαπάνη για τα προγράμματα απασχόλησης του ΟΑΕΔ.</w:t>
      </w:r>
    </w:p>
    <w:p w:rsidR="00FF6C69" w:rsidRDefault="00FF6C69" w:rsidP="00992F46">
      <w:pPr>
        <w:pStyle w:val="af2"/>
        <w:numPr>
          <w:ilvl w:val="0"/>
          <w:numId w:val="12"/>
        </w:numPr>
        <w:spacing w:after="0" w:line="240" w:lineRule="auto"/>
        <w:ind w:left="567" w:right="282" w:hanging="283"/>
        <w:rPr>
          <w:rFonts w:ascii="Arial Narrow" w:hAnsi="Arial Narrow"/>
          <w:sz w:val="16"/>
          <w:szCs w:val="16"/>
        </w:rPr>
      </w:pPr>
      <w:r>
        <w:rPr>
          <w:rFonts w:ascii="Arial Narrow" w:hAnsi="Arial Narrow"/>
          <w:sz w:val="16"/>
          <w:szCs w:val="16"/>
        </w:rPr>
        <w:t xml:space="preserve">Περιλαμβάνονται </w:t>
      </w:r>
      <w:r w:rsidR="00992F46">
        <w:rPr>
          <w:rFonts w:ascii="Arial Narrow" w:hAnsi="Arial Narrow"/>
          <w:sz w:val="16"/>
          <w:szCs w:val="16"/>
        </w:rPr>
        <w:t>η φαρμακευτική δαπάνη και η δαπάνη για παροχές ασθένειας του ΕΟΠΥΥ, τα επιδόματα ανεργίας του ΟΑΕΔ και οι δ</w:t>
      </w:r>
      <w:r w:rsidR="00992F46">
        <w:rPr>
          <w:rFonts w:ascii="Arial Narrow" w:hAnsi="Arial Narrow"/>
          <w:sz w:val="16"/>
          <w:szCs w:val="16"/>
        </w:rPr>
        <w:t>α</w:t>
      </w:r>
      <w:r w:rsidR="00992F46">
        <w:rPr>
          <w:rFonts w:ascii="Arial Narrow" w:hAnsi="Arial Narrow"/>
          <w:sz w:val="16"/>
          <w:szCs w:val="16"/>
        </w:rPr>
        <w:t>πάνες προμηθειών αγαθών και υπηρεσιών των δημόσιων νοσοκομείων.</w:t>
      </w:r>
    </w:p>
    <w:p w:rsidR="00FF6C69" w:rsidRDefault="00992F46" w:rsidP="00FF6C69">
      <w:pPr>
        <w:pStyle w:val="af2"/>
        <w:numPr>
          <w:ilvl w:val="0"/>
          <w:numId w:val="12"/>
        </w:numPr>
        <w:spacing w:after="0" w:line="240" w:lineRule="auto"/>
        <w:ind w:left="567" w:right="992" w:hanging="283"/>
        <w:rPr>
          <w:rFonts w:ascii="Arial Narrow" w:hAnsi="Arial Narrow"/>
          <w:sz w:val="16"/>
          <w:szCs w:val="16"/>
        </w:rPr>
      </w:pPr>
      <w:r>
        <w:rPr>
          <w:rFonts w:ascii="Arial Narrow" w:hAnsi="Arial Narrow"/>
          <w:sz w:val="16"/>
          <w:szCs w:val="16"/>
        </w:rPr>
        <w:t>Αφορά τις</w:t>
      </w:r>
      <w:r w:rsidR="00FF6C69">
        <w:rPr>
          <w:rFonts w:ascii="Arial Narrow" w:hAnsi="Arial Narrow"/>
          <w:sz w:val="16"/>
          <w:szCs w:val="16"/>
        </w:rPr>
        <w:t xml:space="preserve"> μεταβιβάσεις </w:t>
      </w:r>
      <w:r>
        <w:rPr>
          <w:rFonts w:ascii="Arial Narrow" w:hAnsi="Arial Narrow"/>
          <w:sz w:val="16"/>
          <w:szCs w:val="16"/>
        </w:rPr>
        <w:t xml:space="preserve">του ΕΟΠΥΥ </w:t>
      </w:r>
      <w:r w:rsidR="00FF6C69">
        <w:rPr>
          <w:rFonts w:ascii="Arial Narrow" w:hAnsi="Arial Narrow"/>
          <w:sz w:val="16"/>
          <w:szCs w:val="16"/>
        </w:rPr>
        <w:t>προς το ΕΚΑΒ.</w:t>
      </w:r>
    </w:p>
    <w:p w:rsidR="0027277C" w:rsidRPr="00F677E2" w:rsidRDefault="0027277C" w:rsidP="00FF6C69">
      <w:pPr>
        <w:pStyle w:val="af2"/>
        <w:numPr>
          <w:ilvl w:val="0"/>
          <w:numId w:val="12"/>
        </w:numPr>
        <w:spacing w:after="0" w:line="240" w:lineRule="auto"/>
        <w:ind w:left="567" w:right="992" w:hanging="283"/>
        <w:rPr>
          <w:rFonts w:ascii="Arial Narrow" w:hAnsi="Arial Narrow"/>
          <w:sz w:val="16"/>
          <w:szCs w:val="16"/>
        </w:rPr>
      </w:pPr>
      <w:r>
        <w:rPr>
          <w:rFonts w:ascii="Arial Narrow" w:hAnsi="Arial Narrow"/>
          <w:sz w:val="16"/>
          <w:szCs w:val="16"/>
        </w:rPr>
        <w:t>Περιλαμβάνονται και οι παροχές στους ανασφάλιστους υπερήλικες του ΟΓΑ.</w:t>
      </w:r>
    </w:p>
    <w:p w:rsidR="00FF6C69" w:rsidRDefault="00FF6C69" w:rsidP="00FF6C69">
      <w:pPr>
        <w:ind w:hanging="283"/>
        <w:jc w:val="both"/>
        <w:rPr>
          <w:sz w:val="22"/>
        </w:rPr>
      </w:pPr>
    </w:p>
    <w:p w:rsidR="00F4612C" w:rsidRPr="00F4612C" w:rsidRDefault="00F4612C" w:rsidP="00F4612C">
      <w:pPr>
        <w:jc w:val="both"/>
        <w:rPr>
          <w:sz w:val="22"/>
          <w:szCs w:val="22"/>
        </w:rPr>
      </w:pPr>
      <w:r w:rsidRPr="00F4612C">
        <w:rPr>
          <w:sz w:val="22"/>
          <w:szCs w:val="22"/>
        </w:rPr>
        <w:t xml:space="preserve">Τα συνολικά έσοδα του ενοποιημένου κοινωνικού προϋπολογισμού </w:t>
      </w:r>
      <w:r w:rsidR="00066063">
        <w:rPr>
          <w:sz w:val="22"/>
          <w:szCs w:val="22"/>
        </w:rPr>
        <w:t>σ</w:t>
      </w:r>
      <w:r w:rsidRPr="00F4612C">
        <w:rPr>
          <w:sz w:val="22"/>
          <w:szCs w:val="22"/>
        </w:rPr>
        <w:t>το 2018 προβλέπονται μειωμένα</w:t>
      </w:r>
      <w:r w:rsidR="008967F1">
        <w:rPr>
          <w:sz w:val="22"/>
          <w:szCs w:val="22"/>
        </w:rPr>
        <w:t xml:space="preserve"> </w:t>
      </w:r>
      <w:r w:rsidRPr="00F4612C">
        <w:rPr>
          <w:sz w:val="22"/>
          <w:szCs w:val="22"/>
        </w:rPr>
        <w:t>κατά 329 εκατ. ευρώ σε σχέση με το 2017 κυρίως λόγω της μείωσης της κρατικής επιχορήγησης κατά 638 εκα</w:t>
      </w:r>
      <w:r w:rsidR="0027277C">
        <w:rPr>
          <w:sz w:val="22"/>
          <w:szCs w:val="22"/>
        </w:rPr>
        <w:t>τ. ευρώ (και ειδικότερα κατά 363</w:t>
      </w:r>
      <w:r w:rsidRPr="00F4612C">
        <w:rPr>
          <w:sz w:val="22"/>
          <w:szCs w:val="22"/>
        </w:rPr>
        <w:t xml:space="preserve"> εκατ. ευρώ της επιχορήγησης των νοσοκομείων, 214 εκατ. ευρώ του ΕΟΠΥΥ και 60 εκατ. ευρώ του ΟΓΑ), η οποία εν μέρει εξισορροπείται από την αναμενόμ</w:t>
      </w:r>
      <w:r w:rsidRPr="00F4612C">
        <w:rPr>
          <w:sz w:val="22"/>
          <w:szCs w:val="22"/>
        </w:rPr>
        <w:t>ε</w:t>
      </w:r>
      <w:r w:rsidRPr="00F4612C">
        <w:rPr>
          <w:sz w:val="22"/>
          <w:szCs w:val="22"/>
        </w:rPr>
        <w:t xml:space="preserve">νη αύξηση των ασφαλιστικών εισφορών κατά 362 εκατ. ευρώ. </w:t>
      </w:r>
    </w:p>
    <w:p w:rsidR="00F4612C" w:rsidRPr="00F4612C" w:rsidRDefault="00F4612C" w:rsidP="00F4612C">
      <w:pPr>
        <w:jc w:val="both"/>
        <w:rPr>
          <w:sz w:val="22"/>
          <w:szCs w:val="22"/>
        </w:rPr>
      </w:pPr>
    </w:p>
    <w:p w:rsidR="00F4612C" w:rsidRPr="00F4612C" w:rsidRDefault="00066063" w:rsidP="00F4612C">
      <w:pPr>
        <w:jc w:val="both"/>
        <w:rPr>
          <w:sz w:val="22"/>
          <w:szCs w:val="22"/>
        </w:rPr>
      </w:pPr>
      <w:r>
        <w:rPr>
          <w:sz w:val="22"/>
          <w:szCs w:val="22"/>
        </w:rPr>
        <w:lastRenderedPageBreak/>
        <w:t>Αντίστοιχα, τα έξοδα</w:t>
      </w:r>
      <w:r w:rsidR="00F4612C" w:rsidRPr="00F4612C">
        <w:rPr>
          <w:sz w:val="22"/>
          <w:szCs w:val="22"/>
        </w:rPr>
        <w:t xml:space="preserve"> προβλέπονται μειωμένα κατά 243 εκατ. ευρώ σε σχέση με το 2017, κυρίως λ</w:t>
      </w:r>
      <w:r w:rsidR="00F4612C" w:rsidRPr="00F4612C">
        <w:rPr>
          <w:sz w:val="22"/>
          <w:szCs w:val="22"/>
        </w:rPr>
        <w:t>ό</w:t>
      </w:r>
      <w:r w:rsidR="00F4612C" w:rsidRPr="00F4612C">
        <w:rPr>
          <w:sz w:val="22"/>
          <w:szCs w:val="22"/>
        </w:rPr>
        <w:t>γω της μείωσης της συνολικής συνταξιοδοτικής δαπάνης κατά 151 εκατ. ευρώ.</w:t>
      </w:r>
    </w:p>
    <w:p w:rsidR="00F4612C" w:rsidRPr="00F4612C" w:rsidRDefault="00F4612C" w:rsidP="00F4612C">
      <w:pPr>
        <w:jc w:val="both"/>
        <w:rPr>
          <w:sz w:val="22"/>
          <w:szCs w:val="22"/>
        </w:rPr>
      </w:pPr>
    </w:p>
    <w:p w:rsidR="00F4612C" w:rsidRPr="00F4612C" w:rsidRDefault="00F4612C" w:rsidP="00F4612C">
      <w:pPr>
        <w:jc w:val="both"/>
        <w:rPr>
          <w:sz w:val="22"/>
          <w:szCs w:val="22"/>
        </w:rPr>
      </w:pPr>
      <w:r w:rsidRPr="00F4612C">
        <w:rPr>
          <w:sz w:val="22"/>
          <w:szCs w:val="22"/>
        </w:rPr>
        <w:t>Για το 2017 το ταμειακό ισοζύγιο των Οργανισμών Κοινωνικής Ασφάλισης (Ασφαλιστικά Ταμεία, Οργανισμοί Απασχόλησης, ΕΟΠΥΥ) και των Νοσοκομείων - ΠΕΔΥ εκτιμάται ότι θα διαμορφωθεί σε πλεόνασμα ύψους 1.581 εκατ. ευρώ</w:t>
      </w:r>
      <w:r w:rsidR="00140717">
        <w:rPr>
          <w:sz w:val="22"/>
          <w:szCs w:val="22"/>
        </w:rPr>
        <w:t>,</w:t>
      </w:r>
      <w:r w:rsidRPr="00F4612C">
        <w:rPr>
          <w:sz w:val="22"/>
          <w:szCs w:val="22"/>
        </w:rPr>
        <w:t xml:space="preserve"> ενώ σε δημοσιονομική βάση αναμένεται να ανέλθει σε πλεόν</w:t>
      </w:r>
      <w:r w:rsidRPr="00F4612C">
        <w:rPr>
          <w:sz w:val="22"/>
          <w:szCs w:val="22"/>
        </w:rPr>
        <w:t>α</w:t>
      </w:r>
      <w:r w:rsidR="00934943">
        <w:rPr>
          <w:sz w:val="22"/>
          <w:szCs w:val="22"/>
        </w:rPr>
        <w:t>σμα ύψους 1.560 εκατ. ευρώ.</w:t>
      </w:r>
      <w:r w:rsidR="0027277C">
        <w:rPr>
          <w:sz w:val="22"/>
          <w:szCs w:val="22"/>
        </w:rPr>
        <w:t xml:space="preserve"> </w:t>
      </w:r>
      <w:r w:rsidR="00934943">
        <w:rPr>
          <w:sz w:val="22"/>
          <w:szCs w:val="22"/>
        </w:rPr>
        <w:t xml:space="preserve">Αντίστοιχα, </w:t>
      </w:r>
      <w:r w:rsidR="00066063">
        <w:rPr>
          <w:sz w:val="22"/>
          <w:szCs w:val="22"/>
        </w:rPr>
        <w:t xml:space="preserve">για το έτος 2018 </w:t>
      </w:r>
      <w:r w:rsidR="0027277C">
        <w:rPr>
          <w:sz w:val="22"/>
          <w:szCs w:val="22"/>
        </w:rPr>
        <w:t>διαμορφώνεται</w:t>
      </w:r>
      <w:r w:rsidR="00934943">
        <w:rPr>
          <w:sz w:val="22"/>
          <w:szCs w:val="22"/>
        </w:rPr>
        <w:t xml:space="preserve"> σε</w:t>
      </w:r>
      <w:r w:rsidR="00066063">
        <w:rPr>
          <w:sz w:val="22"/>
          <w:szCs w:val="22"/>
        </w:rPr>
        <w:t xml:space="preserve"> 1.495</w:t>
      </w:r>
      <w:r w:rsidR="000A5121">
        <w:rPr>
          <w:sz w:val="22"/>
          <w:szCs w:val="22"/>
        </w:rPr>
        <w:t xml:space="preserve"> εκατ. ευρώ</w:t>
      </w:r>
      <w:r w:rsidR="00066063">
        <w:rPr>
          <w:sz w:val="22"/>
          <w:szCs w:val="22"/>
        </w:rPr>
        <w:t xml:space="preserve"> και 1.929 </w:t>
      </w:r>
      <w:r w:rsidR="000A5121">
        <w:rPr>
          <w:sz w:val="22"/>
          <w:szCs w:val="22"/>
        </w:rPr>
        <w:t xml:space="preserve">εκατ. ευρώ </w:t>
      </w:r>
      <w:r w:rsidR="00A42AA4">
        <w:rPr>
          <w:sz w:val="22"/>
          <w:szCs w:val="22"/>
        </w:rPr>
        <w:t>(</w:t>
      </w:r>
      <w:r w:rsidR="00A42AA4" w:rsidRPr="00915302">
        <w:rPr>
          <w:sz w:val="22"/>
          <w:szCs w:val="22"/>
        </w:rPr>
        <w:t xml:space="preserve">πίνακας </w:t>
      </w:r>
      <w:r w:rsidR="00164DB6" w:rsidRPr="00915302">
        <w:rPr>
          <w:sz w:val="22"/>
          <w:szCs w:val="22"/>
        </w:rPr>
        <w:t>3.21</w:t>
      </w:r>
      <w:r w:rsidR="00A42AA4" w:rsidRPr="00915302">
        <w:rPr>
          <w:sz w:val="22"/>
          <w:szCs w:val="22"/>
        </w:rPr>
        <w:t>).</w:t>
      </w:r>
    </w:p>
    <w:p w:rsidR="00F4612C" w:rsidRDefault="00F4612C" w:rsidP="00FF6C69">
      <w:pPr>
        <w:jc w:val="both"/>
        <w:rPr>
          <w:sz w:val="22"/>
          <w:szCs w:val="22"/>
        </w:rPr>
      </w:pPr>
    </w:p>
    <w:p w:rsidR="00FF6C69" w:rsidRPr="005A161C" w:rsidRDefault="00FF6C69" w:rsidP="00FF6C69">
      <w:pPr>
        <w:jc w:val="both"/>
        <w:rPr>
          <w:rFonts w:ascii="Arial Narrow" w:hAnsi="Arial Narrow"/>
          <w:b/>
          <w:color w:val="000080"/>
          <w:szCs w:val="22"/>
        </w:rPr>
      </w:pPr>
      <w:r w:rsidRPr="005A161C">
        <w:rPr>
          <w:rFonts w:ascii="Arial Narrow" w:hAnsi="Arial Narrow"/>
          <w:b/>
          <w:color w:val="000080"/>
          <w:szCs w:val="22"/>
        </w:rPr>
        <w:t>Ασφαλιστικά Ταμεία</w:t>
      </w:r>
    </w:p>
    <w:p w:rsidR="00FF6C69" w:rsidRDefault="00FF6C69" w:rsidP="00FF6C69">
      <w:pPr>
        <w:jc w:val="both"/>
        <w:rPr>
          <w:sz w:val="22"/>
          <w:szCs w:val="22"/>
        </w:rPr>
      </w:pPr>
    </w:p>
    <w:p w:rsidR="005C05A4" w:rsidRPr="005C05A4" w:rsidRDefault="005C05A4" w:rsidP="005C05A4">
      <w:pPr>
        <w:jc w:val="both"/>
        <w:rPr>
          <w:sz w:val="22"/>
          <w:szCs w:val="22"/>
        </w:rPr>
      </w:pPr>
      <w:r w:rsidRPr="005C05A4">
        <w:rPr>
          <w:sz w:val="22"/>
          <w:szCs w:val="22"/>
        </w:rPr>
        <w:t>Το δημοσιονομικό αποτέλεσμα των ασφαλιστικών ταμείων για το 2018 αναμένεται να διαμορφωθεί σε πλεόνασμα ύψους 859 εκατ. ευρώ, βελτιωμένο έναντι του 2017 κατά 1.057 εκατ. ευρώ.</w:t>
      </w:r>
      <w:r w:rsidR="008967F1">
        <w:rPr>
          <w:sz w:val="22"/>
          <w:szCs w:val="22"/>
        </w:rPr>
        <w:t xml:space="preserve"> </w:t>
      </w:r>
      <w:r w:rsidRPr="005C05A4">
        <w:rPr>
          <w:sz w:val="22"/>
          <w:szCs w:val="22"/>
        </w:rPr>
        <w:t>Η μεταβ</w:t>
      </w:r>
      <w:r w:rsidRPr="005C05A4">
        <w:rPr>
          <w:sz w:val="22"/>
          <w:szCs w:val="22"/>
        </w:rPr>
        <w:t>ο</w:t>
      </w:r>
      <w:r w:rsidRPr="005C05A4">
        <w:rPr>
          <w:sz w:val="22"/>
          <w:szCs w:val="22"/>
        </w:rPr>
        <w:t>λή αυτή οφείλεται κυρίως:</w:t>
      </w:r>
    </w:p>
    <w:p w:rsidR="005C05A4" w:rsidRPr="005C05A4" w:rsidRDefault="005C05A4" w:rsidP="005C05A4">
      <w:pPr>
        <w:jc w:val="both"/>
        <w:rPr>
          <w:sz w:val="22"/>
          <w:szCs w:val="22"/>
        </w:rPr>
      </w:pPr>
    </w:p>
    <w:p w:rsidR="00066063" w:rsidRDefault="005C05A4" w:rsidP="005C05A4">
      <w:pPr>
        <w:numPr>
          <w:ilvl w:val="0"/>
          <w:numId w:val="33"/>
        </w:numPr>
        <w:ind w:left="284" w:hanging="284"/>
        <w:jc w:val="both"/>
        <w:rPr>
          <w:sz w:val="22"/>
          <w:szCs w:val="22"/>
        </w:rPr>
      </w:pPr>
      <w:r w:rsidRPr="00066063">
        <w:rPr>
          <w:sz w:val="22"/>
          <w:szCs w:val="22"/>
        </w:rPr>
        <w:t xml:space="preserve">Στην </w:t>
      </w:r>
      <w:r w:rsidR="00066063" w:rsidRPr="00066063">
        <w:rPr>
          <w:sz w:val="22"/>
          <w:szCs w:val="22"/>
        </w:rPr>
        <w:t>αυξημένη πρόβλεψη</w:t>
      </w:r>
      <w:r w:rsidRPr="00066063">
        <w:rPr>
          <w:sz w:val="22"/>
          <w:szCs w:val="22"/>
        </w:rPr>
        <w:t xml:space="preserve"> κατά 306 εκατ. ευρώ </w:t>
      </w:r>
      <w:r w:rsidR="00066063" w:rsidRPr="00066063">
        <w:rPr>
          <w:sz w:val="22"/>
          <w:szCs w:val="22"/>
        </w:rPr>
        <w:t xml:space="preserve">στο σκέλος των εσόδων, </w:t>
      </w:r>
      <w:r w:rsidRPr="00066063">
        <w:rPr>
          <w:sz w:val="22"/>
          <w:szCs w:val="22"/>
        </w:rPr>
        <w:t xml:space="preserve">η οποία </w:t>
      </w:r>
      <w:r w:rsidR="00066063" w:rsidRPr="00066063">
        <w:rPr>
          <w:sz w:val="22"/>
          <w:szCs w:val="22"/>
        </w:rPr>
        <w:t>οφείλεται</w:t>
      </w:r>
      <w:r w:rsidRPr="00066063">
        <w:rPr>
          <w:sz w:val="22"/>
          <w:szCs w:val="22"/>
        </w:rPr>
        <w:t xml:space="preserve"> κυρίως </w:t>
      </w:r>
      <w:r w:rsidR="00066063" w:rsidRPr="00066063">
        <w:rPr>
          <w:sz w:val="22"/>
          <w:szCs w:val="22"/>
        </w:rPr>
        <w:t>σ</w:t>
      </w:r>
      <w:r w:rsidRPr="00066063">
        <w:rPr>
          <w:sz w:val="22"/>
          <w:szCs w:val="22"/>
        </w:rPr>
        <w:t>τη</w:t>
      </w:r>
      <w:r w:rsidR="00066063" w:rsidRPr="00066063">
        <w:rPr>
          <w:sz w:val="22"/>
          <w:szCs w:val="22"/>
        </w:rPr>
        <w:t>ν</w:t>
      </w:r>
      <w:r w:rsidRPr="00066063">
        <w:rPr>
          <w:sz w:val="22"/>
          <w:szCs w:val="22"/>
        </w:rPr>
        <w:t xml:space="preserve"> αύξηση των ασφαλιστικών εισφορών (περιλαμβανομένων και των ρυθμίσεων οφειλών) κατά</w:t>
      </w:r>
      <w:r w:rsidR="0027277C">
        <w:rPr>
          <w:sz w:val="22"/>
          <w:szCs w:val="22"/>
        </w:rPr>
        <w:t xml:space="preserve"> 360 εκατ. ευρώ έναντι του 2017,</w:t>
      </w:r>
      <w:r w:rsidRPr="00066063">
        <w:rPr>
          <w:sz w:val="22"/>
          <w:szCs w:val="22"/>
        </w:rPr>
        <w:t> </w:t>
      </w:r>
      <w:r w:rsidR="0027277C">
        <w:rPr>
          <w:sz w:val="22"/>
          <w:szCs w:val="22"/>
        </w:rPr>
        <w:t xml:space="preserve">λόγω της </w:t>
      </w:r>
      <w:r w:rsidRPr="00066063">
        <w:rPr>
          <w:sz w:val="22"/>
          <w:szCs w:val="22"/>
        </w:rPr>
        <w:t>αύξηση</w:t>
      </w:r>
      <w:r w:rsidR="0027277C">
        <w:rPr>
          <w:sz w:val="22"/>
          <w:szCs w:val="22"/>
        </w:rPr>
        <w:t>ς</w:t>
      </w:r>
      <w:r w:rsidRPr="00066063">
        <w:rPr>
          <w:sz w:val="22"/>
          <w:szCs w:val="22"/>
        </w:rPr>
        <w:t xml:space="preserve"> των εισφορών των μισθωτών του ιδιωτικού τομέα </w:t>
      </w:r>
      <w:r w:rsidR="0027277C">
        <w:rPr>
          <w:sz w:val="22"/>
          <w:szCs w:val="22"/>
        </w:rPr>
        <w:t xml:space="preserve">από </w:t>
      </w:r>
      <w:r w:rsidRPr="00066063">
        <w:rPr>
          <w:sz w:val="22"/>
          <w:szCs w:val="22"/>
        </w:rPr>
        <w:t>τη βελτίωση της απασχόλησης.</w:t>
      </w:r>
    </w:p>
    <w:p w:rsidR="005C05A4" w:rsidRPr="005C05A4" w:rsidRDefault="00066063" w:rsidP="00066063">
      <w:pPr>
        <w:ind w:left="284"/>
        <w:jc w:val="both"/>
        <w:rPr>
          <w:sz w:val="22"/>
          <w:szCs w:val="22"/>
        </w:rPr>
      </w:pPr>
      <w:r w:rsidRPr="00066063">
        <w:rPr>
          <w:sz w:val="22"/>
          <w:szCs w:val="22"/>
        </w:rPr>
        <w:t xml:space="preserve"> </w:t>
      </w:r>
    </w:p>
    <w:p w:rsidR="005C05A4" w:rsidRDefault="005C05A4" w:rsidP="005C05A4">
      <w:pPr>
        <w:numPr>
          <w:ilvl w:val="0"/>
          <w:numId w:val="33"/>
        </w:numPr>
        <w:ind w:left="284" w:hanging="284"/>
        <w:jc w:val="both"/>
        <w:rPr>
          <w:sz w:val="22"/>
          <w:szCs w:val="22"/>
        </w:rPr>
      </w:pPr>
      <w:r w:rsidRPr="005C05A4">
        <w:rPr>
          <w:sz w:val="22"/>
          <w:szCs w:val="22"/>
        </w:rPr>
        <w:t>Στη με</w:t>
      </w:r>
      <w:r w:rsidR="00066063">
        <w:rPr>
          <w:sz w:val="22"/>
          <w:szCs w:val="22"/>
        </w:rPr>
        <w:t xml:space="preserve">ιωμένη πρόβλεψη </w:t>
      </w:r>
      <w:r w:rsidR="00066063" w:rsidRPr="005C05A4">
        <w:rPr>
          <w:sz w:val="22"/>
          <w:szCs w:val="22"/>
        </w:rPr>
        <w:t xml:space="preserve">κατά 119 εκατ. ευρώ </w:t>
      </w:r>
      <w:r w:rsidRPr="005C05A4">
        <w:rPr>
          <w:sz w:val="22"/>
          <w:szCs w:val="22"/>
        </w:rPr>
        <w:t xml:space="preserve">στο σκέλος των εξόδων έναντι του 2017, η οποία </w:t>
      </w:r>
      <w:r w:rsidR="00066063">
        <w:rPr>
          <w:sz w:val="22"/>
          <w:szCs w:val="22"/>
        </w:rPr>
        <w:t xml:space="preserve">οφείλεται </w:t>
      </w:r>
      <w:r w:rsidRPr="005C05A4">
        <w:rPr>
          <w:sz w:val="22"/>
          <w:szCs w:val="22"/>
        </w:rPr>
        <w:t xml:space="preserve">κυρίως στη μείωση της συνταξιοδοτικής δαπάνης. </w:t>
      </w:r>
    </w:p>
    <w:p w:rsidR="005C05A4" w:rsidRPr="005C05A4" w:rsidRDefault="005C05A4" w:rsidP="005C05A4">
      <w:pPr>
        <w:ind w:left="284"/>
        <w:jc w:val="both"/>
        <w:rPr>
          <w:sz w:val="22"/>
          <w:szCs w:val="22"/>
        </w:rPr>
      </w:pPr>
    </w:p>
    <w:p w:rsidR="005C05A4" w:rsidRPr="005C05A4" w:rsidRDefault="005C05A4" w:rsidP="005C05A4">
      <w:pPr>
        <w:numPr>
          <w:ilvl w:val="0"/>
          <w:numId w:val="33"/>
        </w:numPr>
        <w:ind w:left="284" w:hanging="284"/>
        <w:jc w:val="both"/>
        <w:rPr>
          <w:sz w:val="22"/>
          <w:szCs w:val="22"/>
        </w:rPr>
      </w:pPr>
      <w:r w:rsidRPr="005C05A4">
        <w:rPr>
          <w:sz w:val="22"/>
          <w:szCs w:val="22"/>
        </w:rPr>
        <w:t>Στη</w:t>
      </w:r>
      <w:r w:rsidR="00066063">
        <w:rPr>
          <w:sz w:val="22"/>
          <w:szCs w:val="22"/>
        </w:rPr>
        <w:t>ν</w:t>
      </w:r>
      <w:r w:rsidRPr="005C05A4">
        <w:rPr>
          <w:sz w:val="22"/>
          <w:szCs w:val="22"/>
        </w:rPr>
        <w:t xml:space="preserve"> </w:t>
      </w:r>
      <w:r w:rsidR="00066063">
        <w:rPr>
          <w:sz w:val="22"/>
          <w:szCs w:val="22"/>
        </w:rPr>
        <w:t xml:space="preserve">επιβράδυνση </w:t>
      </w:r>
      <w:r w:rsidRPr="005C05A4">
        <w:rPr>
          <w:sz w:val="22"/>
          <w:szCs w:val="22"/>
        </w:rPr>
        <w:t>του ρυθμού αύξησης των απλήρωτων υποχρεώσεων των ασφαλιστικών ταμείων ως αποτέλεσμα της εντεινόμενης προσπάθειας εκκαθάρισης εκκρεμών αιτήσεων για εφάπαξ παρ</w:t>
      </w:r>
      <w:r w:rsidRPr="005C05A4">
        <w:rPr>
          <w:sz w:val="22"/>
          <w:szCs w:val="22"/>
        </w:rPr>
        <w:t>ο</w:t>
      </w:r>
      <w:r w:rsidRPr="005C05A4">
        <w:rPr>
          <w:sz w:val="22"/>
          <w:szCs w:val="22"/>
        </w:rPr>
        <w:t>χές</w:t>
      </w:r>
      <w:r w:rsidR="00066063">
        <w:rPr>
          <w:sz w:val="22"/>
          <w:szCs w:val="22"/>
        </w:rPr>
        <w:t>.</w:t>
      </w:r>
    </w:p>
    <w:p w:rsidR="005C05A4" w:rsidRDefault="005C05A4" w:rsidP="005C05A4">
      <w:pPr>
        <w:jc w:val="both"/>
        <w:rPr>
          <w:sz w:val="22"/>
          <w:szCs w:val="22"/>
        </w:rPr>
      </w:pPr>
    </w:p>
    <w:p w:rsidR="005C05A4" w:rsidRDefault="005C05A4" w:rsidP="005C05A4">
      <w:pPr>
        <w:jc w:val="both"/>
        <w:rPr>
          <w:sz w:val="22"/>
          <w:szCs w:val="22"/>
        </w:rPr>
      </w:pPr>
      <w:r w:rsidRPr="005C05A4">
        <w:rPr>
          <w:sz w:val="22"/>
          <w:szCs w:val="22"/>
        </w:rPr>
        <w:t>Επιπρόσθετα, σημειώνεται ότι και το 2018 συνεχίζονται οι δράσεις με στόχο τη βελτίωση της εισπρ</w:t>
      </w:r>
      <w:r w:rsidRPr="005C05A4">
        <w:rPr>
          <w:sz w:val="22"/>
          <w:szCs w:val="22"/>
        </w:rPr>
        <w:t>α</w:t>
      </w:r>
      <w:r w:rsidRPr="005C05A4">
        <w:rPr>
          <w:sz w:val="22"/>
          <w:szCs w:val="22"/>
        </w:rPr>
        <w:t>ξιμότητας των ασφαλιστικών εισφορών και οφειλών, την καταπολέμηση της αδήλωτης-ανασφάλιστης εργασίας μέσω και της συμβολής του Σώματος Επιθεώρησης Εργασίας (ΣΕΠΕ), καθώς και την εν</w:t>
      </w:r>
      <w:r w:rsidRPr="005C05A4">
        <w:rPr>
          <w:sz w:val="22"/>
          <w:szCs w:val="22"/>
        </w:rPr>
        <w:t>ί</w:t>
      </w:r>
      <w:r w:rsidRPr="005C05A4">
        <w:rPr>
          <w:sz w:val="22"/>
          <w:szCs w:val="22"/>
        </w:rPr>
        <w:t>σχυση της συμμόρφωσης των εργοδοτών και των ασφαλισμένων στις ασφαλιστικές υποχρεώσεις τους. Ειδικότερα:</w:t>
      </w:r>
    </w:p>
    <w:p w:rsidR="005C05A4" w:rsidRPr="005C05A4" w:rsidRDefault="005C05A4" w:rsidP="005C05A4">
      <w:pPr>
        <w:jc w:val="both"/>
        <w:rPr>
          <w:sz w:val="22"/>
          <w:szCs w:val="22"/>
        </w:rPr>
      </w:pPr>
    </w:p>
    <w:p w:rsidR="005C05A4" w:rsidRPr="005C05A4" w:rsidRDefault="005C05A4" w:rsidP="005C05A4">
      <w:pPr>
        <w:numPr>
          <w:ilvl w:val="0"/>
          <w:numId w:val="33"/>
        </w:numPr>
        <w:ind w:left="284" w:hanging="284"/>
        <w:jc w:val="both"/>
        <w:rPr>
          <w:sz w:val="22"/>
          <w:szCs w:val="22"/>
        </w:rPr>
      </w:pPr>
      <w:r w:rsidRPr="005C05A4">
        <w:rPr>
          <w:sz w:val="22"/>
          <w:szCs w:val="22"/>
        </w:rPr>
        <w:t>Ενισχύεται το ΣΕΠΕ με νέο προσωπικό και προσλήψεις στον κλάδο της Επιθεώρησης Εργασιακών Σχέσεων και στον κλάδο της Υγείας και Ασφάλειας στην Εργασία.</w:t>
      </w:r>
    </w:p>
    <w:p w:rsidR="005C05A4" w:rsidRPr="005C05A4" w:rsidRDefault="005C05A4" w:rsidP="005C05A4">
      <w:pPr>
        <w:numPr>
          <w:ilvl w:val="0"/>
          <w:numId w:val="33"/>
        </w:numPr>
        <w:ind w:left="284" w:hanging="284"/>
        <w:jc w:val="both"/>
        <w:rPr>
          <w:sz w:val="22"/>
          <w:szCs w:val="22"/>
        </w:rPr>
      </w:pPr>
      <w:r w:rsidRPr="005C05A4">
        <w:rPr>
          <w:sz w:val="22"/>
          <w:szCs w:val="22"/>
        </w:rPr>
        <w:t>Εξασφαλίζεται η διαλειτουργικότητα των πληροφοριακών συστημάτων ΣΕΠΕ με τα πληροφορι</w:t>
      </w:r>
      <w:r w:rsidRPr="005C05A4">
        <w:rPr>
          <w:sz w:val="22"/>
          <w:szCs w:val="22"/>
        </w:rPr>
        <w:t>α</w:t>
      </w:r>
      <w:r w:rsidRPr="005C05A4">
        <w:rPr>
          <w:sz w:val="22"/>
          <w:szCs w:val="22"/>
        </w:rPr>
        <w:t xml:space="preserve">κά συστήματα του Υπουργείου Εργασίας, Κοινωνικής Ασφάλισης και Κοινωνικής Αλληλεγγύης και της ΑΑΔΕ. </w:t>
      </w:r>
    </w:p>
    <w:p w:rsidR="00ED5FA9" w:rsidRDefault="005C05A4" w:rsidP="00ED5FA9">
      <w:pPr>
        <w:numPr>
          <w:ilvl w:val="0"/>
          <w:numId w:val="33"/>
        </w:numPr>
        <w:ind w:left="284" w:hanging="284"/>
        <w:jc w:val="both"/>
        <w:rPr>
          <w:sz w:val="22"/>
          <w:szCs w:val="22"/>
        </w:rPr>
      </w:pPr>
      <w:r w:rsidRPr="005C05A4">
        <w:rPr>
          <w:sz w:val="22"/>
          <w:szCs w:val="22"/>
        </w:rPr>
        <w:t>Αξιοποιείται το σύστημα ανάλυσης κινδύνου (risk analysis) για περαιτέρω στοχευμένους ελέγχους και αντιμετώπιση του φαινομένου της υποδηλωμένης εργασίας, καθώς και το Ολοκληρωμένο Πληροφοριακό Σύστημα ΣΕΠΕ με νέ</w:t>
      </w:r>
      <w:r w:rsidR="00934943">
        <w:rPr>
          <w:sz w:val="22"/>
          <w:szCs w:val="22"/>
        </w:rPr>
        <w:t>ες λειτουργίες.</w:t>
      </w:r>
    </w:p>
    <w:p w:rsidR="005C05A4" w:rsidRPr="00ED5FA9" w:rsidRDefault="005C05A4" w:rsidP="00ED5FA9">
      <w:pPr>
        <w:jc w:val="both"/>
        <w:rPr>
          <w:sz w:val="22"/>
          <w:szCs w:val="22"/>
        </w:rPr>
      </w:pPr>
    </w:p>
    <w:p w:rsidR="005C05A4" w:rsidRPr="005C05A4" w:rsidRDefault="005C05A4" w:rsidP="005C05A4">
      <w:pPr>
        <w:jc w:val="both"/>
        <w:rPr>
          <w:sz w:val="22"/>
          <w:szCs w:val="22"/>
        </w:rPr>
      </w:pPr>
      <w:r w:rsidRPr="005C05A4">
        <w:rPr>
          <w:sz w:val="22"/>
          <w:szCs w:val="22"/>
        </w:rPr>
        <w:t>Παράλληλα</w:t>
      </w:r>
      <w:r w:rsidR="00934943">
        <w:rPr>
          <w:sz w:val="22"/>
          <w:szCs w:val="22"/>
        </w:rPr>
        <w:t>,</w:t>
      </w:r>
      <w:r w:rsidRPr="005C05A4">
        <w:rPr>
          <w:sz w:val="22"/>
          <w:szCs w:val="22"/>
        </w:rPr>
        <w:t xml:space="preserve"> προωθείται η ενοποίηση της διαδικασίας είσπραξης των ασφαλιστικών εισφορών σε σ</w:t>
      </w:r>
      <w:r w:rsidRPr="005C05A4">
        <w:rPr>
          <w:sz w:val="22"/>
          <w:szCs w:val="22"/>
        </w:rPr>
        <w:t>υ</w:t>
      </w:r>
      <w:r w:rsidRPr="005C05A4">
        <w:rPr>
          <w:sz w:val="22"/>
          <w:szCs w:val="22"/>
        </w:rPr>
        <w:t>νεργασία με τη φορολογική διοίκηση, γεγονός που αναμένεται να βελτιώσει την εισπραξιμότητα. Η δημιουργία ενός ενοποιημένου μητρώου εισφερόντων, καθώς και η εναρμόνιση των εισπρακτικών δ</w:t>
      </w:r>
      <w:r w:rsidRPr="005C05A4">
        <w:rPr>
          <w:sz w:val="22"/>
          <w:szCs w:val="22"/>
        </w:rPr>
        <w:t>ι</w:t>
      </w:r>
      <w:r w:rsidRPr="005C05A4">
        <w:rPr>
          <w:sz w:val="22"/>
          <w:szCs w:val="22"/>
        </w:rPr>
        <w:t>αδικασιών εκτιμάται ότι θα συμβάλουν στην αποτελεσματικότερη διαχείριση του συνόλου των ασφ</w:t>
      </w:r>
      <w:r w:rsidRPr="005C05A4">
        <w:rPr>
          <w:sz w:val="22"/>
          <w:szCs w:val="22"/>
        </w:rPr>
        <w:t>α</w:t>
      </w:r>
      <w:r w:rsidRPr="005C05A4">
        <w:rPr>
          <w:sz w:val="22"/>
          <w:szCs w:val="22"/>
        </w:rPr>
        <w:t xml:space="preserve">λιστικών εισφορών. </w:t>
      </w:r>
    </w:p>
    <w:p w:rsidR="00ED5FA9" w:rsidRDefault="00ED5FA9" w:rsidP="00ED5FA9">
      <w:pPr>
        <w:jc w:val="both"/>
        <w:rPr>
          <w:sz w:val="22"/>
          <w:szCs w:val="22"/>
        </w:rPr>
      </w:pPr>
    </w:p>
    <w:p w:rsidR="00A42AA4" w:rsidRDefault="00A42AA4" w:rsidP="00ED5FA9">
      <w:pPr>
        <w:jc w:val="both"/>
        <w:rPr>
          <w:sz w:val="22"/>
          <w:szCs w:val="22"/>
        </w:rPr>
      </w:pPr>
    </w:p>
    <w:p w:rsidR="00A42AA4" w:rsidRDefault="00A42AA4" w:rsidP="00ED5FA9">
      <w:pPr>
        <w:jc w:val="both"/>
        <w:rPr>
          <w:sz w:val="22"/>
          <w:szCs w:val="22"/>
        </w:rPr>
      </w:pPr>
    </w:p>
    <w:p w:rsidR="00486710" w:rsidRDefault="00486710" w:rsidP="00ED5FA9">
      <w:pPr>
        <w:jc w:val="both"/>
        <w:rPr>
          <w:sz w:val="22"/>
          <w:szCs w:val="22"/>
        </w:rPr>
      </w:pPr>
    </w:p>
    <w:p w:rsidR="00486710" w:rsidRDefault="00486710" w:rsidP="00ED5FA9">
      <w:pPr>
        <w:jc w:val="both"/>
        <w:rPr>
          <w:sz w:val="22"/>
          <w:szCs w:val="22"/>
        </w:rPr>
      </w:pPr>
    </w:p>
    <w:p w:rsidR="00A42AA4" w:rsidRDefault="00A42AA4" w:rsidP="00ED5FA9">
      <w:pPr>
        <w:jc w:val="both"/>
        <w:rPr>
          <w:sz w:val="22"/>
          <w:szCs w:val="22"/>
        </w:rPr>
      </w:pPr>
    </w:p>
    <w:p w:rsidR="00A42AA4" w:rsidRPr="00ED5FA9" w:rsidRDefault="00A42AA4" w:rsidP="00ED5FA9">
      <w:pPr>
        <w:jc w:val="both"/>
        <w:rPr>
          <w:sz w:val="22"/>
          <w:szCs w:val="22"/>
        </w:rPr>
      </w:pPr>
    </w:p>
    <w:p w:rsidR="00FF6C69" w:rsidRPr="00E91600" w:rsidRDefault="00FF6C69" w:rsidP="00FF6C69">
      <w:pPr>
        <w:autoSpaceDE w:val="0"/>
        <w:autoSpaceDN w:val="0"/>
        <w:adjustRightInd w:val="0"/>
        <w:jc w:val="both"/>
        <w:rPr>
          <w:sz w:val="26"/>
        </w:rPr>
      </w:pPr>
    </w:p>
    <w:p w:rsidR="00E91600" w:rsidRPr="00427B49" w:rsidRDefault="00E91600" w:rsidP="00FF6C69">
      <w:pPr>
        <w:autoSpaceDE w:val="0"/>
        <w:autoSpaceDN w:val="0"/>
        <w:adjustRightInd w:val="0"/>
        <w:jc w:val="both"/>
        <w:rPr>
          <w:sz w:val="22"/>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1787"/>
        <w:gridCol w:w="1773"/>
      </w:tblGrid>
      <w:tr w:rsidR="00FF6C69" w:rsidRPr="009B0848" w:rsidTr="00FF6C69">
        <w:trPr>
          <w:tblHeader/>
          <w:jc w:val="center"/>
        </w:trPr>
        <w:tc>
          <w:tcPr>
            <w:tcW w:w="8751" w:type="dxa"/>
            <w:gridSpan w:val="3"/>
            <w:tcBorders>
              <w:bottom w:val="nil"/>
            </w:tcBorders>
            <w:shd w:val="clear" w:color="auto" w:fill="404040"/>
          </w:tcPr>
          <w:p w:rsidR="00FF6C69" w:rsidRPr="009B0848" w:rsidRDefault="00164DB6" w:rsidP="00FF6C69">
            <w:pPr>
              <w:tabs>
                <w:tab w:val="num" w:pos="720"/>
              </w:tabs>
              <w:spacing w:before="120"/>
              <w:jc w:val="center"/>
              <w:rPr>
                <w:rFonts w:ascii="Arial Narrow" w:hAnsi="Arial Narrow"/>
                <w:b/>
                <w:color w:val="FFFFFF"/>
                <w:szCs w:val="16"/>
              </w:rPr>
            </w:pPr>
            <w:r>
              <w:rPr>
                <w:rFonts w:ascii="Arial Narrow" w:hAnsi="Arial Narrow"/>
                <w:b/>
                <w:color w:val="FFFFFF"/>
                <w:szCs w:val="16"/>
              </w:rPr>
              <w:t>Πίνακας 3.22</w:t>
            </w:r>
            <w:r w:rsidR="00FF6C69" w:rsidRPr="009B0848">
              <w:rPr>
                <w:rFonts w:ascii="Arial Narrow" w:hAnsi="Arial Narrow"/>
                <w:b/>
                <w:color w:val="FFFFFF"/>
                <w:szCs w:val="16"/>
              </w:rPr>
              <w:t xml:space="preserve"> Προϋπολογισμοί φορέων κοινωνικής ασφάλισης και νοσοκομείων – ΠΕΔΥ </w:t>
            </w:r>
          </w:p>
          <w:p w:rsidR="00FF6C69" w:rsidRPr="009B0848" w:rsidRDefault="00FF6C69" w:rsidP="00FF6C69">
            <w:pPr>
              <w:tabs>
                <w:tab w:val="num" w:pos="720"/>
              </w:tabs>
              <w:spacing w:after="120"/>
              <w:jc w:val="center"/>
              <w:rPr>
                <w:rFonts w:ascii="Arial Narrow" w:hAnsi="Arial Narrow"/>
                <w:b/>
                <w:color w:val="FFFFFF"/>
                <w:szCs w:val="16"/>
              </w:rPr>
            </w:pPr>
            <w:r w:rsidRPr="009B0848">
              <w:rPr>
                <w:rFonts w:ascii="Arial Narrow" w:hAnsi="Arial Narrow"/>
                <w:b/>
                <w:color w:val="FFFFFF"/>
                <w:szCs w:val="16"/>
              </w:rPr>
              <w:t>(σε εκατ. ευρώ)</w:t>
            </w:r>
          </w:p>
        </w:tc>
      </w:tr>
      <w:tr w:rsidR="00FF6C69" w:rsidRPr="00E91600" w:rsidTr="00FF6C69">
        <w:trPr>
          <w:trHeight w:val="170"/>
          <w:tblHeader/>
          <w:jc w:val="center"/>
        </w:trPr>
        <w:tc>
          <w:tcPr>
            <w:tcW w:w="8751" w:type="dxa"/>
            <w:gridSpan w:val="3"/>
            <w:tcBorders>
              <w:top w:val="nil"/>
            </w:tcBorders>
          </w:tcPr>
          <w:p w:rsidR="00FF6C69" w:rsidRPr="00E91600" w:rsidRDefault="00FF6C69" w:rsidP="00FF6C69">
            <w:pPr>
              <w:tabs>
                <w:tab w:val="num" w:pos="720"/>
              </w:tabs>
              <w:jc w:val="center"/>
              <w:rPr>
                <w:rFonts w:ascii="Arial Narrow" w:hAnsi="Arial Narrow"/>
                <w:b/>
                <w:sz w:val="16"/>
                <w:szCs w:val="16"/>
              </w:rPr>
            </w:pPr>
          </w:p>
        </w:tc>
      </w:tr>
      <w:tr w:rsidR="00FF6C69" w:rsidRPr="009B0848" w:rsidTr="00FF6C69">
        <w:trPr>
          <w:tblHeader/>
          <w:jc w:val="center"/>
        </w:trPr>
        <w:tc>
          <w:tcPr>
            <w:tcW w:w="5191" w:type="dxa"/>
            <w:tcBorders>
              <w:bottom w:val="single" w:sz="4" w:space="0" w:color="auto"/>
            </w:tcBorders>
          </w:tcPr>
          <w:p w:rsidR="00FF6C69" w:rsidRPr="009B0848" w:rsidRDefault="00FF6C69" w:rsidP="00FF6C69">
            <w:pPr>
              <w:tabs>
                <w:tab w:val="num" w:pos="720"/>
              </w:tabs>
              <w:jc w:val="center"/>
              <w:rPr>
                <w:rFonts w:ascii="Arial Narrow" w:hAnsi="Arial Narrow"/>
                <w:b/>
                <w:sz w:val="16"/>
                <w:szCs w:val="16"/>
              </w:rPr>
            </w:pPr>
          </w:p>
        </w:tc>
        <w:tc>
          <w:tcPr>
            <w:tcW w:w="1787" w:type="dxa"/>
            <w:tcBorders>
              <w:bottom w:val="single" w:sz="4" w:space="0" w:color="auto"/>
            </w:tcBorders>
          </w:tcPr>
          <w:p w:rsidR="00FF6C69" w:rsidRPr="009B0848" w:rsidRDefault="000822D0" w:rsidP="00FF6C69">
            <w:pPr>
              <w:tabs>
                <w:tab w:val="num" w:pos="720"/>
              </w:tabs>
              <w:jc w:val="center"/>
              <w:rPr>
                <w:rFonts w:ascii="Arial Narrow" w:hAnsi="Arial Narrow"/>
                <w:b/>
                <w:sz w:val="16"/>
                <w:szCs w:val="16"/>
              </w:rPr>
            </w:pPr>
            <w:r>
              <w:rPr>
                <w:rFonts w:ascii="Arial Narrow" w:hAnsi="Arial Narrow"/>
                <w:b/>
                <w:sz w:val="16"/>
                <w:szCs w:val="16"/>
              </w:rPr>
              <w:t>2017</w:t>
            </w:r>
          </w:p>
          <w:p w:rsidR="00FF6C69" w:rsidRPr="009B0848" w:rsidRDefault="00FF6C69" w:rsidP="00FF6C69">
            <w:pPr>
              <w:tabs>
                <w:tab w:val="num" w:pos="720"/>
              </w:tabs>
              <w:jc w:val="center"/>
              <w:rPr>
                <w:rFonts w:ascii="Arial Narrow" w:hAnsi="Arial Narrow"/>
                <w:b/>
                <w:sz w:val="16"/>
                <w:szCs w:val="16"/>
              </w:rPr>
            </w:pPr>
            <w:r w:rsidRPr="009B0848">
              <w:rPr>
                <w:rFonts w:ascii="Arial Narrow" w:hAnsi="Arial Narrow"/>
                <w:b/>
                <w:sz w:val="16"/>
                <w:szCs w:val="16"/>
              </w:rPr>
              <w:t>Εκτιμήσεις</w:t>
            </w:r>
          </w:p>
        </w:tc>
        <w:tc>
          <w:tcPr>
            <w:tcW w:w="1773" w:type="dxa"/>
            <w:tcBorders>
              <w:bottom w:val="single" w:sz="4" w:space="0" w:color="auto"/>
            </w:tcBorders>
          </w:tcPr>
          <w:p w:rsidR="00FF6C69" w:rsidRPr="009B0848" w:rsidRDefault="000822D0" w:rsidP="00FF6C69">
            <w:pPr>
              <w:tabs>
                <w:tab w:val="num" w:pos="720"/>
              </w:tabs>
              <w:jc w:val="center"/>
              <w:rPr>
                <w:rFonts w:ascii="Arial Narrow" w:hAnsi="Arial Narrow"/>
                <w:b/>
                <w:sz w:val="16"/>
                <w:szCs w:val="16"/>
              </w:rPr>
            </w:pPr>
            <w:r>
              <w:rPr>
                <w:rFonts w:ascii="Arial Narrow" w:hAnsi="Arial Narrow"/>
                <w:b/>
                <w:sz w:val="16"/>
                <w:szCs w:val="16"/>
              </w:rPr>
              <w:t>2018</w:t>
            </w:r>
          </w:p>
          <w:p w:rsidR="00FF6C69" w:rsidRPr="009B0848" w:rsidRDefault="00FF6C69" w:rsidP="00FF6C69">
            <w:pPr>
              <w:tabs>
                <w:tab w:val="num" w:pos="720"/>
              </w:tabs>
              <w:jc w:val="center"/>
              <w:rPr>
                <w:rFonts w:ascii="Arial Narrow" w:hAnsi="Arial Narrow"/>
                <w:b/>
                <w:sz w:val="16"/>
                <w:szCs w:val="16"/>
              </w:rPr>
            </w:pPr>
            <w:r w:rsidRPr="009B0848">
              <w:rPr>
                <w:rFonts w:ascii="Arial Narrow" w:hAnsi="Arial Narrow"/>
                <w:b/>
                <w:sz w:val="16"/>
                <w:szCs w:val="16"/>
              </w:rPr>
              <w:t>Προβλέψεις</w:t>
            </w:r>
          </w:p>
        </w:tc>
      </w:tr>
      <w:tr w:rsidR="00FF6C69" w:rsidRPr="009B0848" w:rsidTr="00FF6C69">
        <w:trPr>
          <w:jc w:val="center"/>
        </w:trPr>
        <w:tc>
          <w:tcPr>
            <w:tcW w:w="5191" w:type="dxa"/>
            <w:tcBorders>
              <w:bottom w:val="nil"/>
              <w:right w:val="nil"/>
            </w:tcBorders>
            <w:shd w:val="clear" w:color="auto" w:fill="A6A6A6"/>
          </w:tcPr>
          <w:p w:rsidR="00FF6C69" w:rsidRPr="009B0848" w:rsidRDefault="00FF6C69" w:rsidP="00FF6C69">
            <w:pPr>
              <w:tabs>
                <w:tab w:val="num" w:pos="720"/>
              </w:tabs>
              <w:spacing w:line="235" w:lineRule="auto"/>
              <w:rPr>
                <w:rFonts w:ascii="Arial Narrow" w:hAnsi="Arial Narrow"/>
                <w:b/>
                <w:sz w:val="16"/>
                <w:szCs w:val="16"/>
              </w:rPr>
            </w:pPr>
            <w:r w:rsidRPr="009B0848">
              <w:rPr>
                <w:rFonts w:ascii="Arial Narrow" w:hAnsi="Arial Narrow"/>
                <w:b/>
                <w:sz w:val="16"/>
                <w:szCs w:val="16"/>
              </w:rPr>
              <w:t>Ι. Φορείς κοινωνικής ασφάλισης</w:t>
            </w:r>
          </w:p>
        </w:tc>
        <w:tc>
          <w:tcPr>
            <w:tcW w:w="1787" w:type="dxa"/>
            <w:tcBorders>
              <w:left w:val="nil"/>
              <w:bottom w:val="nil"/>
              <w:right w:val="nil"/>
            </w:tcBorders>
            <w:shd w:val="clear" w:color="auto" w:fill="A6A6A6"/>
            <w:vAlign w:val="center"/>
          </w:tcPr>
          <w:p w:rsidR="00FF6C69" w:rsidRPr="00F74488" w:rsidRDefault="00FF6C69" w:rsidP="006D028D">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c>
          <w:tcPr>
            <w:tcW w:w="1773" w:type="dxa"/>
            <w:tcBorders>
              <w:left w:val="nil"/>
              <w:bottom w:val="nil"/>
            </w:tcBorders>
            <w:shd w:val="clear" w:color="auto" w:fill="A6A6A6"/>
            <w:vAlign w:val="center"/>
          </w:tcPr>
          <w:p w:rsidR="00FF6C69" w:rsidRPr="00F74488" w:rsidRDefault="00FF6C69" w:rsidP="006D028D">
            <w:pPr>
              <w:spacing w:line="235" w:lineRule="auto"/>
              <w:ind w:right="567"/>
              <w:jc w:val="right"/>
              <w:rPr>
                <w:rFonts w:ascii="Arial Narrow" w:hAnsi="Arial Narrow"/>
                <w:b/>
                <w:bCs/>
                <w:sz w:val="16"/>
                <w:szCs w:val="16"/>
              </w:rPr>
            </w:pPr>
            <w:r w:rsidRPr="00F74488">
              <w:rPr>
                <w:rFonts w:ascii="Arial Narrow" w:hAnsi="Arial Narrow"/>
                <w:b/>
                <w:bCs/>
                <w:sz w:val="16"/>
                <w:szCs w:val="16"/>
              </w:rPr>
              <w:t> </w:t>
            </w:r>
          </w:p>
        </w:tc>
      </w:tr>
      <w:tr w:rsidR="00FF6C69" w:rsidRPr="009B0848" w:rsidTr="00FF6C69">
        <w:trPr>
          <w:jc w:val="center"/>
        </w:trPr>
        <w:tc>
          <w:tcPr>
            <w:tcW w:w="5191" w:type="dxa"/>
            <w:tcBorders>
              <w:top w:val="nil"/>
              <w:bottom w:val="nil"/>
              <w:right w:val="nil"/>
            </w:tcBorders>
          </w:tcPr>
          <w:p w:rsidR="00FF6C69" w:rsidRPr="009B0848" w:rsidRDefault="00FF6C69" w:rsidP="008A5FAE">
            <w:pPr>
              <w:spacing w:line="235" w:lineRule="auto"/>
              <w:rPr>
                <w:rFonts w:ascii="Arial Narrow" w:hAnsi="Arial Narrow"/>
                <w:sz w:val="16"/>
                <w:szCs w:val="16"/>
              </w:rPr>
            </w:pPr>
            <w:r w:rsidRPr="009B0848">
              <w:rPr>
                <w:rFonts w:ascii="Arial Narrow" w:hAnsi="Arial Narrow"/>
                <w:sz w:val="16"/>
                <w:szCs w:val="16"/>
              </w:rPr>
              <w:t xml:space="preserve">α) </w:t>
            </w:r>
            <w:r w:rsidR="008A5FAE">
              <w:rPr>
                <w:rFonts w:ascii="Arial Narrow" w:hAnsi="Arial Narrow"/>
                <w:sz w:val="16"/>
                <w:szCs w:val="16"/>
              </w:rPr>
              <w:t>Ασφαλιστικά Ταμεία</w:t>
            </w:r>
          </w:p>
        </w:tc>
        <w:tc>
          <w:tcPr>
            <w:tcW w:w="1787" w:type="dxa"/>
            <w:tcBorders>
              <w:top w:val="nil"/>
              <w:left w:val="nil"/>
              <w:bottom w:val="nil"/>
              <w:right w:val="nil"/>
            </w:tcBorders>
            <w:vAlign w:val="center"/>
          </w:tcPr>
          <w:p w:rsidR="00FF6C69" w:rsidRPr="00F74488" w:rsidRDefault="00FF6C69" w:rsidP="006D028D">
            <w:pPr>
              <w:spacing w:line="235" w:lineRule="auto"/>
              <w:ind w:right="567"/>
              <w:jc w:val="right"/>
              <w:rPr>
                <w:rFonts w:ascii="Arial Narrow" w:hAnsi="Arial Narrow"/>
                <w:sz w:val="16"/>
                <w:szCs w:val="16"/>
              </w:rPr>
            </w:pPr>
            <w:r w:rsidRPr="00F74488">
              <w:rPr>
                <w:rFonts w:ascii="Arial Narrow" w:hAnsi="Arial Narrow"/>
                <w:sz w:val="16"/>
                <w:szCs w:val="16"/>
              </w:rPr>
              <w:t> </w:t>
            </w:r>
          </w:p>
        </w:tc>
        <w:tc>
          <w:tcPr>
            <w:tcW w:w="1773" w:type="dxa"/>
            <w:tcBorders>
              <w:top w:val="nil"/>
              <w:left w:val="nil"/>
              <w:bottom w:val="nil"/>
            </w:tcBorders>
            <w:vAlign w:val="center"/>
          </w:tcPr>
          <w:p w:rsidR="00FF6C69" w:rsidRPr="00F74488" w:rsidRDefault="00FF6C69" w:rsidP="006D028D">
            <w:pPr>
              <w:spacing w:line="235" w:lineRule="auto"/>
              <w:ind w:right="567"/>
              <w:jc w:val="right"/>
              <w:rPr>
                <w:rFonts w:ascii="Arial Narrow" w:hAnsi="Arial Narrow"/>
                <w:sz w:val="16"/>
                <w:szCs w:val="16"/>
              </w:rPr>
            </w:pPr>
            <w:r w:rsidRPr="00F74488">
              <w:rPr>
                <w:rFonts w:ascii="Arial Narrow" w:hAnsi="Arial Narrow"/>
                <w:sz w:val="16"/>
                <w:szCs w:val="16"/>
              </w:rPr>
              <w:t> </w:t>
            </w:r>
          </w:p>
        </w:tc>
      </w:tr>
      <w:tr w:rsidR="008A5FAE" w:rsidRPr="009B0848" w:rsidTr="00FF6C69">
        <w:trPr>
          <w:jc w:val="center"/>
        </w:trPr>
        <w:tc>
          <w:tcPr>
            <w:tcW w:w="5191" w:type="dxa"/>
            <w:tcBorders>
              <w:top w:val="nil"/>
              <w:bottom w:val="nil"/>
              <w:right w:val="nil"/>
            </w:tcBorders>
          </w:tcPr>
          <w:p w:rsidR="008A5FAE" w:rsidRPr="009B0848" w:rsidRDefault="008A5FAE" w:rsidP="00FF6C69">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8A5FAE" w:rsidRDefault="008A5FAE" w:rsidP="006D028D">
            <w:pPr>
              <w:ind w:right="567"/>
              <w:jc w:val="right"/>
              <w:rPr>
                <w:rFonts w:ascii="Arial Narrow" w:hAnsi="Arial Narrow"/>
                <w:b/>
                <w:bCs/>
                <w:sz w:val="16"/>
                <w:szCs w:val="16"/>
              </w:rPr>
            </w:pPr>
            <w:r>
              <w:rPr>
                <w:rFonts w:ascii="Arial Narrow" w:hAnsi="Arial Narrow"/>
                <w:b/>
                <w:bCs/>
                <w:sz w:val="16"/>
                <w:szCs w:val="16"/>
              </w:rPr>
              <w:t>43.097</w:t>
            </w:r>
          </w:p>
        </w:tc>
        <w:tc>
          <w:tcPr>
            <w:tcW w:w="1773" w:type="dxa"/>
            <w:tcBorders>
              <w:top w:val="nil"/>
              <w:left w:val="nil"/>
              <w:bottom w:val="nil"/>
            </w:tcBorders>
            <w:vAlign w:val="center"/>
          </w:tcPr>
          <w:p w:rsidR="008A5FAE" w:rsidRDefault="008A5FAE" w:rsidP="006D028D">
            <w:pPr>
              <w:ind w:right="567"/>
              <w:jc w:val="right"/>
              <w:rPr>
                <w:rFonts w:ascii="Arial Narrow" w:hAnsi="Arial Narrow"/>
                <w:b/>
                <w:bCs/>
                <w:sz w:val="16"/>
                <w:szCs w:val="16"/>
              </w:rPr>
            </w:pPr>
            <w:r>
              <w:rPr>
                <w:rFonts w:ascii="Arial Narrow" w:hAnsi="Arial Narrow"/>
                <w:b/>
                <w:bCs/>
                <w:sz w:val="16"/>
                <w:szCs w:val="16"/>
              </w:rPr>
              <w:t>43.403</w:t>
            </w:r>
          </w:p>
        </w:tc>
      </w:tr>
      <w:tr w:rsidR="008A5FAE" w:rsidRPr="009B0848" w:rsidTr="00FF6C69">
        <w:trPr>
          <w:jc w:val="center"/>
        </w:trPr>
        <w:tc>
          <w:tcPr>
            <w:tcW w:w="5191" w:type="dxa"/>
            <w:tcBorders>
              <w:top w:val="nil"/>
              <w:bottom w:val="nil"/>
              <w:right w:val="nil"/>
            </w:tcBorders>
          </w:tcPr>
          <w:p w:rsidR="008A5FAE" w:rsidRPr="009B0848" w:rsidRDefault="008A5FAE" w:rsidP="00FF6C69">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12.775</w:t>
            </w:r>
          </w:p>
        </w:tc>
        <w:tc>
          <w:tcPr>
            <w:tcW w:w="1773" w:type="dxa"/>
            <w:tcBorders>
              <w:top w:val="nil"/>
              <w:left w:val="nil"/>
              <w:bottom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13.143</w:t>
            </w:r>
          </w:p>
        </w:tc>
      </w:tr>
      <w:tr w:rsidR="008A5FAE" w:rsidRPr="009B0848" w:rsidTr="00FF6C69">
        <w:trPr>
          <w:jc w:val="center"/>
        </w:trPr>
        <w:tc>
          <w:tcPr>
            <w:tcW w:w="5191" w:type="dxa"/>
            <w:tcBorders>
              <w:top w:val="nil"/>
              <w:bottom w:val="nil"/>
              <w:right w:val="nil"/>
            </w:tcBorders>
          </w:tcPr>
          <w:p w:rsidR="008A5FAE" w:rsidRPr="009B0848" w:rsidRDefault="008A5FAE" w:rsidP="00FF6C69">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1.122</w:t>
            </w:r>
          </w:p>
        </w:tc>
        <w:tc>
          <w:tcPr>
            <w:tcW w:w="1773" w:type="dxa"/>
            <w:tcBorders>
              <w:top w:val="nil"/>
              <w:left w:val="nil"/>
              <w:bottom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1.114</w:t>
            </w:r>
          </w:p>
        </w:tc>
      </w:tr>
      <w:tr w:rsidR="008A5FAE" w:rsidRPr="009B0848" w:rsidTr="00FF6C69">
        <w:trPr>
          <w:jc w:val="center"/>
        </w:trPr>
        <w:tc>
          <w:tcPr>
            <w:tcW w:w="5191" w:type="dxa"/>
            <w:tcBorders>
              <w:top w:val="nil"/>
              <w:bottom w:val="nil"/>
              <w:right w:val="nil"/>
            </w:tcBorders>
          </w:tcPr>
          <w:p w:rsidR="008A5FAE" w:rsidRPr="009B0848" w:rsidRDefault="008A5FAE" w:rsidP="00FF6C69">
            <w:pPr>
              <w:spacing w:line="235" w:lineRule="auto"/>
              <w:rPr>
                <w:rFonts w:ascii="Arial Narrow" w:hAnsi="Arial Narrow"/>
                <w:sz w:val="16"/>
                <w:szCs w:val="16"/>
              </w:rPr>
            </w:pPr>
            <w:r w:rsidRPr="009B0848">
              <w:rPr>
                <w:rFonts w:ascii="Arial Narrow" w:hAnsi="Arial Narrow"/>
                <w:sz w:val="16"/>
                <w:szCs w:val="16"/>
              </w:rPr>
              <w:t>Μεταβιβάσεις από ΑΚΑΓΕ</w:t>
            </w:r>
          </w:p>
        </w:tc>
        <w:tc>
          <w:tcPr>
            <w:tcW w:w="1787" w:type="dxa"/>
            <w:tcBorders>
              <w:top w:val="nil"/>
              <w:left w:val="nil"/>
              <w:bottom w:val="nil"/>
              <w:right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395</w:t>
            </w:r>
          </w:p>
        </w:tc>
        <w:tc>
          <w:tcPr>
            <w:tcW w:w="1773" w:type="dxa"/>
            <w:tcBorders>
              <w:top w:val="nil"/>
              <w:left w:val="nil"/>
              <w:bottom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395</w:t>
            </w:r>
          </w:p>
        </w:tc>
      </w:tr>
      <w:tr w:rsidR="008A5FAE" w:rsidRPr="009B0848" w:rsidTr="00FF6C69">
        <w:trPr>
          <w:jc w:val="center"/>
        </w:trPr>
        <w:tc>
          <w:tcPr>
            <w:tcW w:w="5191" w:type="dxa"/>
            <w:tcBorders>
              <w:top w:val="nil"/>
              <w:bottom w:val="nil"/>
              <w:right w:val="nil"/>
            </w:tcBorders>
          </w:tcPr>
          <w:p w:rsidR="008A5FAE" w:rsidRPr="009B0848" w:rsidRDefault="008A5FAE" w:rsidP="00FF6C69">
            <w:pPr>
              <w:spacing w:line="235" w:lineRule="auto"/>
              <w:rPr>
                <w:rFonts w:ascii="Arial Narrow" w:hAnsi="Arial Narrow"/>
                <w:sz w:val="16"/>
                <w:szCs w:val="16"/>
              </w:rPr>
            </w:pPr>
            <w:r w:rsidRPr="009B0848">
              <w:rPr>
                <w:rFonts w:ascii="Arial Narrow" w:hAnsi="Arial Narrow"/>
                <w:sz w:val="16"/>
                <w:szCs w:val="16"/>
              </w:rPr>
              <w:t>Κοινωνικοί πόροι</w:t>
            </w:r>
          </w:p>
        </w:tc>
        <w:tc>
          <w:tcPr>
            <w:tcW w:w="1787" w:type="dxa"/>
            <w:tcBorders>
              <w:top w:val="nil"/>
              <w:left w:val="nil"/>
              <w:bottom w:val="nil"/>
              <w:right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655</w:t>
            </w:r>
          </w:p>
        </w:tc>
        <w:tc>
          <w:tcPr>
            <w:tcW w:w="1773" w:type="dxa"/>
            <w:tcBorders>
              <w:top w:val="nil"/>
              <w:left w:val="nil"/>
              <w:bottom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670</w:t>
            </w:r>
          </w:p>
        </w:tc>
      </w:tr>
      <w:tr w:rsidR="008A5FAE" w:rsidRPr="009B0848" w:rsidTr="00FF6C69">
        <w:trPr>
          <w:jc w:val="center"/>
        </w:trPr>
        <w:tc>
          <w:tcPr>
            <w:tcW w:w="5191" w:type="dxa"/>
            <w:tcBorders>
              <w:top w:val="nil"/>
              <w:bottom w:val="nil"/>
              <w:right w:val="nil"/>
            </w:tcBorders>
          </w:tcPr>
          <w:p w:rsidR="008A5FAE" w:rsidRPr="009B0848" w:rsidRDefault="008A5FAE" w:rsidP="00FF6C69">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14.628</w:t>
            </w:r>
          </w:p>
        </w:tc>
        <w:tc>
          <w:tcPr>
            <w:tcW w:w="1773" w:type="dxa"/>
            <w:tcBorders>
              <w:top w:val="nil"/>
              <w:left w:val="nil"/>
              <w:bottom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14.627</w:t>
            </w:r>
          </w:p>
        </w:tc>
      </w:tr>
      <w:tr w:rsidR="008A5FAE" w:rsidRPr="009B0848" w:rsidTr="00FF6C69">
        <w:trPr>
          <w:jc w:val="center"/>
        </w:trPr>
        <w:tc>
          <w:tcPr>
            <w:tcW w:w="5191" w:type="dxa"/>
            <w:tcBorders>
              <w:top w:val="nil"/>
              <w:bottom w:val="nil"/>
              <w:right w:val="nil"/>
            </w:tcBorders>
          </w:tcPr>
          <w:p w:rsidR="008A5FAE" w:rsidRPr="009B0848" w:rsidRDefault="008A5FAE" w:rsidP="00FF6C69">
            <w:pPr>
              <w:spacing w:line="235" w:lineRule="auto"/>
              <w:rPr>
                <w:rFonts w:ascii="Arial Narrow" w:hAnsi="Arial Narrow"/>
                <w:sz w:val="16"/>
                <w:szCs w:val="16"/>
              </w:rPr>
            </w:pPr>
            <w:r>
              <w:rPr>
                <w:rFonts w:ascii="Arial Narrow" w:hAnsi="Arial Narrow"/>
                <w:sz w:val="16"/>
                <w:szCs w:val="16"/>
              </w:rPr>
              <w:t>Αντικρι</w:t>
            </w:r>
            <w:r w:rsidRPr="009B0848">
              <w:rPr>
                <w:rFonts w:ascii="Arial Narrow" w:hAnsi="Arial Narrow"/>
                <w:sz w:val="16"/>
                <w:szCs w:val="16"/>
              </w:rPr>
              <w:t>ζόμενα έσοδα</w:t>
            </w:r>
          </w:p>
        </w:tc>
        <w:tc>
          <w:tcPr>
            <w:tcW w:w="1787" w:type="dxa"/>
            <w:tcBorders>
              <w:top w:val="nil"/>
              <w:left w:val="nil"/>
              <w:bottom w:val="nil"/>
              <w:right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18</w:t>
            </w:r>
          </w:p>
        </w:tc>
        <w:tc>
          <w:tcPr>
            <w:tcW w:w="1773" w:type="dxa"/>
            <w:tcBorders>
              <w:top w:val="nil"/>
              <w:left w:val="nil"/>
              <w:bottom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18</w:t>
            </w:r>
          </w:p>
        </w:tc>
      </w:tr>
      <w:tr w:rsidR="008A5FAE" w:rsidRPr="009B0848" w:rsidTr="00FF6C69">
        <w:trPr>
          <w:jc w:val="center"/>
        </w:trPr>
        <w:tc>
          <w:tcPr>
            <w:tcW w:w="5191" w:type="dxa"/>
            <w:tcBorders>
              <w:top w:val="nil"/>
              <w:bottom w:val="nil"/>
              <w:right w:val="nil"/>
            </w:tcBorders>
          </w:tcPr>
          <w:p w:rsidR="008A5FAE" w:rsidRPr="009B0848" w:rsidRDefault="008A5FAE" w:rsidP="00FF6C69">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1.200</w:t>
            </w:r>
          </w:p>
        </w:tc>
        <w:tc>
          <w:tcPr>
            <w:tcW w:w="1773" w:type="dxa"/>
            <w:tcBorders>
              <w:top w:val="nil"/>
              <w:left w:val="nil"/>
              <w:bottom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1.200</w:t>
            </w:r>
          </w:p>
        </w:tc>
      </w:tr>
      <w:tr w:rsidR="008A5FAE" w:rsidRPr="009B0848" w:rsidTr="00FF6C69">
        <w:trPr>
          <w:jc w:val="center"/>
        </w:trPr>
        <w:tc>
          <w:tcPr>
            <w:tcW w:w="5191" w:type="dxa"/>
            <w:tcBorders>
              <w:top w:val="nil"/>
              <w:bottom w:val="nil"/>
              <w:right w:val="nil"/>
            </w:tcBorders>
          </w:tcPr>
          <w:p w:rsidR="008A5FAE" w:rsidRPr="009B0848" w:rsidRDefault="008A5FAE" w:rsidP="00FF6C69">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12.090</w:t>
            </w:r>
          </w:p>
        </w:tc>
        <w:tc>
          <w:tcPr>
            <w:tcW w:w="1773" w:type="dxa"/>
            <w:tcBorders>
              <w:top w:val="nil"/>
              <w:left w:val="nil"/>
              <w:bottom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12.088</w:t>
            </w:r>
          </w:p>
        </w:tc>
      </w:tr>
      <w:tr w:rsidR="008A5FAE" w:rsidRPr="009B0848" w:rsidTr="00FF6C69">
        <w:trPr>
          <w:jc w:val="center"/>
        </w:trPr>
        <w:tc>
          <w:tcPr>
            <w:tcW w:w="5191" w:type="dxa"/>
            <w:tcBorders>
              <w:top w:val="nil"/>
              <w:bottom w:val="nil"/>
              <w:right w:val="nil"/>
            </w:tcBorders>
          </w:tcPr>
          <w:p w:rsidR="008A5FAE" w:rsidRPr="009B0848" w:rsidRDefault="008A5FAE" w:rsidP="00FF6C69">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214</w:t>
            </w:r>
          </w:p>
        </w:tc>
        <w:tc>
          <w:tcPr>
            <w:tcW w:w="1773" w:type="dxa"/>
            <w:tcBorders>
              <w:top w:val="nil"/>
              <w:left w:val="nil"/>
              <w:bottom w:val="nil"/>
            </w:tcBorders>
            <w:vAlign w:val="center"/>
          </w:tcPr>
          <w:p w:rsidR="008A5FAE" w:rsidRDefault="008A5FAE" w:rsidP="006D028D">
            <w:pPr>
              <w:ind w:right="567"/>
              <w:jc w:val="right"/>
              <w:rPr>
                <w:rFonts w:ascii="Arial Narrow" w:hAnsi="Arial Narrow"/>
                <w:sz w:val="16"/>
                <w:szCs w:val="16"/>
              </w:rPr>
            </w:pPr>
            <w:r>
              <w:rPr>
                <w:rFonts w:ascii="Arial Narrow" w:hAnsi="Arial Narrow"/>
                <w:sz w:val="16"/>
                <w:szCs w:val="16"/>
              </w:rPr>
              <w:t>148</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42.592</w:t>
            </w:r>
          </w:p>
        </w:tc>
        <w:tc>
          <w:tcPr>
            <w:tcW w:w="1773" w:type="dxa"/>
            <w:tcBorders>
              <w:top w:val="nil"/>
              <w:left w:val="nil"/>
              <w:bottom w:val="nil"/>
            </w:tcBorders>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42.473</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Συντάξεις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28.870</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28.696</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i/>
                <w:iCs/>
                <w:sz w:val="16"/>
                <w:szCs w:val="16"/>
              </w:rPr>
            </w:pPr>
            <w:r w:rsidRPr="009B0848">
              <w:rPr>
                <w:rFonts w:ascii="Arial Narrow" w:hAnsi="Arial Narrow"/>
                <w:i/>
                <w:iCs/>
                <w:sz w:val="16"/>
                <w:szCs w:val="16"/>
              </w:rPr>
              <w:t xml:space="preserve">    Κύριας ασφάλισης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25.532</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25.322</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i/>
                <w:iCs/>
                <w:sz w:val="16"/>
                <w:szCs w:val="16"/>
              </w:rPr>
            </w:pPr>
            <w:r w:rsidRPr="009B0848">
              <w:rPr>
                <w:rFonts w:ascii="Arial Narrow" w:hAnsi="Arial Narrow"/>
                <w:i/>
                <w:iCs/>
                <w:sz w:val="16"/>
                <w:szCs w:val="16"/>
              </w:rPr>
              <w:t xml:space="preserve">    Επικουρικής ασφάλισης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3.338</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3.374</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Λοιπές παροχές ασθένειας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155</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155</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Προνοιακές παροχές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1.010</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1.094</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Λοιπές μεταβιβάσεις σε τρίτους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36</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25</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12.090</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12.088</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Λοιπές δαπάνες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214</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201</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217</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214</w:t>
            </w:r>
          </w:p>
        </w:tc>
      </w:tr>
      <w:tr w:rsidR="0095287F" w:rsidRPr="00DC3481" w:rsidTr="00FF6C69">
        <w:trPr>
          <w:jc w:val="center"/>
        </w:trPr>
        <w:tc>
          <w:tcPr>
            <w:tcW w:w="5191" w:type="dxa"/>
            <w:tcBorders>
              <w:top w:val="nil"/>
              <w:bottom w:val="nil"/>
              <w:right w:val="nil"/>
            </w:tcBorders>
            <w:shd w:val="clear" w:color="auto" w:fill="D9D9D9" w:themeFill="background1" w:themeFillShade="D9"/>
          </w:tcPr>
          <w:p w:rsidR="0095287F" w:rsidRPr="00DC3481" w:rsidRDefault="0095287F" w:rsidP="00FF6C69">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505</w:t>
            </w:r>
          </w:p>
        </w:tc>
        <w:tc>
          <w:tcPr>
            <w:tcW w:w="1773" w:type="dxa"/>
            <w:tcBorders>
              <w:top w:val="nil"/>
              <w:left w:val="nil"/>
              <w:bottom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930</w:t>
            </w:r>
          </w:p>
        </w:tc>
      </w:tr>
      <w:tr w:rsidR="0095287F" w:rsidRPr="00DC3481" w:rsidTr="00FF6C69">
        <w:trPr>
          <w:jc w:val="center"/>
        </w:trPr>
        <w:tc>
          <w:tcPr>
            <w:tcW w:w="5191" w:type="dxa"/>
            <w:tcBorders>
              <w:top w:val="nil"/>
              <w:bottom w:val="nil"/>
              <w:right w:val="nil"/>
            </w:tcBorders>
            <w:shd w:val="clear" w:color="auto" w:fill="D9D9D9" w:themeFill="background1" w:themeFillShade="D9"/>
          </w:tcPr>
          <w:p w:rsidR="0095287F" w:rsidRPr="00DC3481" w:rsidRDefault="0095287F" w:rsidP="00FF6C69">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-703</w:t>
            </w:r>
          </w:p>
        </w:tc>
        <w:tc>
          <w:tcPr>
            <w:tcW w:w="1773" w:type="dxa"/>
            <w:tcBorders>
              <w:top w:val="nil"/>
              <w:left w:val="nil"/>
              <w:bottom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-71</w:t>
            </w:r>
          </w:p>
        </w:tc>
      </w:tr>
      <w:tr w:rsidR="0095287F" w:rsidRPr="009B0848" w:rsidTr="00FF6C69">
        <w:trPr>
          <w:jc w:val="center"/>
        </w:trPr>
        <w:tc>
          <w:tcPr>
            <w:tcW w:w="5191" w:type="dxa"/>
            <w:tcBorders>
              <w:top w:val="nil"/>
              <w:bottom w:val="nil"/>
              <w:right w:val="nil"/>
            </w:tcBorders>
            <w:shd w:val="clear" w:color="auto" w:fill="D9D9D9" w:themeFill="background1" w:themeFillShade="D9"/>
          </w:tcPr>
          <w:p w:rsidR="0095287F" w:rsidRPr="005774C4" w:rsidRDefault="0095287F" w:rsidP="00FF6C69">
            <w:pPr>
              <w:spacing w:line="235" w:lineRule="auto"/>
              <w:rPr>
                <w:rFonts w:ascii="Arial Narrow" w:hAnsi="Arial Narrow"/>
                <w:b/>
                <w:bCs/>
                <w:sz w:val="16"/>
                <w:szCs w:val="16"/>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-198</w:t>
            </w:r>
          </w:p>
        </w:tc>
        <w:tc>
          <w:tcPr>
            <w:tcW w:w="1773" w:type="dxa"/>
            <w:tcBorders>
              <w:top w:val="nil"/>
              <w:left w:val="nil"/>
              <w:bottom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859</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β) ΟΑΕΔ,ΟΕΕ,ΟΕΚ</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 </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 </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2.925</w:t>
            </w:r>
          </w:p>
        </w:tc>
        <w:tc>
          <w:tcPr>
            <w:tcW w:w="1773" w:type="dxa"/>
            <w:tcBorders>
              <w:top w:val="nil"/>
              <w:left w:val="nil"/>
              <w:bottom w:val="nil"/>
            </w:tcBorders>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2.993</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1.822</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1.892</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193</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191</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505</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505</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130</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130</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67</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67</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95</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95</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113</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113</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2.296</w:t>
            </w:r>
          </w:p>
        </w:tc>
        <w:tc>
          <w:tcPr>
            <w:tcW w:w="1773" w:type="dxa"/>
            <w:tcBorders>
              <w:top w:val="nil"/>
              <w:left w:val="nil"/>
              <w:bottom w:val="nil"/>
            </w:tcBorders>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2.407</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Επιδόματα ανεργίας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988</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986</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Προγράμματα απασχόλησης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350</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450</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Λοιπές προνοιακές παροχές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88</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88</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Μεταβιβάσεις στο ΙΚΑ</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561</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575</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95</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95</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100</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103</w:t>
            </w:r>
          </w:p>
        </w:tc>
      </w:tr>
      <w:tr w:rsidR="0095287F" w:rsidRPr="009B0848" w:rsidTr="00FF6C69">
        <w:trPr>
          <w:jc w:val="center"/>
        </w:trPr>
        <w:tc>
          <w:tcPr>
            <w:tcW w:w="5191" w:type="dxa"/>
            <w:tcBorders>
              <w:top w:val="nil"/>
              <w:bottom w:val="nil"/>
              <w:right w:val="nil"/>
            </w:tcBorders>
          </w:tcPr>
          <w:p w:rsidR="0095287F" w:rsidRPr="009B0848" w:rsidRDefault="0095287F" w:rsidP="00FF6C69">
            <w:pPr>
              <w:spacing w:line="235" w:lineRule="auto"/>
              <w:rPr>
                <w:rFonts w:ascii="Arial Narrow" w:hAnsi="Arial Narrow"/>
                <w:sz w:val="16"/>
                <w:szCs w:val="16"/>
              </w:rPr>
            </w:pPr>
            <w:r w:rsidRPr="009B0848">
              <w:rPr>
                <w:rFonts w:ascii="Arial Narrow" w:hAnsi="Arial Narrow"/>
                <w:sz w:val="16"/>
                <w:szCs w:val="16"/>
              </w:rPr>
              <w:t>Λοιπές δαπάνες</w:t>
            </w:r>
          </w:p>
        </w:tc>
        <w:tc>
          <w:tcPr>
            <w:tcW w:w="1787" w:type="dxa"/>
            <w:tcBorders>
              <w:top w:val="nil"/>
              <w:left w:val="nil"/>
              <w:bottom w:val="nil"/>
              <w:right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115</w:t>
            </w:r>
          </w:p>
        </w:tc>
        <w:tc>
          <w:tcPr>
            <w:tcW w:w="1773" w:type="dxa"/>
            <w:tcBorders>
              <w:top w:val="nil"/>
              <w:left w:val="nil"/>
              <w:bottom w:val="nil"/>
            </w:tcBorders>
            <w:vAlign w:val="center"/>
          </w:tcPr>
          <w:p w:rsidR="0095287F" w:rsidRDefault="0095287F" w:rsidP="006D028D">
            <w:pPr>
              <w:ind w:right="567"/>
              <w:jc w:val="right"/>
              <w:rPr>
                <w:rFonts w:ascii="Arial Narrow" w:hAnsi="Arial Narrow"/>
                <w:sz w:val="16"/>
                <w:szCs w:val="16"/>
              </w:rPr>
            </w:pPr>
            <w:r>
              <w:rPr>
                <w:rFonts w:ascii="Arial Narrow" w:hAnsi="Arial Narrow"/>
                <w:sz w:val="16"/>
                <w:szCs w:val="16"/>
              </w:rPr>
              <w:t>110</w:t>
            </w:r>
          </w:p>
        </w:tc>
      </w:tr>
      <w:tr w:rsidR="0095287F" w:rsidRPr="009B0848" w:rsidTr="00FF6C69">
        <w:trPr>
          <w:jc w:val="center"/>
        </w:trPr>
        <w:tc>
          <w:tcPr>
            <w:tcW w:w="5191" w:type="dxa"/>
            <w:tcBorders>
              <w:top w:val="nil"/>
              <w:bottom w:val="nil"/>
              <w:right w:val="nil"/>
            </w:tcBorders>
            <w:shd w:val="clear" w:color="auto" w:fill="D9D9D9" w:themeFill="background1" w:themeFillShade="D9"/>
          </w:tcPr>
          <w:p w:rsidR="0095287F" w:rsidRPr="00DC3481" w:rsidRDefault="0095287F" w:rsidP="00FF6C69">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629</w:t>
            </w:r>
          </w:p>
        </w:tc>
        <w:tc>
          <w:tcPr>
            <w:tcW w:w="1773" w:type="dxa"/>
            <w:tcBorders>
              <w:top w:val="nil"/>
              <w:left w:val="nil"/>
              <w:bottom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586</w:t>
            </w:r>
          </w:p>
        </w:tc>
      </w:tr>
      <w:tr w:rsidR="0095287F" w:rsidRPr="009B0848" w:rsidTr="00FF6C69">
        <w:trPr>
          <w:jc w:val="center"/>
        </w:trPr>
        <w:tc>
          <w:tcPr>
            <w:tcW w:w="5191" w:type="dxa"/>
            <w:tcBorders>
              <w:top w:val="nil"/>
              <w:bottom w:val="nil"/>
              <w:right w:val="nil"/>
            </w:tcBorders>
            <w:shd w:val="clear" w:color="auto" w:fill="D9D9D9" w:themeFill="background1" w:themeFillShade="D9"/>
          </w:tcPr>
          <w:p w:rsidR="0095287F" w:rsidRPr="00DC3481" w:rsidRDefault="0095287F" w:rsidP="00FF6C69">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10</w:t>
            </w:r>
          </w:p>
        </w:tc>
        <w:tc>
          <w:tcPr>
            <w:tcW w:w="1773" w:type="dxa"/>
            <w:tcBorders>
              <w:top w:val="nil"/>
              <w:left w:val="nil"/>
              <w:bottom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0</w:t>
            </w:r>
          </w:p>
        </w:tc>
      </w:tr>
      <w:tr w:rsidR="0095287F" w:rsidRPr="009B0848" w:rsidTr="00FF6C69">
        <w:trPr>
          <w:jc w:val="center"/>
        </w:trPr>
        <w:tc>
          <w:tcPr>
            <w:tcW w:w="5191" w:type="dxa"/>
            <w:tcBorders>
              <w:top w:val="nil"/>
              <w:bottom w:val="nil"/>
              <w:right w:val="nil"/>
            </w:tcBorders>
            <w:shd w:val="clear" w:color="auto" w:fill="D9D9D9" w:themeFill="background1" w:themeFillShade="D9"/>
          </w:tcPr>
          <w:p w:rsidR="0095287F" w:rsidRPr="009B0848" w:rsidRDefault="0095287F" w:rsidP="00FF6C69">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639</w:t>
            </w:r>
          </w:p>
        </w:tc>
        <w:tc>
          <w:tcPr>
            <w:tcW w:w="1773" w:type="dxa"/>
            <w:tcBorders>
              <w:top w:val="nil"/>
              <w:left w:val="nil"/>
              <w:bottom w:val="nil"/>
            </w:tcBorders>
            <w:shd w:val="clear" w:color="auto" w:fill="D9D9D9" w:themeFill="background1" w:themeFillShade="D9"/>
            <w:vAlign w:val="center"/>
          </w:tcPr>
          <w:p w:rsidR="0095287F" w:rsidRDefault="0095287F" w:rsidP="006D028D">
            <w:pPr>
              <w:ind w:right="567"/>
              <w:jc w:val="right"/>
              <w:rPr>
                <w:rFonts w:ascii="Arial Narrow" w:hAnsi="Arial Narrow"/>
                <w:b/>
                <w:bCs/>
                <w:sz w:val="16"/>
                <w:szCs w:val="16"/>
              </w:rPr>
            </w:pPr>
            <w:r>
              <w:rPr>
                <w:rFonts w:ascii="Arial Narrow" w:hAnsi="Arial Narrow"/>
                <w:b/>
                <w:bCs/>
                <w:sz w:val="16"/>
                <w:szCs w:val="16"/>
              </w:rPr>
              <w:t>586</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 xml:space="preserve">γ) ΕΟΠΥΥ </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 </w:t>
            </w:r>
          </w:p>
        </w:tc>
        <w:tc>
          <w:tcPr>
            <w:tcW w:w="1773" w:type="dxa"/>
            <w:tcBorders>
              <w:top w:val="nil"/>
              <w:left w:val="nil"/>
              <w:bottom w:val="nil"/>
            </w:tcBorders>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 </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5.566</w:t>
            </w:r>
          </w:p>
        </w:tc>
        <w:tc>
          <w:tcPr>
            <w:tcW w:w="1773" w:type="dxa"/>
            <w:tcBorders>
              <w:top w:val="nil"/>
              <w:left w:val="nil"/>
              <w:bottom w:val="nil"/>
            </w:tcBorders>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5.286</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Ασφαλιστικές εισφορές</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4.592</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4.535</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Ρύθμιση οφειλών</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170</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161</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Pr>
                <w:rFonts w:ascii="Arial Narrow" w:hAnsi="Arial Narrow"/>
                <w:sz w:val="16"/>
                <w:szCs w:val="16"/>
              </w:rPr>
              <w:t>Κοινωνικοί π</w:t>
            </w:r>
            <w:r w:rsidRPr="009B0848">
              <w:rPr>
                <w:rFonts w:ascii="Arial Narrow" w:hAnsi="Arial Narrow"/>
                <w:sz w:val="16"/>
                <w:szCs w:val="16"/>
              </w:rPr>
              <w:t>όροι</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0</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0</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314</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100</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Απόδοση περιουσίας</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40</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40</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Εισπράξεις υπέρ Δημοσίου και τρίτων</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394</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394</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Λοιπά έσοδα</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56</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56</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5.454</w:t>
            </w:r>
          </w:p>
        </w:tc>
        <w:tc>
          <w:tcPr>
            <w:tcW w:w="1773" w:type="dxa"/>
            <w:tcBorders>
              <w:top w:val="nil"/>
              <w:left w:val="nil"/>
              <w:bottom w:val="nil"/>
            </w:tcBorders>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5.250</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Φαρμακευτική δαπάνη</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2.270</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2.200</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Λοιπές παροχές ασθένειας</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1.745</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1.580</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Απόδοση εισπράξεων τρίτων</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394</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394</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39</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44</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Διοικητικές δαπάνες</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118</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132</w:t>
            </w:r>
          </w:p>
        </w:tc>
      </w:tr>
      <w:tr w:rsidR="00E91600" w:rsidRPr="009B0848" w:rsidTr="00FF6C69">
        <w:trPr>
          <w:jc w:val="center"/>
        </w:trPr>
        <w:tc>
          <w:tcPr>
            <w:tcW w:w="5191" w:type="dxa"/>
            <w:tcBorders>
              <w:top w:val="nil"/>
              <w:bottom w:val="nil"/>
              <w:right w:val="nil"/>
            </w:tcBorders>
          </w:tcPr>
          <w:p w:rsidR="00E91600" w:rsidRPr="009B0848" w:rsidRDefault="00E91600" w:rsidP="00FF6C69">
            <w:pPr>
              <w:spacing w:line="235" w:lineRule="auto"/>
              <w:rPr>
                <w:rFonts w:ascii="Arial Narrow" w:hAnsi="Arial Narrow"/>
                <w:sz w:val="16"/>
                <w:szCs w:val="16"/>
              </w:rPr>
            </w:pPr>
            <w:r w:rsidRPr="009B0848">
              <w:rPr>
                <w:rFonts w:ascii="Arial Narrow" w:hAnsi="Arial Narrow"/>
                <w:sz w:val="16"/>
                <w:szCs w:val="16"/>
              </w:rPr>
              <w:t xml:space="preserve">Μεταβιβάσεις προς </w:t>
            </w:r>
            <w:r>
              <w:rPr>
                <w:rFonts w:ascii="Arial Narrow" w:hAnsi="Arial Narrow"/>
                <w:sz w:val="16"/>
                <w:szCs w:val="16"/>
              </w:rPr>
              <w:t>φορείς Γενικής Κυβέρνησης</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888</w:t>
            </w:r>
          </w:p>
        </w:tc>
        <w:tc>
          <w:tcPr>
            <w:tcW w:w="1773" w:type="dxa"/>
            <w:tcBorders>
              <w:top w:val="nil"/>
              <w:left w:val="nil"/>
              <w:bottom w:val="nil"/>
            </w:tcBorders>
            <w:vAlign w:val="center"/>
          </w:tcPr>
          <w:p w:rsidR="00E91600" w:rsidRDefault="00E91600" w:rsidP="006D028D">
            <w:pPr>
              <w:ind w:right="567"/>
              <w:jc w:val="right"/>
              <w:rPr>
                <w:rFonts w:ascii="Arial Narrow" w:hAnsi="Arial Narrow"/>
                <w:sz w:val="16"/>
                <w:szCs w:val="16"/>
              </w:rPr>
            </w:pPr>
            <w:r>
              <w:rPr>
                <w:rFonts w:ascii="Arial Narrow" w:hAnsi="Arial Narrow"/>
                <w:sz w:val="16"/>
                <w:szCs w:val="16"/>
              </w:rPr>
              <w:t>900</w:t>
            </w:r>
          </w:p>
        </w:tc>
      </w:tr>
      <w:tr w:rsidR="00E91600" w:rsidRPr="000775B1" w:rsidTr="00FF6C69">
        <w:trPr>
          <w:jc w:val="center"/>
        </w:trPr>
        <w:tc>
          <w:tcPr>
            <w:tcW w:w="5191" w:type="dxa"/>
            <w:tcBorders>
              <w:top w:val="nil"/>
              <w:bottom w:val="nil"/>
              <w:right w:val="nil"/>
            </w:tcBorders>
          </w:tcPr>
          <w:p w:rsidR="00E91600" w:rsidRPr="000775B1" w:rsidRDefault="00E91600" w:rsidP="00FF6C69">
            <w:pPr>
              <w:spacing w:line="235" w:lineRule="auto"/>
              <w:rPr>
                <w:rFonts w:ascii="Arial Narrow" w:hAnsi="Arial Narrow"/>
                <w:i/>
                <w:sz w:val="16"/>
                <w:szCs w:val="16"/>
              </w:rPr>
            </w:pPr>
            <w:r>
              <w:rPr>
                <w:rFonts w:ascii="Arial Narrow" w:hAnsi="Arial Narrow"/>
                <w:i/>
                <w:sz w:val="16"/>
                <w:szCs w:val="16"/>
              </w:rPr>
              <w:t xml:space="preserve">  </w:t>
            </w:r>
            <w:r w:rsidRPr="000775B1">
              <w:rPr>
                <w:rFonts w:ascii="Arial Narrow" w:hAnsi="Arial Narrow"/>
                <w:i/>
                <w:sz w:val="16"/>
                <w:szCs w:val="16"/>
              </w:rPr>
              <w:t xml:space="preserve"> εκ των οποίων σε νοσοκομεία</w:t>
            </w:r>
          </w:p>
        </w:tc>
        <w:tc>
          <w:tcPr>
            <w:tcW w:w="1787" w:type="dxa"/>
            <w:tcBorders>
              <w:top w:val="nil"/>
              <w:left w:val="nil"/>
              <w:bottom w:val="nil"/>
              <w:right w:val="nil"/>
            </w:tcBorders>
            <w:vAlign w:val="center"/>
          </w:tcPr>
          <w:p w:rsidR="00E91600" w:rsidRDefault="00E91600" w:rsidP="006D028D">
            <w:pPr>
              <w:ind w:right="567"/>
              <w:jc w:val="right"/>
              <w:rPr>
                <w:rFonts w:ascii="Arial Narrow" w:hAnsi="Arial Narrow"/>
                <w:i/>
                <w:iCs/>
                <w:sz w:val="16"/>
                <w:szCs w:val="16"/>
              </w:rPr>
            </w:pPr>
            <w:r>
              <w:rPr>
                <w:rFonts w:ascii="Arial Narrow" w:hAnsi="Arial Narrow"/>
                <w:i/>
                <w:iCs/>
                <w:sz w:val="16"/>
                <w:szCs w:val="16"/>
              </w:rPr>
              <w:t>888</w:t>
            </w:r>
          </w:p>
        </w:tc>
        <w:tc>
          <w:tcPr>
            <w:tcW w:w="1773" w:type="dxa"/>
            <w:tcBorders>
              <w:top w:val="nil"/>
              <w:left w:val="nil"/>
              <w:bottom w:val="nil"/>
            </w:tcBorders>
            <w:vAlign w:val="center"/>
          </w:tcPr>
          <w:p w:rsidR="00E91600" w:rsidRDefault="00E91600" w:rsidP="006D028D">
            <w:pPr>
              <w:ind w:right="567"/>
              <w:jc w:val="right"/>
              <w:rPr>
                <w:rFonts w:ascii="Arial Narrow" w:hAnsi="Arial Narrow"/>
                <w:i/>
                <w:iCs/>
                <w:sz w:val="16"/>
                <w:szCs w:val="16"/>
              </w:rPr>
            </w:pPr>
            <w:r>
              <w:rPr>
                <w:rFonts w:ascii="Arial Narrow" w:hAnsi="Arial Narrow"/>
                <w:i/>
                <w:iCs/>
                <w:sz w:val="16"/>
                <w:szCs w:val="16"/>
              </w:rPr>
              <w:t>888</w:t>
            </w:r>
          </w:p>
        </w:tc>
      </w:tr>
      <w:tr w:rsidR="00E91600" w:rsidRPr="009B0848" w:rsidTr="00FF6C69">
        <w:trPr>
          <w:jc w:val="center"/>
        </w:trPr>
        <w:tc>
          <w:tcPr>
            <w:tcW w:w="5191" w:type="dxa"/>
            <w:tcBorders>
              <w:top w:val="nil"/>
              <w:bottom w:val="nil"/>
              <w:right w:val="nil"/>
            </w:tcBorders>
            <w:shd w:val="clear" w:color="auto" w:fill="D9D9D9" w:themeFill="background1" w:themeFillShade="D9"/>
          </w:tcPr>
          <w:p w:rsidR="00E91600" w:rsidRPr="00DC3481" w:rsidRDefault="00E91600" w:rsidP="00FF6C69">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112</w:t>
            </w:r>
          </w:p>
        </w:tc>
        <w:tc>
          <w:tcPr>
            <w:tcW w:w="1773" w:type="dxa"/>
            <w:tcBorders>
              <w:top w:val="nil"/>
              <w:left w:val="nil"/>
              <w:bottom w:val="nil"/>
            </w:tcBorders>
            <w:shd w:val="clear" w:color="auto" w:fill="D9D9D9" w:themeFill="background1" w:themeFillShade="D9"/>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36</w:t>
            </w:r>
          </w:p>
        </w:tc>
      </w:tr>
      <w:tr w:rsidR="00E91600" w:rsidRPr="009B0848" w:rsidTr="00FF6C69">
        <w:trPr>
          <w:jc w:val="center"/>
        </w:trPr>
        <w:tc>
          <w:tcPr>
            <w:tcW w:w="5191" w:type="dxa"/>
            <w:tcBorders>
              <w:top w:val="nil"/>
              <w:bottom w:val="nil"/>
              <w:right w:val="nil"/>
            </w:tcBorders>
            <w:shd w:val="clear" w:color="auto" w:fill="D9D9D9" w:themeFill="background1" w:themeFillShade="D9"/>
          </w:tcPr>
          <w:p w:rsidR="00E91600" w:rsidRPr="00DC3481" w:rsidRDefault="00E91600" w:rsidP="00FF6C69">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437</w:t>
            </w:r>
          </w:p>
        </w:tc>
        <w:tc>
          <w:tcPr>
            <w:tcW w:w="1773" w:type="dxa"/>
            <w:tcBorders>
              <w:top w:val="nil"/>
              <w:left w:val="nil"/>
              <w:bottom w:val="nil"/>
            </w:tcBorders>
            <w:shd w:val="clear" w:color="auto" w:fill="D9D9D9" w:themeFill="background1" w:themeFillShade="D9"/>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297</w:t>
            </w:r>
          </w:p>
        </w:tc>
      </w:tr>
      <w:tr w:rsidR="00E91600" w:rsidRPr="009B0848" w:rsidTr="00FF6C69">
        <w:trPr>
          <w:jc w:val="center"/>
        </w:trPr>
        <w:tc>
          <w:tcPr>
            <w:tcW w:w="5191" w:type="dxa"/>
            <w:tcBorders>
              <w:top w:val="nil"/>
              <w:bottom w:val="single" w:sz="4" w:space="0" w:color="auto"/>
              <w:right w:val="nil"/>
            </w:tcBorders>
            <w:shd w:val="clear" w:color="auto" w:fill="D9D9D9" w:themeFill="background1" w:themeFillShade="D9"/>
          </w:tcPr>
          <w:p w:rsidR="00E91600" w:rsidRPr="009B0848" w:rsidRDefault="00E91600" w:rsidP="00FF6C69">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ESA</w:t>
            </w:r>
          </w:p>
        </w:tc>
        <w:tc>
          <w:tcPr>
            <w:tcW w:w="1787" w:type="dxa"/>
            <w:tcBorders>
              <w:top w:val="nil"/>
              <w:left w:val="nil"/>
              <w:bottom w:val="single" w:sz="4" w:space="0" w:color="auto"/>
              <w:right w:val="nil"/>
            </w:tcBorders>
            <w:shd w:val="clear" w:color="auto" w:fill="D9D9D9" w:themeFill="background1" w:themeFillShade="D9"/>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549</w:t>
            </w:r>
          </w:p>
        </w:tc>
        <w:tc>
          <w:tcPr>
            <w:tcW w:w="1773" w:type="dxa"/>
            <w:tcBorders>
              <w:top w:val="nil"/>
              <w:left w:val="nil"/>
              <w:bottom w:val="single" w:sz="4" w:space="0" w:color="auto"/>
            </w:tcBorders>
            <w:shd w:val="clear" w:color="auto" w:fill="D9D9D9" w:themeFill="background1" w:themeFillShade="D9"/>
            <w:vAlign w:val="center"/>
          </w:tcPr>
          <w:p w:rsidR="00E91600" w:rsidRDefault="00E91600" w:rsidP="006D028D">
            <w:pPr>
              <w:ind w:right="567"/>
              <w:jc w:val="right"/>
              <w:rPr>
                <w:rFonts w:ascii="Arial Narrow" w:hAnsi="Arial Narrow"/>
                <w:b/>
                <w:bCs/>
                <w:sz w:val="16"/>
                <w:szCs w:val="16"/>
              </w:rPr>
            </w:pPr>
            <w:r>
              <w:rPr>
                <w:rFonts w:ascii="Arial Narrow" w:hAnsi="Arial Narrow"/>
                <w:b/>
                <w:bCs/>
                <w:sz w:val="16"/>
                <w:szCs w:val="16"/>
              </w:rPr>
              <w:t>333</w:t>
            </w:r>
          </w:p>
        </w:tc>
      </w:tr>
      <w:tr w:rsidR="00403B29" w:rsidRPr="009B0848" w:rsidTr="00FF6C69">
        <w:trPr>
          <w:jc w:val="center"/>
        </w:trPr>
        <w:tc>
          <w:tcPr>
            <w:tcW w:w="5191" w:type="dxa"/>
            <w:tcBorders>
              <w:top w:val="single" w:sz="4" w:space="0" w:color="auto"/>
              <w:bottom w:val="nil"/>
              <w:right w:val="nil"/>
            </w:tcBorders>
          </w:tcPr>
          <w:p w:rsidR="00403B29" w:rsidRPr="009B0848" w:rsidRDefault="00403B29" w:rsidP="00FF6C69">
            <w:pPr>
              <w:spacing w:line="235" w:lineRule="auto"/>
              <w:rPr>
                <w:rFonts w:ascii="Arial Narrow" w:hAnsi="Arial Narrow"/>
                <w:sz w:val="16"/>
                <w:szCs w:val="16"/>
              </w:rPr>
            </w:pPr>
            <w:r>
              <w:rPr>
                <w:rFonts w:ascii="Arial Narrow" w:hAnsi="Arial Narrow"/>
                <w:sz w:val="16"/>
                <w:szCs w:val="16"/>
              </w:rPr>
              <w:lastRenderedPageBreak/>
              <w:t>δ</w:t>
            </w:r>
            <w:r w:rsidRPr="009B0848">
              <w:rPr>
                <w:rFonts w:ascii="Arial Narrow" w:hAnsi="Arial Narrow"/>
                <w:sz w:val="16"/>
                <w:szCs w:val="16"/>
              </w:rPr>
              <w:t xml:space="preserve">) </w:t>
            </w:r>
            <w:r>
              <w:rPr>
                <w:rFonts w:ascii="Arial Narrow" w:hAnsi="Arial Narrow"/>
                <w:sz w:val="16"/>
                <w:szCs w:val="16"/>
              </w:rPr>
              <w:t>ΟΓΑ, ΝΑΤ (μη ασφαλιστικές αρμοδιότητες)</w:t>
            </w:r>
          </w:p>
        </w:tc>
        <w:tc>
          <w:tcPr>
            <w:tcW w:w="1787" w:type="dxa"/>
            <w:tcBorders>
              <w:top w:val="single" w:sz="4" w:space="0" w:color="auto"/>
              <w:left w:val="nil"/>
              <w:bottom w:val="nil"/>
              <w:right w:val="nil"/>
            </w:tcBorders>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 </w:t>
            </w:r>
          </w:p>
        </w:tc>
        <w:tc>
          <w:tcPr>
            <w:tcW w:w="1773" w:type="dxa"/>
            <w:tcBorders>
              <w:top w:val="single" w:sz="4" w:space="0" w:color="auto"/>
              <w:left w:val="nil"/>
              <w:bottom w:val="nil"/>
            </w:tcBorders>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 </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b/>
                <w:bCs/>
                <w:sz w:val="16"/>
                <w:szCs w:val="16"/>
              </w:rPr>
            </w:pPr>
            <w:r w:rsidRPr="009B0848">
              <w:rPr>
                <w:rFonts w:ascii="Arial Narrow" w:hAnsi="Arial Narrow"/>
                <w:b/>
                <w:bCs/>
                <w:sz w:val="16"/>
                <w:szCs w:val="16"/>
              </w:rPr>
              <w:t>Έσοδα</w:t>
            </w:r>
          </w:p>
        </w:tc>
        <w:tc>
          <w:tcPr>
            <w:tcW w:w="1787" w:type="dxa"/>
            <w:tcBorders>
              <w:top w:val="nil"/>
              <w:left w:val="nil"/>
              <w:bottom w:val="nil"/>
              <w:right w:val="nil"/>
            </w:tcBorders>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251</w:t>
            </w:r>
          </w:p>
        </w:tc>
        <w:tc>
          <w:tcPr>
            <w:tcW w:w="1773" w:type="dxa"/>
            <w:tcBorders>
              <w:top w:val="nil"/>
              <w:left w:val="nil"/>
              <w:bottom w:val="nil"/>
            </w:tcBorders>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191</w:t>
            </w:r>
          </w:p>
        </w:tc>
      </w:tr>
      <w:tr w:rsidR="00403B29" w:rsidRPr="00403B29" w:rsidTr="00FF6C69">
        <w:trPr>
          <w:jc w:val="center"/>
        </w:trPr>
        <w:tc>
          <w:tcPr>
            <w:tcW w:w="5191" w:type="dxa"/>
            <w:tcBorders>
              <w:top w:val="nil"/>
              <w:bottom w:val="nil"/>
              <w:right w:val="nil"/>
            </w:tcBorders>
          </w:tcPr>
          <w:p w:rsidR="00403B29" w:rsidRPr="00403B29" w:rsidRDefault="00403B29" w:rsidP="00FF6C69">
            <w:pPr>
              <w:spacing w:line="235" w:lineRule="auto"/>
              <w:rPr>
                <w:rFonts w:ascii="Arial Narrow" w:hAnsi="Arial Narrow"/>
                <w:bCs/>
                <w:sz w:val="16"/>
                <w:szCs w:val="16"/>
              </w:rPr>
            </w:pPr>
            <w:r>
              <w:rPr>
                <w:rFonts w:ascii="Arial Narrow" w:hAnsi="Arial Narrow"/>
                <w:bCs/>
                <w:sz w:val="16"/>
                <w:szCs w:val="16"/>
              </w:rPr>
              <w:t>Ασφαλιστικές εισφορές</w:t>
            </w:r>
          </w:p>
        </w:tc>
        <w:tc>
          <w:tcPr>
            <w:tcW w:w="1787" w:type="dxa"/>
            <w:tcBorders>
              <w:top w:val="nil"/>
              <w:left w:val="nil"/>
              <w:bottom w:val="nil"/>
              <w:right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5</w:t>
            </w:r>
          </w:p>
        </w:tc>
        <w:tc>
          <w:tcPr>
            <w:tcW w:w="1773" w:type="dxa"/>
            <w:tcBorders>
              <w:top w:val="nil"/>
              <w:left w:val="nil"/>
              <w:bottom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5</w:t>
            </w:r>
          </w:p>
        </w:tc>
      </w:tr>
      <w:tr w:rsidR="00403B29" w:rsidRPr="00403B29" w:rsidTr="00FF6C69">
        <w:trPr>
          <w:jc w:val="center"/>
        </w:trPr>
        <w:tc>
          <w:tcPr>
            <w:tcW w:w="5191" w:type="dxa"/>
            <w:tcBorders>
              <w:top w:val="nil"/>
              <w:bottom w:val="nil"/>
              <w:right w:val="nil"/>
            </w:tcBorders>
          </w:tcPr>
          <w:p w:rsidR="00403B29" w:rsidRPr="00403B29" w:rsidRDefault="00403B29" w:rsidP="00FF6C69">
            <w:pPr>
              <w:spacing w:line="235" w:lineRule="auto"/>
              <w:rPr>
                <w:rFonts w:ascii="Arial Narrow" w:hAnsi="Arial Narrow"/>
                <w:bCs/>
                <w:sz w:val="16"/>
                <w:szCs w:val="16"/>
              </w:rPr>
            </w:pPr>
            <w:r>
              <w:rPr>
                <w:rFonts w:ascii="Arial Narrow" w:hAnsi="Arial Narrow"/>
                <w:bCs/>
                <w:sz w:val="16"/>
                <w:szCs w:val="16"/>
              </w:rPr>
              <w:t>Απόδοση περιουσίας</w:t>
            </w:r>
          </w:p>
        </w:tc>
        <w:tc>
          <w:tcPr>
            <w:tcW w:w="1787" w:type="dxa"/>
            <w:tcBorders>
              <w:top w:val="nil"/>
              <w:left w:val="nil"/>
              <w:bottom w:val="nil"/>
              <w:right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15</w:t>
            </w:r>
          </w:p>
        </w:tc>
        <w:tc>
          <w:tcPr>
            <w:tcW w:w="1773" w:type="dxa"/>
            <w:tcBorders>
              <w:top w:val="nil"/>
              <w:left w:val="nil"/>
              <w:bottom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15</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231</w:t>
            </w:r>
          </w:p>
        </w:tc>
        <w:tc>
          <w:tcPr>
            <w:tcW w:w="1773" w:type="dxa"/>
            <w:tcBorders>
              <w:top w:val="nil"/>
              <w:left w:val="nil"/>
              <w:bottom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171</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b/>
                <w:bCs/>
                <w:sz w:val="16"/>
                <w:szCs w:val="16"/>
              </w:rPr>
            </w:pPr>
            <w:r w:rsidRPr="009B0848">
              <w:rPr>
                <w:rFonts w:ascii="Arial Narrow" w:hAnsi="Arial Narrow"/>
                <w:b/>
                <w:bCs/>
                <w:sz w:val="16"/>
                <w:szCs w:val="16"/>
              </w:rPr>
              <w:t>Έξοδα</w:t>
            </w:r>
          </w:p>
        </w:tc>
        <w:tc>
          <w:tcPr>
            <w:tcW w:w="1787" w:type="dxa"/>
            <w:tcBorders>
              <w:top w:val="nil"/>
              <w:left w:val="nil"/>
              <w:bottom w:val="nil"/>
              <w:right w:val="nil"/>
            </w:tcBorders>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156</w:t>
            </w:r>
          </w:p>
        </w:tc>
        <w:tc>
          <w:tcPr>
            <w:tcW w:w="1773" w:type="dxa"/>
            <w:tcBorders>
              <w:top w:val="nil"/>
              <w:left w:val="nil"/>
              <w:bottom w:val="nil"/>
            </w:tcBorders>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184</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sz w:val="16"/>
                <w:szCs w:val="16"/>
              </w:rPr>
            </w:pPr>
            <w:r>
              <w:rPr>
                <w:rFonts w:ascii="Arial Narrow" w:hAnsi="Arial Narrow"/>
                <w:sz w:val="16"/>
                <w:szCs w:val="16"/>
              </w:rPr>
              <w:t>Παροχή σε ανασφάλιστους υπερήλικες</w:t>
            </w:r>
          </w:p>
        </w:tc>
        <w:tc>
          <w:tcPr>
            <w:tcW w:w="1787" w:type="dxa"/>
            <w:tcBorders>
              <w:top w:val="nil"/>
              <w:left w:val="nil"/>
              <w:bottom w:val="nil"/>
              <w:right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122</w:t>
            </w:r>
          </w:p>
        </w:tc>
        <w:tc>
          <w:tcPr>
            <w:tcW w:w="1773" w:type="dxa"/>
            <w:tcBorders>
              <w:top w:val="nil"/>
              <w:left w:val="nil"/>
              <w:bottom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122</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sz w:val="16"/>
                <w:szCs w:val="16"/>
              </w:rPr>
            </w:pPr>
            <w:r>
              <w:rPr>
                <w:rFonts w:ascii="Arial Narrow" w:hAnsi="Arial Narrow"/>
                <w:sz w:val="16"/>
                <w:szCs w:val="16"/>
              </w:rPr>
              <w:t>Επίδομα ανασφάλιστων υπερηλίκων</w:t>
            </w:r>
          </w:p>
        </w:tc>
        <w:tc>
          <w:tcPr>
            <w:tcW w:w="1787" w:type="dxa"/>
            <w:tcBorders>
              <w:top w:val="nil"/>
              <w:left w:val="nil"/>
              <w:bottom w:val="nil"/>
              <w:right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12</w:t>
            </w:r>
          </w:p>
        </w:tc>
        <w:tc>
          <w:tcPr>
            <w:tcW w:w="1773" w:type="dxa"/>
            <w:tcBorders>
              <w:top w:val="nil"/>
              <w:left w:val="nil"/>
              <w:bottom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35</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10</w:t>
            </w:r>
          </w:p>
        </w:tc>
        <w:tc>
          <w:tcPr>
            <w:tcW w:w="1773" w:type="dxa"/>
            <w:tcBorders>
              <w:top w:val="nil"/>
              <w:left w:val="nil"/>
              <w:bottom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11</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sz w:val="16"/>
                <w:szCs w:val="16"/>
              </w:rPr>
            </w:pPr>
            <w:r w:rsidRPr="009B0848">
              <w:rPr>
                <w:rFonts w:ascii="Arial Narrow" w:hAnsi="Arial Narrow"/>
                <w:sz w:val="16"/>
                <w:szCs w:val="16"/>
              </w:rPr>
              <w:t>Διοικητικές δαπάνες</w:t>
            </w:r>
          </w:p>
        </w:tc>
        <w:tc>
          <w:tcPr>
            <w:tcW w:w="1787" w:type="dxa"/>
            <w:tcBorders>
              <w:top w:val="nil"/>
              <w:left w:val="nil"/>
              <w:bottom w:val="nil"/>
              <w:right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12</w:t>
            </w:r>
          </w:p>
        </w:tc>
        <w:tc>
          <w:tcPr>
            <w:tcW w:w="1773" w:type="dxa"/>
            <w:tcBorders>
              <w:top w:val="nil"/>
              <w:left w:val="nil"/>
              <w:bottom w:val="nil"/>
            </w:tcBorders>
            <w:vAlign w:val="center"/>
          </w:tcPr>
          <w:p w:rsidR="00403B29" w:rsidRPr="00403B29" w:rsidRDefault="00403B29" w:rsidP="006D028D">
            <w:pPr>
              <w:ind w:right="567"/>
              <w:jc w:val="right"/>
              <w:rPr>
                <w:rFonts w:ascii="Arial Narrow" w:hAnsi="Arial Narrow"/>
                <w:sz w:val="16"/>
                <w:szCs w:val="16"/>
              </w:rPr>
            </w:pPr>
            <w:r w:rsidRPr="00403B29">
              <w:rPr>
                <w:rFonts w:ascii="Arial Narrow" w:hAnsi="Arial Narrow"/>
                <w:sz w:val="16"/>
                <w:szCs w:val="16"/>
              </w:rPr>
              <w:t>16</w:t>
            </w:r>
          </w:p>
        </w:tc>
      </w:tr>
      <w:tr w:rsidR="00403B29" w:rsidRPr="009B0848" w:rsidTr="00FF6C69">
        <w:trPr>
          <w:jc w:val="center"/>
        </w:trPr>
        <w:tc>
          <w:tcPr>
            <w:tcW w:w="5191" w:type="dxa"/>
            <w:tcBorders>
              <w:top w:val="nil"/>
              <w:bottom w:val="nil"/>
              <w:right w:val="nil"/>
            </w:tcBorders>
            <w:shd w:val="clear" w:color="auto" w:fill="D9D9D9" w:themeFill="background1" w:themeFillShade="D9"/>
          </w:tcPr>
          <w:p w:rsidR="00403B29" w:rsidRPr="00DC3481" w:rsidRDefault="00403B29" w:rsidP="00FF6C69">
            <w:pPr>
              <w:spacing w:line="235" w:lineRule="auto"/>
              <w:rPr>
                <w:rFonts w:ascii="Arial Narrow" w:hAnsi="Arial Narrow"/>
                <w:b/>
                <w:sz w:val="16"/>
                <w:szCs w:val="16"/>
              </w:rPr>
            </w:pPr>
            <w:r w:rsidRPr="00DC3481">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95</w:t>
            </w:r>
          </w:p>
        </w:tc>
        <w:tc>
          <w:tcPr>
            <w:tcW w:w="1773" w:type="dxa"/>
            <w:tcBorders>
              <w:top w:val="nil"/>
              <w:left w:val="nil"/>
              <w:bottom w:val="nil"/>
            </w:tcBorders>
            <w:shd w:val="clear" w:color="auto" w:fill="D9D9D9" w:themeFill="background1" w:themeFillShade="D9"/>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7</w:t>
            </w:r>
          </w:p>
        </w:tc>
      </w:tr>
      <w:tr w:rsidR="00403B29" w:rsidRPr="009B0848" w:rsidTr="00FF6C69">
        <w:trPr>
          <w:jc w:val="center"/>
        </w:trPr>
        <w:tc>
          <w:tcPr>
            <w:tcW w:w="5191" w:type="dxa"/>
            <w:tcBorders>
              <w:top w:val="nil"/>
              <w:bottom w:val="nil"/>
              <w:right w:val="nil"/>
            </w:tcBorders>
            <w:shd w:val="clear" w:color="auto" w:fill="D9D9D9" w:themeFill="background1" w:themeFillShade="D9"/>
          </w:tcPr>
          <w:p w:rsidR="00403B29" w:rsidRPr="00DC3481" w:rsidRDefault="00403B29" w:rsidP="00FF6C69">
            <w:pPr>
              <w:spacing w:line="235" w:lineRule="auto"/>
              <w:rPr>
                <w:rFonts w:ascii="Arial Narrow" w:hAnsi="Arial Narrow"/>
                <w:b/>
                <w:sz w:val="16"/>
                <w:szCs w:val="16"/>
              </w:rPr>
            </w:pPr>
            <w:r w:rsidRPr="00DC3481">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0</w:t>
            </w:r>
          </w:p>
        </w:tc>
      </w:tr>
      <w:tr w:rsidR="00403B29" w:rsidRPr="009B0848" w:rsidTr="00FF6C69">
        <w:trPr>
          <w:jc w:val="center"/>
        </w:trPr>
        <w:tc>
          <w:tcPr>
            <w:tcW w:w="5191" w:type="dxa"/>
            <w:tcBorders>
              <w:top w:val="nil"/>
              <w:bottom w:val="nil"/>
              <w:right w:val="nil"/>
            </w:tcBorders>
            <w:shd w:val="clear" w:color="auto" w:fill="D9D9D9" w:themeFill="background1" w:themeFillShade="D9"/>
          </w:tcPr>
          <w:p w:rsidR="00403B29" w:rsidRPr="009B0848" w:rsidRDefault="00403B29" w:rsidP="00FF6C69">
            <w:pPr>
              <w:spacing w:line="235" w:lineRule="auto"/>
              <w:rPr>
                <w:rFonts w:ascii="Arial Narrow" w:hAnsi="Arial Narrow"/>
                <w:b/>
                <w:bCs/>
                <w:sz w:val="16"/>
                <w:szCs w:val="16"/>
                <w:lang w:val="en-GB"/>
              </w:rPr>
            </w:pPr>
            <w:r w:rsidRPr="009B0848">
              <w:rPr>
                <w:rFonts w:ascii="Arial Narrow" w:hAnsi="Arial Narrow"/>
                <w:b/>
                <w:bCs/>
                <w:sz w:val="16"/>
                <w:szCs w:val="16"/>
              </w:rPr>
              <w:t>Ισοζύγιο</w:t>
            </w:r>
            <w:r>
              <w:rPr>
                <w:rFonts w:ascii="Arial Narrow" w:hAnsi="Arial Narrow"/>
                <w:b/>
                <w:bCs/>
                <w:sz w:val="16"/>
                <w:szCs w:val="16"/>
              </w:rPr>
              <w:t xml:space="preserve"> κατά </w:t>
            </w:r>
            <w:r>
              <w:rPr>
                <w:rFonts w:ascii="Arial Narrow" w:hAnsi="Arial Narrow"/>
                <w:b/>
                <w:bCs/>
                <w:sz w:val="16"/>
                <w:szCs w:val="16"/>
                <w:lang w:val="en-GB"/>
              </w:rPr>
              <w:t>ESA</w:t>
            </w:r>
          </w:p>
        </w:tc>
        <w:tc>
          <w:tcPr>
            <w:tcW w:w="1787" w:type="dxa"/>
            <w:tcBorders>
              <w:top w:val="nil"/>
              <w:left w:val="nil"/>
              <w:bottom w:val="nil"/>
              <w:right w:val="nil"/>
            </w:tcBorders>
            <w:shd w:val="clear" w:color="auto" w:fill="D9D9D9" w:themeFill="background1" w:themeFillShade="D9"/>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95</w:t>
            </w:r>
          </w:p>
        </w:tc>
        <w:tc>
          <w:tcPr>
            <w:tcW w:w="1773" w:type="dxa"/>
            <w:tcBorders>
              <w:top w:val="nil"/>
              <w:left w:val="nil"/>
              <w:bottom w:val="nil"/>
            </w:tcBorders>
            <w:shd w:val="clear" w:color="auto" w:fill="D9D9D9" w:themeFill="background1" w:themeFillShade="D9"/>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7</w:t>
            </w:r>
          </w:p>
        </w:tc>
      </w:tr>
      <w:tr w:rsidR="00403B29" w:rsidRPr="009B0848" w:rsidTr="00FF6C69">
        <w:trPr>
          <w:jc w:val="center"/>
        </w:trPr>
        <w:tc>
          <w:tcPr>
            <w:tcW w:w="5191" w:type="dxa"/>
            <w:tcBorders>
              <w:top w:val="nil"/>
              <w:bottom w:val="nil"/>
              <w:right w:val="nil"/>
            </w:tcBorders>
            <w:shd w:val="clear" w:color="auto" w:fill="BFBFBF" w:themeFill="background1" w:themeFillShade="BF"/>
          </w:tcPr>
          <w:p w:rsidR="00403B29" w:rsidRPr="009B0848" w:rsidRDefault="00403B29" w:rsidP="00FF6C69">
            <w:pPr>
              <w:spacing w:line="235" w:lineRule="auto"/>
              <w:rPr>
                <w:rFonts w:ascii="Arial Narrow" w:hAnsi="Arial Narrow"/>
                <w:b/>
                <w:bCs/>
                <w:sz w:val="16"/>
                <w:szCs w:val="16"/>
              </w:rPr>
            </w:pPr>
            <w:r>
              <w:rPr>
                <w:rFonts w:ascii="Arial Narrow" w:hAnsi="Arial Narrow"/>
                <w:b/>
                <w:bCs/>
                <w:sz w:val="16"/>
                <w:szCs w:val="16"/>
              </w:rPr>
              <w:t xml:space="preserve">Συνολικό ταμειακό ισοζύγιο ΦΚΑ </w:t>
            </w:r>
          </w:p>
        </w:tc>
        <w:tc>
          <w:tcPr>
            <w:tcW w:w="1787" w:type="dxa"/>
            <w:tcBorders>
              <w:top w:val="nil"/>
              <w:left w:val="nil"/>
              <w:bottom w:val="nil"/>
              <w:right w:val="nil"/>
            </w:tcBorders>
            <w:shd w:val="clear" w:color="auto" w:fill="BFBFBF" w:themeFill="background1" w:themeFillShade="BF"/>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1.341</w:t>
            </w:r>
          </w:p>
        </w:tc>
        <w:tc>
          <w:tcPr>
            <w:tcW w:w="1773" w:type="dxa"/>
            <w:tcBorders>
              <w:top w:val="nil"/>
              <w:left w:val="nil"/>
              <w:bottom w:val="nil"/>
            </w:tcBorders>
            <w:shd w:val="clear" w:color="auto" w:fill="BFBFBF" w:themeFill="background1" w:themeFillShade="BF"/>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1.559</w:t>
            </w:r>
          </w:p>
        </w:tc>
      </w:tr>
      <w:tr w:rsidR="00403B29" w:rsidRPr="009B0848" w:rsidTr="00FF6C69">
        <w:trPr>
          <w:jc w:val="center"/>
        </w:trPr>
        <w:tc>
          <w:tcPr>
            <w:tcW w:w="5191" w:type="dxa"/>
            <w:tcBorders>
              <w:top w:val="nil"/>
              <w:bottom w:val="nil"/>
              <w:right w:val="nil"/>
            </w:tcBorders>
            <w:shd w:val="clear" w:color="auto" w:fill="BFBFBF" w:themeFill="background1" w:themeFillShade="BF"/>
          </w:tcPr>
          <w:p w:rsidR="00403B29" w:rsidRPr="009B0848" w:rsidRDefault="00403B29" w:rsidP="00FF6C69">
            <w:pPr>
              <w:spacing w:line="235" w:lineRule="auto"/>
              <w:rPr>
                <w:rFonts w:ascii="Arial Narrow" w:hAnsi="Arial Narrow"/>
                <w:b/>
                <w:bCs/>
                <w:sz w:val="16"/>
                <w:szCs w:val="16"/>
              </w:rPr>
            </w:pPr>
            <w:r>
              <w:rPr>
                <w:rFonts w:ascii="Arial Narrow" w:hAnsi="Arial Narrow"/>
                <w:b/>
                <w:bCs/>
                <w:sz w:val="16"/>
                <w:szCs w:val="16"/>
              </w:rPr>
              <w:t>Εθνικολογιστικές προσαρμογές</w:t>
            </w:r>
          </w:p>
        </w:tc>
        <w:tc>
          <w:tcPr>
            <w:tcW w:w="1787" w:type="dxa"/>
            <w:tcBorders>
              <w:top w:val="nil"/>
              <w:left w:val="nil"/>
              <w:bottom w:val="nil"/>
              <w:right w:val="nil"/>
            </w:tcBorders>
            <w:shd w:val="clear" w:color="auto" w:fill="BFBFBF" w:themeFill="background1" w:themeFillShade="BF"/>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-256</w:t>
            </w:r>
          </w:p>
        </w:tc>
        <w:tc>
          <w:tcPr>
            <w:tcW w:w="1773" w:type="dxa"/>
            <w:tcBorders>
              <w:top w:val="nil"/>
              <w:left w:val="nil"/>
              <w:bottom w:val="nil"/>
            </w:tcBorders>
            <w:shd w:val="clear" w:color="auto" w:fill="BFBFBF" w:themeFill="background1" w:themeFillShade="BF"/>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226</w:t>
            </w:r>
          </w:p>
        </w:tc>
      </w:tr>
      <w:tr w:rsidR="00403B29" w:rsidRPr="009B0848" w:rsidTr="00FF6C69">
        <w:trPr>
          <w:jc w:val="center"/>
        </w:trPr>
        <w:tc>
          <w:tcPr>
            <w:tcW w:w="5191" w:type="dxa"/>
            <w:tcBorders>
              <w:top w:val="nil"/>
              <w:bottom w:val="nil"/>
              <w:right w:val="nil"/>
            </w:tcBorders>
            <w:shd w:val="clear" w:color="auto" w:fill="BFBFBF" w:themeFill="background1" w:themeFillShade="BF"/>
          </w:tcPr>
          <w:p w:rsidR="00403B29" w:rsidRPr="009B0848" w:rsidRDefault="00403B29" w:rsidP="00FF6C69">
            <w:pPr>
              <w:spacing w:line="235" w:lineRule="auto"/>
              <w:rPr>
                <w:rFonts w:ascii="Arial Narrow" w:hAnsi="Arial Narrow"/>
                <w:b/>
                <w:bCs/>
                <w:sz w:val="16"/>
                <w:szCs w:val="16"/>
              </w:rPr>
            </w:pPr>
            <w:r>
              <w:rPr>
                <w:rFonts w:ascii="Arial Narrow" w:hAnsi="Arial Narrow"/>
                <w:b/>
                <w:bCs/>
                <w:sz w:val="16"/>
                <w:szCs w:val="16"/>
              </w:rPr>
              <w:t>Συνολικό ι</w:t>
            </w:r>
            <w:r w:rsidRPr="009B0848">
              <w:rPr>
                <w:rFonts w:ascii="Arial Narrow" w:hAnsi="Arial Narrow"/>
                <w:b/>
                <w:bCs/>
                <w:sz w:val="16"/>
                <w:szCs w:val="16"/>
              </w:rPr>
              <w:t>σοζύγιο ΦΚΑ</w:t>
            </w:r>
            <w:r>
              <w:rPr>
                <w:rFonts w:ascii="Arial Narrow" w:hAnsi="Arial Narrow"/>
                <w:b/>
                <w:bCs/>
                <w:sz w:val="16"/>
                <w:szCs w:val="16"/>
              </w:rPr>
              <w:t xml:space="preserve"> κατά </w:t>
            </w:r>
            <w:r>
              <w:rPr>
                <w:rFonts w:ascii="Arial Narrow" w:hAnsi="Arial Narrow"/>
                <w:b/>
                <w:bCs/>
                <w:sz w:val="16"/>
                <w:szCs w:val="16"/>
                <w:lang w:val="en-GB"/>
              </w:rPr>
              <w:t>ESA</w:t>
            </w:r>
            <w:r w:rsidRPr="0097155F">
              <w:rPr>
                <w:rFonts w:ascii="Arial Narrow" w:hAnsi="Arial Narrow"/>
                <w:b/>
                <w:bCs/>
                <w:sz w:val="16"/>
                <w:szCs w:val="16"/>
              </w:rPr>
              <w:t xml:space="preserve"> </w:t>
            </w:r>
          </w:p>
        </w:tc>
        <w:tc>
          <w:tcPr>
            <w:tcW w:w="1787" w:type="dxa"/>
            <w:tcBorders>
              <w:top w:val="nil"/>
              <w:left w:val="nil"/>
              <w:bottom w:val="nil"/>
              <w:right w:val="nil"/>
            </w:tcBorders>
            <w:shd w:val="clear" w:color="auto" w:fill="BFBFBF" w:themeFill="background1" w:themeFillShade="BF"/>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1.085</w:t>
            </w:r>
          </w:p>
        </w:tc>
        <w:tc>
          <w:tcPr>
            <w:tcW w:w="1773" w:type="dxa"/>
            <w:tcBorders>
              <w:top w:val="nil"/>
              <w:left w:val="nil"/>
              <w:bottom w:val="nil"/>
            </w:tcBorders>
            <w:shd w:val="clear" w:color="auto" w:fill="BFBFBF" w:themeFill="background1" w:themeFillShade="BF"/>
            <w:vAlign w:val="center"/>
          </w:tcPr>
          <w:p w:rsidR="00403B29" w:rsidRPr="00403B29" w:rsidRDefault="00403B29" w:rsidP="006D028D">
            <w:pPr>
              <w:ind w:right="567"/>
              <w:jc w:val="right"/>
              <w:rPr>
                <w:rFonts w:ascii="Arial Narrow" w:hAnsi="Arial Narrow"/>
                <w:b/>
                <w:bCs/>
                <w:sz w:val="16"/>
                <w:szCs w:val="16"/>
              </w:rPr>
            </w:pPr>
            <w:r w:rsidRPr="00403B29">
              <w:rPr>
                <w:rFonts w:ascii="Arial Narrow" w:hAnsi="Arial Narrow"/>
                <w:b/>
                <w:bCs/>
                <w:sz w:val="16"/>
                <w:szCs w:val="16"/>
              </w:rPr>
              <w:t>1.785</w:t>
            </w:r>
          </w:p>
        </w:tc>
      </w:tr>
      <w:tr w:rsidR="00403B29" w:rsidRPr="009B0848" w:rsidTr="00FF6C69">
        <w:trPr>
          <w:jc w:val="center"/>
        </w:trPr>
        <w:tc>
          <w:tcPr>
            <w:tcW w:w="5191" w:type="dxa"/>
            <w:tcBorders>
              <w:top w:val="nil"/>
              <w:bottom w:val="nil"/>
              <w:right w:val="nil"/>
            </w:tcBorders>
            <w:shd w:val="clear" w:color="auto" w:fill="A6A6A6"/>
          </w:tcPr>
          <w:p w:rsidR="00403B29" w:rsidRPr="009B0848" w:rsidRDefault="00403B29" w:rsidP="00FF6C69">
            <w:pPr>
              <w:tabs>
                <w:tab w:val="num" w:pos="720"/>
              </w:tabs>
              <w:spacing w:line="235" w:lineRule="auto"/>
              <w:rPr>
                <w:rFonts w:ascii="Arial Narrow" w:hAnsi="Arial Narrow"/>
                <w:b/>
                <w:sz w:val="16"/>
                <w:szCs w:val="16"/>
              </w:rPr>
            </w:pPr>
            <w:r w:rsidRPr="009B0848">
              <w:rPr>
                <w:rFonts w:ascii="Arial Narrow" w:hAnsi="Arial Narrow"/>
                <w:b/>
                <w:sz w:val="16"/>
                <w:szCs w:val="16"/>
              </w:rPr>
              <w:t>ΙΙ</w:t>
            </w:r>
            <w:r>
              <w:rPr>
                <w:rFonts w:ascii="Arial Narrow" w:hAnsi="Arial Narrow"/>
                <w:b/>
                <w:sz w:val="16"/>
                <w:szCs w:val="16"/>
              </w:rPr>
              <w:t>α</w:t>
            </w:r>
            <w:r w:rsidRPr="009B0848">
              <w:rPr>
                <w:rFonts w:ascii="Arial Narrow" w:hAnsi="Arial Narrow"/>
                <w:b/>
                <w:sz w:val="16"/>
                <w:szCs w:val="16"/>
              </w:rPr>
              <w:t>. Νοσοκομεία</w:t>
            </w:r>
          </w:p>
        </w:tc>
        <w:tc>
          <w:tcPr>
            <w:tcW w:w="1787" w:type="dxa"/>
            <w:tcBorders>
              <w:top w:val="nil"/>
              <w:left w:val="nil"/>
              <w:bottom w:val="nil"/>
              <w:right w:val="nil"/>
            </w:tcBorders>
            <w:shd w:val="clear" w:color="auto" w:fill="A6A6A6"/>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 </w:t>
            </w:r>
          </w:p>
        </w:tc>
        <w:tc>
          <w:tcPr>
            <w:tcW w:w="1773" w:type="dxa"/>
            <w:tcBorders>
              <w:top w:val="nil"/>
              <w:left w:val="nil"/>
              <w:bottom w:val="nil"/>
            </w:tcBorders>
            <w:shd w:val="clear" w:color="auto" w:fill="A6A6A6"/>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 </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b/>
                <w:sz w:val="16"/>
                <w:szCs w:val="16"/>
              </w:rPr>
            </w:pPr>
            <w:r w:rsidRPr="009B0848">
              <w:rPr>
                <w:rFonts w:ascii="Arial Narrow" w:hAnsi="Arial Narrow"/>
                <w:b/>
                <w:sz w:val="16"/>
                <w:szCs w:val="16"/>
              </w:rPr>
              <w:t>Έσοδα</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2.792</w:t>
            </w:r>
          </w:p>
        </w:tc>
        <w:tc>
          <w:tcPr>
            <w:tcW w:w="1773" w:type="dxa"/>
            <w:tcBorders>
              <w:top w:val="nil"/>
              <w:left w:val="nil"/>
              <w:bottom w:val="nil"/>
            </w:tcBorders>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2.439</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Ίδια έσοδα</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143</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149</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1.505</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1.141</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φορείς κοινωνικής ασφάλισης</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888</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888</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13</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18</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 xml:space="preserve">Αντικριζόμενα έσοδα </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243</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243</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b/>
                <w:sz w:val="16"/>
                <w:szCs w:val="16"/>
              </w:rPr>
            </w:pPr>
            <w:r w:rsidRPr="009B0848">
              <w:rPr>
                <w:rFonts w:ascii="Arial Narrow" w:hAnsi="Arial Narrow"/>
                <w:b/>
                <w:sz w:val="16"/>
                <w:szCs w:val="16"/>
              </w:rPr>
              <w:t>Έξοδα</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2.554</w:t>
            </w:r>
          </w:p>
        </w:tc>
        <w:tc>
          <w:tcPr>
            <w:tcW w:w="1773" w:type="dxa"/>
            <w:tcBorders>
              <w:top w:val="nil"/>
              <w:left w:val="nil"/>
              <w:bottom w:val="nil"/>
            </w:tcBorders>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2.507</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Αγαθά</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1.310</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1.258</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t>εκ των οποίων</w:t>
            </w:r>
            <w:r w:rsidRPr="009B0848">
              <w:rPr>
                <w:rFonts w:ascii="Arial Narrow" w:hAnsi="Arial Narrow"/>
                <w:sz w:val="16"/>
                <w:szCs w:val="16"/>
              </w:rPr>
              <w:tab/>
              <w:t>Φάρμακο</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731</w:t>
            </w:r>
          </w:p>
        </w:tc>
        <w:tc>
          <w:tcPr>
            <w:tcW w:w="1773" w:type="dxa"/>
            <w:tcBorders>
              <w:top w:val="nil"/>
              <w:left w:val="nil"/>
              <w:bottom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684</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Υγειονομικό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244</w:t>
            </w:r>
          </w:p>
        </w:tc>
        <w:tc>
          <w:tcPr>
            <w:tcW w:w="1773" w:type="dxa"/>
            <w:tcBorders>
              <w:top w:val="nil"/>
              <w:left w:val="nil"/>
              <w:bottom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256</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Ορθοπεδικό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105</w:t>
            </w:r>
          </w:p>
        </w:tc>
        <w:tc>
          <w:tcPr>
            <w:tcW w:w="1773" w:type="dxa"/>
            <w:tcBorders>
              <w:top w:val="nil"/>
              <w:left w:val="nil"/>
              <w:bottom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126</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Αντιδραστήρια</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108</w:t>
            </w:r>
          </w:p>
        </w:tc>
        <w:tc>
          <w:tcPr>
            <w:tcW w:w="1773" w:type="dxa"/>
            <w:tcBorders>
              <w:top w:val="nil"/>
              <w:left w:val="nil"/>
              <w:bottom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98</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Λοιπές κατηγορίες</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122</w:t>
            </w:r>
          </w:p>
        </w:tc>
        <w:tc>
          <w:tcPr>
            <w:tcW w:w="1773" w:type="dxa"/>
            <w:tcBorders>
              <w:top w:val="nil"/>
              <w:left w:val="nil"/>
              <w:bottom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94</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454</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520</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Υπηρεσίες</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531</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465</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sz w:val="16"/>
                <w:szCs w:val="16"/>
              </w:rPr>
            </w:pPr>
            <w:r w:rsidRPr="009B0848">
              <w:rPr>
                <w:rFonts w:ascii="Arial Narrow" w:hAnsi="Arial Narrow"/>
                <w:sz w:val="16"/>
                <w:szCs w:val="16"/>
              </w:rPr>
              <w:t>Δαπάνες για επενδύσεις</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16</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21</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sz w:val="16"/>
                <w:szCs w:val="16"/>
              </w:rPr>
            </w:pPr>
            <w:r w:rsidRPr="009B0848">
              <w:rPr>
                <w:rFonts w:ascii="Arial Narrow" w:hAnsi="Arial Narrow"/>
                <w:sz w:val="16"/>
                <w:szCs w:val="16"/>
              </w:rPr>
              <w:t>Αντικριζόμενα έξοδα</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243</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243</w:t>
            </w:r>
          </w:p>
        </w:tc>
      </w:tr>
      <w:tr w:rsidR="00403B29" w:rsidRPr="00CA73F2" w:rsidTr="00FF6C69">
        <w:trPr>
          <w:jc w:val="center"/>
        </w:trPr>
        <w:tc>
          <w:tcPr>
            <w:tcW w:w="5191" w:type="dxa"/>
            <w:tcBorders>
              <w:top w:val="nil"/>
              <w:bottom w:val="nil"/>
              <w:right w:val="nil"/>
            </w:tcBorders>
            <w:shd w:val="clear" w:color="auto" w:fill="D9D9D9" w:themeFill="background1" w:themeFillShade="D9"/>
          </w:tcPr>
          <w:p w:rsidR="00403B29" w:rsidRPr="00CA73F2" w:rsidRDefault="00403B29" w:rsidP="00FF6C69">
            <w:pPr>
              <w:spacing w:line="235" w:lineRule="auto"/>
              <w:rPr>
                <w:rFonts w:ascii="Arial Narrow" w:hAnsi="Arial Narrow"/>
                <w:b/>
                <w:sz w:val="16"/>
                <w:szCs w:val="16"/>
              </w:rPr>
            </w:pPr>
            <w:r w:rsidRPr="00CA73F2">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239</w:t>
            </w:r>
          </w:p>
        </w:tc>
        <w:tc>
          <w:tcPr>
            <w:tcW w:w="1773" w:type="dxa"/>
            <w:tcBorders>
              <w:top w:val="nil"/>
              <w:left w:val="nil"/>
              <w:bottom w:val="nil"/>
            </w:tcBorders>
            <w:shd w:val="clear" w:color="auto" w:fill="D9D9D9" w:themeFill="background1" w:themeFillShade="D9"/>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-67</w:t>
            </w:r>
          </w:p>
        </w:tc>
      </w:tr>
      <w:tr w:rsidR="00403B29" w:rsidRPr="00CA73F2" w:rsidTr="00FF6C69">
        <w:trPr>
          <w:jc w:val="center"/>
        </w:trPr>
        <w:tc>
          <w:tcPr>
            <w:tcW w:w="5191" w:type="dxa"/>
            <w:tcBorders>
              <w:top w:val="nil"/>
              <w:bottom w:val="nil"/>
              <w:right w:val="nil"/>
            </w:tcBorders>
            <w:shd w:val="clear" w:color="auto" w:fill="D9D9D9" w:themeFill="background1" w:themeFillShade="D9"/>
          </w:tcPr>
          <w:p w:rsidR="00403B29" w:rsidRPr="00CA73F2" w:rsidRDefault="00403B29" w:rsidP="00FF6C69">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235</w:t>
            </w:r>
          </w:p>
        </w:tc>
        <w:tc>
          <w:tcPr>
            <w:tcW w:w="1773" w:type="dxa"/>
            <w:tcBorders>
              <w:top w:val="nil"/>
              <w:left w:val="nil"/>
              <w:bottom w:val="nil"/>
            </w:tcBorders>
            <w:shd w:val="clear" w:color="auto" w:fill="D9D9D9" w:themeFill="background1" w:themeFillShade="D9"/>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208</w:t>
            </w:r>
          </w:p>
        </w:tc>
      </w:tr>
      <w:tr w:rsidR="00403B29" w:rsidRPr="00CA73F2" w:rsidTr="00FF6C69">
        <w:trPr>
          <w:jc w:val="center"/>
        </w:trPr>
        <w:tc>
          <w:tcPr>
            <w:tcW w:w="5191" w:type="dxa"/>
            <w:tcBorders>
              <w:top w:val="nil"/>
              <w:bottom w:val="nil"/>
              <w:right w:val="nil"/>
            </w:tcBorders>
            <w:shd w:val="clear" w:color="auto" w:fill="D9D9D9" w:themeFill="background1" w:themeFillShade="D9"/>
          </w:tcPr>
          <w:p w:rsidR="00403B29" w:rsidRPr="00CA73F2" w:rsidRDefault="00403B29" w:rsidP="00FF6C69">
            <w:pPr>
              <w:tabs>
                <w:tab w:val="num" w:pos="720"/>
              </w:tabs>
              <w:spacing w:line="235" w:lineRule="auto"/>
              <w:rPr>
                <w:rFonts w:ascii="Arial Narrow" w:hAnsi="Arial Narrow"/>
                <w:b/>
                <w:sz w:val="16"/>
                <w:szCs w:val="16"/>
                <w:lang w:val="en-GB"/>
              </w:rPr>
            </w:pPr>
            <w:r w:rsidRPr="00CA73F2">
              <w:rPr>
                <w:rFonts w:ascii="Arial Narrow" w:hAnsi="Arial Narrow"/>
                <w:b/>
                <w:sz w:val="16"/>
                <w:szCs w:val="16"/>
              </w:rPr>
              <w:t>Ισοζύγιο</w:t>
            </w:r>
            <w:r w:rsidRPr="00CA73F2">
              <w:rPr>
                <w:rFonts w:ascii="Arial Narrow" w:hAnsi="Arial Narrow"/>
                <w:b/>
                <w:sz w:val="16"/>
                <w:szCs w:val="16"/>
                <w:lang w:val="en-GB"/>
              </w:rPr>
              <w:t xml:space="preserve"> </w:t>
            </w:r>
            <w:r w:rsidRPr="00CA73F2">
              <w:rPr>
                <w:rFonts w:ascii="Arial Narrow" w:hAnsi="Arial Narrow"/>
                <w:b/>
                <w:sz w:val="16"/>
                <w:szCs w:val="16"/>
              </w:rPr>
              <w:t xml:space="preserve">κατά </w:t>
            </w:r>
            <w:r w:rsidRPr="00CA73F2">
              <w:rPr>
                <w:rFonts w:ascii="Arial Narrow" w:hAnsi="Arial Narrow"/>
                <w:b/>
                <w:sz w:val="16"/>
                <w:szCs w:val="16"/>
                <w:lang w:val="en-GB"/>
              </w:rPr>
              <w:t>ESA</w:t>
            </w:r>
          </w:p>
        </w:tc>
        <w:tc>
          <w:tcPr>
            <w:tcW w:w="1787" w:type="dxa"/>
            <w:tcBorders>
              <w:top w:val="nil"/>
              <w:left w:val="nil"/>
              <w:bottom w:val="nil"/>
              <w:right w:val="nil"/>
            </w:tcBorders>
            <w:shd w:val="clear" w:color="auto" w:fill="D9D9D9" w:themeFill="background1" w:themeFillShade="D9"/>
            <w:vAlign w:val="center"/>
          </w:tcPr>
          <w:p w:rsidR="00403B29" w:rsidRDefault="00405B8F" w:rsidP="006D028D">
            <w:pPr>
              <w:ind w:right="567"/>
              <w:jc w:val="right"/>
              <w:rPr>
                <w:rFonts w:ascii="Arial Narrow" w:hAnsi="Arial Narrow"/>
                <w:b/>
                <w:bCs/>
                <w:sz w:val="16"/>
                <w:szCs w:val="16"/>
              </w:rPr>
            </w:pPr>
            <w:r>
              <w:rPr>
                <w:rFonts w:ascii="Arial Narrow" w:hAnsi="Arial Narrow"/>
                <w:b/>
                <w:bCs/>
                <w:sz w:val="16"/>
                <w:szCs w:val="16"/>
              </w:rPr>
              <w:t>473</w:t>
            </w:r>
          </w:p>
        </w:tc>
        <w:tc>
          <w:tcPr>
            <w:tcW w:w="1773" w:type="dxa"/>
            <w:tcBorders>
              <w:top w:val="nil"/>
              <w:left w:val="nil"/>
              <w:bottom w:val="nil"/>
            </w:tcBorders>
            <w:shd w:val="clear" w:color="auto" w:fill="D9D9D9" w:themeFill="background1" w:themeFillShade="D9"/>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141</w:t>
            </w:r>
          </w:p>
        </w:tc>
      </w:tr>
      <w:tr w:rsidR="00403B29" w:rsidRPr="009B0848" w:rsidTr="00FF6C69">
        <w:trPr>
          <w:jc w:val="center"/>
        </w:trPr>
        <w:tc>
          <w:tcPr>
            <w:tcW w:w="5191" w:type="dxa"/>
            <w:tcBorders>
              <w:top w:val="nil"/>
              <w:bottom w:val="nil"/>
              <w:right w:val="nil"/>
            </w:tcBorders>
            <w:shd w:val="clear" w:color="auto" w:fill="A6A6A6"/>
          </w:tcPr>
          <w:p w:rsidR="00403B29" w:rsidRPr="009B0848" w:rsidRDefault="00403B29" w:rsidP="00FF6C69">
            <w:pPr>
              <w:tabs>
                <w:tab w:val="num" w:pos="720"/>
              </w:tabs>
              <w:spacing w:line="235" w:lineRule="auto"/>
              <w:rPr>
                <w:rFonts w:ascii="Arial Narrow" w:hAnsi="Arial Narrow"/>
                <w:b/>
                <w:sz w:val="16"/>
                <w:szCs w:val="16"/>
              </w:rPr>
            </w:pPr>
            <w:r w:rsidRPr="009B0848">
              <w:rPr>
                <w:rFonts w:ascii="Arial Narrow" w:hAnsi="Arial Narrow"/>
                <w:b/>
                <w:sz w:val="16"/>
                <w:szCs w:val="16"/>
              </w:rPr>
              <w:t xml:space="preserve">ΙΙβ.ΥΠΕ </w:t>
            </w:r>
            <w:r>
              <w:rPr>
                <w:rFonts w:ascii="Arial Narrow" w:hAnsi="Arial Narrow"/>
                <w:b/>
                <w:sz w:val="16"/>
                <w:szCs w:val="16"/>
              </w:rPr>
              <w:t>–</w:t>
            </w:r>
            <w:r w:rsidRPr="009B0848">
              <w:rPr>
                <w:rFonts w:ascii="Arial Narrow" w:hAnsi="Arial Narrow"/>
                <w:b/>
                <w:sz w:val="16"/>
                <w:szCs w:val="16"/>
              </w:rPr>
              <w:t xml:space="preserve"> ΠΕΔΥ</w:t>
            </w:r>
          </w:p>
        </w:tc>
        <w:tc>
          <w:tcPr>
            <w:tcW w:w="1787" w:type="dxa"/>
            <w:tcBorders>
              <w:top w:val="nil"/>
              <w:left w:val="nil"/>
              <w:bottom w:val="nil"/>
              <w:right w:val="nil"/>
            </w:tcBorders>
            <w:shd w:val="clear" w:color="auto" w:fill="A6A6A6"/>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 </w:t>
            </w:r>
          </w:p>
        </w:tc>
        <w:tc>
          <w:tcPr>
            <w:tcW w:w="1773" w:type="dxa"/>
            <w:tcBorders>
              <w:top w:val="nil"/>
              <w:left w:val="nil"/>
              <w:bottom w:val="nil"/>
            </w:tcBorders>
            <w:shd w:val="clear" w:color="auto" w:fill="A6A6A6"/>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 </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b/>
                <w:sz w:val="16"/>
                <w:szCs w:val="16"/>
              </w:rPr>
            </w:pPr>
            <w:r w:rsidRPr="009B0848">
              <w:rPr>
                <w:rFonts w:ascii="Arial Narrow" w:hAnsi="Arial Narrow"/>
                <w:b/>
                <w:sz w:val="16"/>
                <w:szCs w:val="16"/>
              </w:rPr>
              <w:t>Έσοδα</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190</w:t>
            </w:r>
          </w:p>
        </w:tc>
        <w:tc>
          <w:tcPr>
            <w:tcW w:w="1773" w:type="dxa"/>
            <w:tcBorders>
              <w:top w:val="nil"/>
              <w:left w:val="nil"/>
              <w:bottom w:val="nil"/>
            </w:tcBorders>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193</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Ίδια έσοδα</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25</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26</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Τακτικό Προϋπολογισμό</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130</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132</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Μεταβιβάσεις από φορείς κοινωνικής ασφάλισης</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0</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0</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Pr>
                <w:rFonts w:ascii="Arial Narrow" w:hAnsi="Arial Narrow"/>
                <w:sz w:val="16"/>
                <w:szCs w:val="16"/>
              </w:rPr>
              <w:t>Μεταβιβάσεις από ΠΔΕ</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13</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13</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 xml:space="preserve">Αντικριζόμενα έσοδα </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22</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22</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b/>
                <w:sz w:val="16"/>
                <w:szCs w:val="16"/>
              </w:rPr>
            </w:pPr>
            <w:r w:rsidRPr="009B0848">
              <w:rPr>
                <w:rFonts w:ascii="Arial Narrow" w:hAnsi="Arial Narrow"/>
                <w:b/>
                <w:sz w:val="16"/>
                <w:szCs w:val="16"/>
              </w:rPr>
              <w:t>Έξοδα</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188</w:t>
            </w:r>
          </w:p>
        </w:tc>
        <w:tc>
          <w:tcPr>
            <w:tcW w:w="1773" w:type="dxa"/>
            <w:tcBorders>
              <w:top w:val="nil"/>
              <w:left w:val="nil"/>
              <w:bottom w:val="nil"/>
            </w:tcBorders>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190</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720"/>
              </w:tabs>
              <w:spacing w:line="235" w:lineRule="auto"/>
              <w:rPr>
                <w:rFonts w:ascii="Arial Narrow" w:hAnsi="Arial Narrow"/>
                <w:sz w:val="16"/>
                <w:szCs w:val="16"/>
              </w:rPr>
            </w:pPr>
            <w:r w:rsidRPr="009B0848">
              <w:rPr>
                <w:rFonts w:ascii="Arial Narrow" w:hAnsi="Arial Narrow"/>
                <w:sz w:val="16"/>
                <w:szCs w:val="16"/>
              </w:rPr>
              <w:t>Αγαθά</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82</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81</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t>εκ των οποίων</w:t>
            </w:r>
            <w:r w:rsidRPr="009B0848">
              <w:rPr>
                <w:rFonts w:ascii="Arial Narrow" w:hAnsi="Arial Narrow"/>
                <w:sz w:val="16"/>
                <w:szCs w:val="16"/>
              </w:rPr>
              <w:tab/>
              <w:t>Φάρμακο</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25</w:t>
            </w:r>
          </w:p>
        </w:tc>
        <w:tc>
          <w:tcPr>
            <w:tcW w:w="1773" w:type="dxa"/>
            <w:tcBorders>
              <w:top w:val="nil"/>
              <w:left w:val="nil"/>
              <w:bottom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24</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Υγειονομικό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19</w:t>
            </w:r>
          </w:p>
        </w:tc>
        <w:tc>
          <w:tcPr>
            <w:tcW w:w="1773" w:type="dxa"/>
            <w:tcBorders>
              <w:top w:val="nil"/>
              <w:left w:val="nil"/>
              <w:bottom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21</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Ορθοπεδικό υλικό</w:t>
            </w:r>
            <w:r w:rsidRPr="009B0848">
              <w:rPr>
                <w:rFonts w:ascii="Arial Narrow" w:hAnsi="Arial Narrow"/>
                <w:sz w:val="16"/>
                <w:szCs w:val="16"/>
              </w:rPr>
              <w:tab/>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9</w:t>
            </w:r>
          </w:p>
        </w:tc>
        <w:tc>
          <w:tcPr>
            <w:tcW w:w="1773" w:type="dxa"/>
            <w:tcBorders>
              <w:top w:val="nil"/>
              <w:left w:val="nil"/>
              <w:bottom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4</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Αντιδραστήρια</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14</w:t>
            </w:r>
          </w:p>
        </w:tc>
        <w:tc>
          <w:tcPr>
            <w:tcW w:w="1773" w:type="dxa"/>
            <w:tcBorders>
              <w:top w:val="nil"/>
              <w:left w:val="nil"/>
              <w:bottom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18</w:t>
            </w:r>
          </w:p>
        </w:tc>
      </w:tr>
      <w:tr w:rsidR="00403B29" w:rsidRPr="009B0848" w:rsidTr="00FF6C69">
        <w:trPr>
          <w:jc w:val="center"/>
        </w:trPr>
        <w:tc>
          <w:tcPr>
            <w:tcW w:w="5191" w:type="dxa"/>
            <w:tcBorders>
              <w:top w:val="nil"/>
              <w:bottom w:val="nil"/>
              <w:right w:val="nil"/>
            </w:tcBorders>
          </w:tcPr>
          <w:p w:rsidR="00403B29" w:rsidRPr="009B0848" w:rsidRDefault="00403B29" w:rsidP="00FF6C69">
            <w:pPr>
              <w:tabs>
                <w:tab w:val="num" w:pos="89"/>
                <w:tab w:val="left" w:pos="1081"/>
              </w:tabs>
              <w:spacing w:line="235" w:lineRule="auto"/>
              <w:rPr>
                <w:rFonts w:ascii="Arial Narrow" w:hAnsi="Arial Narrow"/>
                <w:sz w:val="16"/>
                <w:szCs w:val="16"/>
              </w:rPr>
            </w:pPr>
            <w:r w:rsidRPr="009B0848">
              <w:rPr>
                <w:rFonts w:ascii="Arial Narrow" w:hAnsi="Arial Narrow"/>
                <w:sz w:val="16"/>
                <w:szCs w:val="16"/>
              </w:rPr>
              <w:tab/>
            </w:r>
            <w:r w:rsidRPr="009B0848">
              <w:rPr>
                <w:rFonts w:ascii="Arial Narrow" w:hAnsi="Arial Narrow"/>
                <w:sz w:val="16"/>
                <w:szCs w:val="16"/>
              </w:rPr>
              <w:tab/>
              <w:t>Λοιπές κατηγορίες</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15</w:t>
            </w:r>
          </w:p>
        </w:tc>
        <w:tc>
          <w:tcPr>
            <w:tcW w:w="1773" w:type="dxa"/>
            <w:tcBorders>
              <w:top w:val="nil"/>
              <w:left w:val="nil"/>
              <w:bottom w:val="nil"/>
            </w:tcBorders>
            <w:vAlign w:val="center"/>
          </w:tcPr>
          <w:p w:rsidR="00403B29" w:rsidRDefault="00403B29" w:rsidP="006D028D">
            <w:pPr>
              <w:ind w:right="567"/>
              <w:jc w:val="right"/>
              <w:rPr>
                <w:rFonts w:ascii="Arial Narrow" w:hAnsi="Arial Narrow"/>
                <w:i/>
                <w:iCs/>
                <w:sz w:val="16"/>
                <w:szCs w:val="16"/>
              </w:rPr>
            </w:pPr>
            <w:r>
              <w:rPr>
                <w:rFonts w:ascii="Arial Narrow" w:hAnsi="Arial Narrow"/>
                <w:i/>
                <w:iCs/>
                <w:sz w:val="16"/>
                <w:szCs w:val="16"/>
              </w:rPr>
              <w:t>14</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sz w:val="16"/>
                <w:szCs w:val="16"/>
              </w:rPr>
            </w:pPr>
            <w:r w:rsidRPr="009B0848">
              <w:rPr>
                <w:rFonts w:ascii="Arial Narrow" w:hAnsi="Arial Narrow"/>
                <w:sz w:val="16"/>
                <w:szCs w:val="16"/>
              </w:rPr>
              <w:t>Δαπάνες προσωπικού</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46</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47</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sz w:val="16"/>
                <w:szCs w:val="16"/>
              </w:rPr>
            </w:pPr>
            <w:r w:rsidRPr="009B0848">
              <w:rPr>
                <w:rFonts w:ascii="Arial Narrow" w:hAnsi="Arial Narrow"/>
                <w:sz w:val="16"/>
                <w:szCs w:val="16"/>
              </w:rPr>
              <w:t>Υπηρεσίες</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25</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27</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sz w:val="16"/>
                <w:szCs w:val="16"/>
              </w:rPr>
            </w:pPr>
            <w:r w:rsidRPr="009B0848">
              <w:rPr>
                <w:rFonts w:ascii="Arial Narrow" w:hAnsi="Arial Narrow"/>
                <w:sz w:val="16"/>
                <w:szCs w:val="16"/>
              </w:rPr>
              <w:t>Δαπάνες για επενδύσεις</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13</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13</w:t>
            </w:r>
          </w:p>
        </w:tc>
      </w:tr>
      <w:tr w:rsidR="00403B29" w:rsidRPr="009B0848" w:rsidTr="00FF6C69">
        <w:trPr>
          <w:jc w:val="center"/>
        </w:trPr>
        <w:tc>
          <w:tcPr>
            <w:tcW w:w="5191" w:type="dxa"/>
            <w:tcBorders>
              <w:top w:val="nil"/>
              <w:bottom w:val="nil"/>
              <w:right w:val="nil"/>
            </w:tcBorders>
          </w:tcPr>
          <w:p w:rsidR="00403B29" w:rsidRPr="009B0848" w:rsidRDefault="00403B29" w:rsidP="00FF6C69">
            <w:pPr>
              <w:spacing w:line="235" w:lineRule="auto"/>
              <w:rPr>
                <w:rFonts w:ascii="Arial Narrow" w:hAnsi="Arial Narrow"/>
                <w:sz w:val="16"/>
                <w:szCs w:val="16"/>
              </w:rPr>
            </w:pPr>
            <w:r w:rsidRPr="009B0848">
              <w:rPr>
                <w:rFonts w:ascii="Arial Narrow" w:hAnsi="Arial Narrow"/>
                <w:sz w:val="16"/>
                <w:szCs w:val="16"/>
              </w:rPr>
              <w:t>Αντικριζόμενα έξοδα</w:t>
            </w:r>
          </w:p>
        </w:tc>
        <w:tc>
          <w:tcPr>
            <w:tcW w:w="1787" w:type="dxa"/>
            <w:tcBorders>
              <w:top w:val="nil"/>
              <w:left w:val="nil"/>
              <w:bottom w:val="nil"/>
              <w:right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22</w:t>
            </w:r>
          </w:p>
        </w:tc>
        <w:tc>
          <w:tcPr>
            <w:tcW w:w="1773" w:type="dxa"/>
            <w:tcBorders>
              <w:top w:val="nil"/>
              <w:left w:val="nil"/>
              <w:bottom w:val="nil"/>
            </w:tcBorders>
            <w:vAlign w:val="center"/>
          </w:tcPr>
          <w:p w:rsidR="00403B29" w:rsidRDefault="00403B29" w:rsidP="006D028D">
            <w:pPr>
              <w:ind w:right="567"/>
              <w:jc w:val="right"/>
              <w:rPr>
                <w:rFonts w:ascii="Arial Narrow" w:hAnsi="Arial Narrow"/>
                <w:sz w:val="16"/>
                <w:szCs w:val="16"/>
              </w:rPr>
            </w:pPr>
            <w:r>
              <w:rPr>
                <w:rFonts w:ascii="Arial Narrow" w:hAnsi="Arial Narrow"/>
                <w:sz w:val="16"/>
                <w:szCs w:val="16"/>
              </w:rPr>
              <w:t>22</w:t>
            </w:r>
          </w:p>
        </w:tc>
      </w:tr>
      <w:tr w:rsidR="00403B29" w:rsidRPr="00CA73F2" w:rsidTr="00FF6C69">
        <w:trPr>
          <w:jc w:val="center"/>
        </w:trPr>
        <w:tc>
          <w:tcPr>
            <w:tcW w:w="5191" w:type="dxa"/>
            <w:tcBorders>
              <w:top w:val="nil"/>
              <w:bottom w:val="nil"/>
              <w:right w:val="nil"/>
            </w:tcBorders>
            <w:shd w:val="clear" w:color="auto" w:fill="D9D9D9" w:themeFill="background1" w:themeFillShade="D9"/>
          </w:tcPr>
          <w:p w:rsidR="00403B29" w:rsidRPr="00CA73F2" w:rsidRDefault="00403B29" w:rsidP="00FF6C69">
            <w:pPr>
              <w:spacing w:line="235" w:lineRule="auto"/>
              <w:rPr>
                <w:rFonts w:ascii="Arial Narrow" w:hAnsi="Arial Narrow"/>
                <w:b/>
                <w:sz w:val="16"/>
                <w:szCs w:val="16"/>
              </w:rPr>
            </w:pPr>
            <w:r w:rsidRPr="00CA73F2">
              <w:rPr>
                <w:rFonts w:ascii="Arial Narrow" w:hAnsi="Arial Narrow"/>
                <w:b/>
                <w:sz w:val="16"/>
                <w:szCs w:val="16"/>
              </w:rPr>
              <w:t>Ταμειακό ισοζύγιο</w:t>
            </w:r>
          </w:p>
        </w:tc>
        <w:tc>
          <w:tcPr>
            <w:tcW w:w="1787" w:type="dxa"/>
            <w:tcBorders>
              <w:top w:val="nil"/>
              <w:left w:val="nil"/>
              <w:bottom w:val="nil"/>
              <w:right w:val="nil"/>
            </w:tcBorders>
            <w:shd w:val="clear" w:color="auto" w:fill="D9D9D9" w:themeFill="background1" w:themeFillShade="D9"/>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w:t>
            </w:r>
          </w:p>
        </w:tc>
        <w:tc>
          <w:tcPr>
            <w:tcW w:w="1773" w:type="dxa"/>
            <w:tcBorders>
              <w:top w:val="nil"/>
              <w:left w:val="nil"/>
              <w:bottom w:val="nil"/>
            </w:tcBorders>
            <w:shd w:val="clear" w:color="auto" w:fill="D9D9D9" w:themeFill="background1" w:themeFillShade="D9"/>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3</w:t>
            </w:r>
          </w:p>
        </w:tc>
      </w:tr>
      <w:tr w:rsidR="00403B29" w:rsidRPr="00CA73F2" w:rsidTr="00FF6C69">
        <w:trPr>
          <w:jc w:val="center"/>
        </w:trPr>
        <w:tc>
          <w:tcPr>
            <w:tcW w:w="5191" w:type="dxa"/>
            <w:tcBorders>
              <w:top w:val="nil"/>
              <w:bottom w:val="nil"/>
              <w:right w:val="nil"/>
            </w:tcBorders>
            <w:shd w:val="clear" w:color="auto" w:fill="D9D9D9" w:themeFill="background1" w:themeFillShade="D9"/>
          </w:tcPr>
          <w:p w:rsidR="00403B29" w:rsidRPr="00CA73F2" w:rsidRDefault="00403B29" w:rsidP="00FF6C69">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p>
        </w:tc>
        <w:tc>
          <w:tcPr>
            <w:tcW w:w="1787" w:type="dxa"/>
            <w:tcBorders>
              <w:top w:val="nil"/>
              <w:left w:val="nil"/>
              <w:bottom w:val="nil"/>
              <w:right w:val="nil"/>
            </w:tcBorders>
            <w:shd w:val="clear" w:color="auto" w:fill="D9D9D9" w:themeFill="background1" w:themeFillShade="D9"/>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0</w:t>
            </w:r>
          </w:p>
        </w:tc>
        <w:tc>
          <w:tcPr>
            <w:tcW w:w="1773" w:type="dxa"/>
            <w:tcBorders>
              <w:top w:val="nil"/>
              <w:left w:val="nil"/>
              <w:bottom w:val="nil"/>
            </w:tcBorders>
            <w:shd w:val="clear" w:color="auto" w:fill="D9D9D9" w:themeFill="background1" w:themeFillShade="D9"/>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0</w:t>
            </w:r>
          </w:p>
        </w:tc>
      </w:tr>
      <w:tr w:rsidR="00403B29" w:rsidRPr="009B0848" w:rsidTr="00FF6C69">
        <w:trPr>
          <w:jc w:val="center"/>
        </w:trPr>
        <w:tc>
          <w:tcPr>
            <w:tcW w:w="5191" w:type="dxa"/>
            <w:tcBorders>
              <w:top w:val="nil"/>
              <w:bottom w:val="nil"/>
              <w:right w:val="nil"/>
            </w:tcBorders>
            <w:shd w:val="clear" w:color="auto" w:fill="D9D9D9" w:themeFill="background1" w:themeFillShade="D9"/>
          </w:tcPr>
          <w:p w:rsidR="00403B29" w:rsidRPr="00CA73F2" w:rsidRDefault="00403B29" w:rsidP="00FF6C69">
            <w:pPr>
              <w:tabs>
                <w:tab w:val="num" w:pos="720"/>
              </w:tabs>
              <w:spacing w:line="235" w:lineRule="auto"/>
              <w:rPr>
                <w:rFonts w:ascii="Arial Narrow" w:hAnsi="Arial Narrow"/>
                <w:b/>
                <w:sz w:val="16"/>
                <w:szCs w:val="16"/>
                <w:lang w:val="en-GB"/>
              </w:rPr>
            </w:pPr>
            <w:r w:rsidRPr="009B0848">
              <w:rPr>
                <w:rFonts w:ascii="Arial Narrow" w:hAnsi="Arial Narrow"/>
                <w:b/>
                <w:sz w:val="16"/>
                <w:szCs w:val="16"/>
              </w:rPr>
              <w:t>Ισοζύγιο</w:t>
            </w:r>
            <w:r>
              <w:rPr>
                <w:rFonts w:ascii="Arial Narrow" w:hAnsi="Arial Narrow"/>
                <w:b/>
                <w:sz w:val="16"/>
                <w:szCs w:val="16"/>
              </w:rPr>
              <w:t xml:space="preserve"> κατά </w:t>
            </w:r>
            <w:r>
              <w:rPr>
                <w:rFonts w:ascii="Arial Narrow" w:hAnsi="Arial Narrow"/>
                <w:b/>
                <w:sz w:val="16"/>
                <w:szCs w:val="16"/>
                <w:lang w:val="en-GB"/>
              </w:rPr>
              <w:t xml:space="preserve">ESA </w:t>
            </w:r>
          </w:p>
        </w:tc>
        <w:tc>
          <w:tcPr>
            <w:tcW w:w="1787" w:type="dxa"/>
            <w:tcBorders>
              <w:top w:val="nil"/>
              <w:left w:val="nil"/>
              <w:bottom w:val="nil"/>
              <w:right w:val="nil"/>
            </w:tcBorders>
            <w:shd w:val="clear" w:color="auto" w:fill="D9D9D9" w:themeFill="background1" w:themeFillShade="D9"/>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w:t>
            </w:r>
          </w:p>
        </w:tc>
        <w:tc>
          <w:tcPr>
            <w:tcW w:w="1773" w:type="dxa"/>
            <w:tcBorders>
              <w:top w:val="nil"/>
              <w:left w:val="nil"/>
              <w:bottom w:val="nil"/>
            </w:tcBorders>
            <w:shd w:val="clear" w:color="auto" w:fill="D9D9D9" w:themeFill="background1" w:themeFillShade="D9"/>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3</w:t>
            </w:r>
          </w:p>
        </w:tc>
      </w:tr>
      <w:tr w:rsidR="00403B29" w:rsidRPr="00CA73F2" w:rsidTr="00FF6C69">
        <w:trPr>
          <w:jc w:val="center"/>
        </w:trPr>
        <w:tc>
          <w:tcPr>
            <w:tcW w:w="5191" w:type="dxa"/>
            <w:tcBorders>
              <w:top w:val="nil"/>
              <w:bottom w:val="nil"/>
              <w:right w:val="nil"/>
            </w:tcBorders>
            <w:shd w:val="clear" w:color="auto" w:fill="BFBFBF" w:themeFill="background1" w:themeFillShade="BF"/>
          </w:tcPr>
          <w:p w:rsidR="00403B29" w:rsidRPr="00CA73F2" w:rsidRDefault="00403B29" w:rsidP="00FF6C69">
            <w:pPr>
              <w:spacing w:line="235" w:lineRule="auto"/>
              <w:rPr>
                <w:rFonts w:ascii="Arial Narrow" w:hAnsi="Arial Narrow"/>
                <w:b/>
                <w:sz w:val="16"/>
                <w:szCs w:val="16"/>
              </w:rPr>
            </w:pPr>
            <w:r w:rsidRPr="00CA73F2">
              <w:rPr>
                <w:rFonts w:ascii="Arial Narrow" w:hAnsi="Arial Narrow"/>
                <w:b/>
                <w:sz w:val="16"/>
                <w:szCs w:val="16"/>
              </w:rPr>
              <w:t>Ταμειακό ισοζύγιο</w:t>
            </w:r>
            <w:r>
              <w:rPr>
                <w:rFonts w:ascii="Arial Narrow" w:hAnsi="Arial Narrow"/>
                <w:b/>
                <w:sz w:val="16"/>
                <w:szCs w:val="16"/>
                <w:lang w:val="en-GB"/>
              </w:rPr>
              <w:t xml:space="preserve"> </w:t>
            </w:r>
            <w:r>
              <w:rPr>
                <w:rFonts w:ascii="Arial Narrow" w:hAnsi="Arial Narrow"/>
                <w:b/>
                <w:sz w:val="16"/>
                <w:szCs w:val="16"/>
              </w:rPr>
              <w:t>νοσοκομείων – ΠΕΔΥ</w:t>
            </w:r>
          </w:p>
        </w:tc>
        <w:tc>
          <w:tcPr>
            <w:tcW w:w="1787" w:type="dxa"/>
            <w:tcBorders>
              <w:top w:val="nil"/>
              <w:left w:val="nil"/>
              <w:bottom w:val="nil"/>
              <w:right w:val="nil"/>
            </w:tcBorders>
            <w:shd w:val="clear" w:color="auto" w:fill="BFBFBF" w:themeFill="background1" w:themeFillShade="BF"/>
            <w:vAlign w:val="center"/>
          </w:tcPr>
          <w:p w:rsidR="00403B29" w:rsidRDefault="00405B8F" w:rsidP="006D028D">
            <w:pPr>
              <w:ind w:right="567"/>
              <w:jc w:val="right"/>
              <w:rPr>
                <w:rFonts w:ascii="Arial Narrow" w:hAnsi="Arial Narrow"/>
                <w:b/>
                <w:bCs/>
                <w:sz w:val="16"/>
                <w:szCs w:val="16"/>
              </w:rPr>
            </w:pPr>
            <w:r>
              <w:rPr>
                <w:rFonts w:ascii="Arial Narrow" w:hAnsi="Arial Narrow"/>
                <w:b/>
                <w:bCs/>
                <w:sz w:val="16"/>
                <w:szCs w:val="16"/>
              </w:rPr>
              <w:t>241</w:t>
            </w:r>
          </w:p>
        </w:tc>
        <w:tc>
          <w:tcPr>
            <w:tcW w:w="1773" w:type="dxa"/>
            <w:tcBorders>
              <w:top w:val="nil"/>
              <w:left w:val="nil"/>
              <w:bottom w:val="nil"/>
            </w:tcBorders>
            <w:shd w:val="clear" w:color="auto" w:fill="BFBFBF" w:themeFill="background1" w:themeFillShade="BF"/>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-64</w:t>
            </w:r>
          </w:p>
        </w:tc>
      </w:tr>
      <w:tr w:rsidR="00403B29" w:rsidRPr="00CA73F2" w:rsidTr="00FF6C69">
        <w:trPr>
          <w:jc w:val="center"/>
        </w:trPr>
        <w:tc>
          <w:tcPr>
            <w:tcW w:w="5191" w:type="dxa"/>
            <w:tcBorders>
              <w:top w:val="nil"/>
              <w:bottom w:val="nil"/>
              <w:right w:val="nil"/>
            </w:tcBorders>
            <w:shd w:val="clear" w:color="auto" w:fill="BFBFBF" w:themeFill="background1" w:themeFillShade="BF"/>
          </w:tcPr>
          <w:p w:rsidR="00403B29" w:rsidRPr="00CA73F2" w:rsidRDefault="00403B29" w:rsidP="00FF6C69">
            <w:pPr>
              <w:spacing w:line="235" w:lineRule="auto"/>
              <w:rPr>
                <w:rFonts w:ascii="Arial Narrow" w:hAnsi="Arial Narrow"/>
                <w:b/>
                <w:sz w:val="16"/>
                <w:szCs w:val="16"/>
              </w:rPr>
            </w:pPr>
            <w:r w:rsidRPr="00CA73F2">
              <w:rPr>
                <w:rFonts w:ascii="Arial Narrow" w:hAnsi="Arial Narrow"/>
                <w:b/>
                <w:sz w:val="16"/>
                <w:szCs w:val="16"/>
              </w:rPr>
              <w:t>Εθνικολογιστικές προσαρμογές</w:t>
            </w:r>
            <w:r>
              <w:rPr>
                <w:rFonts w:ascii="Arial Narrow" w:hAnsi="Arial Narrow"/>
                <w:b/>
                <w:sz w:val="16"/>
                <w:szCs w:val="16"/>
              </w:rPr>
              <w:t xml:space="preserve"> νοσοκομείων – ΠΕΔΥ </w:t>
            </w:r>
          </w:p>
        </w:tc>
        <w:tc>
          <w:tcPr>
            <w:tcW w:w="1787" w:type="dxa"/>
            <w:tcBorders>
              <w:top w:val="nil"/>
              <w:left w:val="nil"/>
              <w:bottom w:val="nil"/>
              <w:right w:val="nil"/>
            </w:tcBorders>
            <w:shd w:val="clear" w:color="auto" w:fill="BFBFBF" w:themeFill="background1" w:themeFillShade="BF"/>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235</w:t>
            </w:r>
          </w:p>
        </w:tc>
        <w:tc>
          <w:tcPr>
            <w:tcW w:w="1773" w:type="dxa"/>
            <w:tcBorders>
              <w:top w:val="nil"/>
              <w:left w:val="nil"/>
              <w:bottom w:val="nil"/>
            </w:tcBorders>
            <w:shd w:val="clear" w:color="auto" w:fill="BFBFBF" w:themeFill="background1" w:themeFillShade="BF"/>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208</w:t>
            </w:r>
          </w:p>
        </w:tc>
      </w:tr>
      <w:tr w:rsidR="00403B29" w:rsidRPr="009B0848" w:rsidTr="00FF6C69">
        <w:trPr>
          <w:jc w:val="center"/>
        </w:trPr>
        <w:tc>
          <w:tcPr>
            <w:tcW w:w="5191" w:type="dxa"/>
            <w:tcBorders>
              <w:top w:val="nil"/>
              <w:bottom w:val="nil"/>
              <w:right w:val="nil"/>
            </w:tcBorders>
            <w:shd w:val="clear" w:color="auto" w:fill="BFBFBF" w:themeFill="background1" w:themeFillShade="BF"/>
          </w:tcPr>
          <w:p w:rsidR="00403B29" w:rsidRPr="00905AE4" w:rsidRDefault="00403B29" w:rsidP="00FF6C69">
            <w:pPr>
              <w:tabs>
                <w:tab w:val="num" w:pos="720"/>
              </w:tabs>
              <w:spacing w:line="235" w:lineRule="auto"/>
              <w:rPr>
                <w:rFonts w:ascii="Arial Narrow" w:hAnsi="Arial Narrow"/>
                <w:b/>
                <w:sz w:val="16"/>
                <w:szCs w:val="16"/>
              </w:rPr>
            </w:pPr>
            <w:r w:rsidRPr="009B0848">
              <w:rPr>
                <w:rFonts w:ascii="Arial Narrow" w:hAnsi="Arial Narrow"/>
                <w:b/>
                <w:sz w:val="16"/>
                <w:szCs w:val="16"/>
              </w:rPr>
              <w:t>Ισοζύγιο</w:t>
            </w:r>
            <w:r>
              <w:rPr>
                <w:rFonts w:ascii="Arial Narrow" w:hAnsi="Arial Narrow"/>
                <w:b/>
                <w:sz w:val="16"/>
                <w:szCs w:val="16"/>
              </w:rPr>
              <w:t xml:space="preserve"> νοσοκομείων – ΠΕΔΥ κατά </w:t>
            </w:r>
            <w:r>
              <w:rPr>
                <w:rFonts w:ascii="Arial Narrow" w:hAnsi="Arial Narrow"/>
                <w:b/>
                <w:sz w:val="16"/>
                <w:szCs w:val="16"/>
                <w:lang w:val="en-GB"/>
              </w:rPr>
              <w:t>ESA</w:t>
            </w:r>
            <w:r w:rsidRPr="0097155F">
              <w:rPr>
                <w:rFonts w:ascii="Arial Narrow" w:hAnsi="Arial Narrow"/>
                <w:b/>
                <w:sz w:val="16"/>
                <w:szCs w:val="16"/>
              </w:rPr>
              <w:t xml:space="preserve"> </w:t>
            </w:r>
          </w:p>
        </w:tc>
        <w:tc>
          <w:tcPr>
            <w:tcW w:w="1787" w:type="dxa"/>
            <w:tcBorders>
              <w:top w:val="nil"/>
              <w:left w:val="nil"/>
              <w:bottom w:val="nil"/>
              <w:right w:val="nil"/>
            </w:tcBorders>
            <w:shd w:val="clear" w:color="auto" w:fill="BFBFBF" w:themeFill="background1" w:themeFillShade="BF"/>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475</w:t>
            </w:r>
          </w:p>
        </w:tc>
        <w:tc>
          <w:tcPr>
            <w:tcW w:w="1773" w:type="dxa"/>
            <w:tcBorders>
              <w:top w:val="nil"/>
              <w:left w:val="nil"/>
              <w:bottom w:val="nil"/>
            </w:tcBorders>
            <w:shd w:val="clear" w:color="auto" w:fill="BFBFBF" w:themeFill="background1" w:themeFillShade="BF"/>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144</w:t>
            </w:r>
          </w:p>
        </w:tc>
      </w:tr>
      <w:tr w:rsidR="00403B29" w:rsidRPr="00CA73F2" w:rsidTr="00FF6C69">
        <w:trPr>
          <w:jc w:val="center"/>
        </w:trPr>
        <w:tc>
          <w:tcPr>
            <w:tcW w:w="5191" w:type="dxa"/>
            <w:tcBorders>
              <w:top w:val="nil"/>
              <w:bottom w:val="nil"/>
              <w:right w:val="nil"/>
            </w:tcBorders>
            <w:shd w:val="clear" w:color="auto" w:fill="A6A6A6" w:themeFill="background1" w:themeFillShade="A6"/>
          </w:tcPr>
          <w:p w:rsidR="00403B29" w:rsidRPr="00CA73F2" w:rsidRDefault="00403B29" w:rsidP="00FF6C69">
            <w:pPr>
              <w:tabs>
                <w:tab w:val="num" w:pos="720"/>
              </w:tabs>
              <w:spacing w:line="235" w:lineRule="auto"/>
              <w:rPr>
                <w:rFonts w:ascii="Arial Narrow" w:hAnsi="Arial Narrow"/>
                <w:b/>
                <w:sz w:val="16"/>
                <w:szCs w:val="16"/>
              </w:rPr>
            </w:pPr>
            <w:r>
              <w:rPr>
                <w:rFonts w:ascii="Arial Narrow" w:hAnsi="Arial Narrow"/>
                <w:b/>
                <w:sz w:val="16"/>
                <w:szCs w:val="16"/>
              </w:rPr>
              <w:t>Συνολικό τ</w:t>
            </w:r>
            <w:r w:rsidRPr="00CA73F2">
              <w:rPr>
                <w:rFonts w:ascii="Arial Narrow" w:hAnsi="Arial Narrow"/>
                <w:b/>
                <w:sz w:val="16"/>
                <w:szCs w:val="16"/>
              </w:rPr>
              <w:t>αμειακό ισοζύγιο</w:t>
            </w:r>
            <w:r>
              <w:rPr>
                <w:rFonts w:ascii="Arial Narrow" w:hAnsi="Arial Narrow"/>
                <w:b/>
                <w:sz w:val="16"/>
                <w:szCs w:val="16"/>
              </w:rPr>
              <w:t xml:space="preserve"> κοινωνικού προϋπολογισμού</w:t>
            </w:r>
          </w:p>
        </w:tc>
        <w:tc>
          <w:tcPr>
            <w:tcW w:w="1787" w:type="dxa"/>
            <w:tcBorders>
              <w:top w:val="nil"/>
              <w:left w:val="nil"/>
              <w:bottom w:val="nil"/>
              <w:right w:val="nil"/>
            </w:tcBorders>
            <w:shd w:val="clear" w:color="auto" w:fill="A6A6A6" w:themeFill="background1" w:themeFillShade="A6"/>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1.581</w:t>
            </w:r>
          </w:p>
        </w:tc>
        <w:tc>
          <w:tcPr>
            <w:tcW w:w="1773" w:type="dxa"/>
            <w:tcBorders>
              <w:top w:val="nil"/>
              <w:left w:val="nil"/>
              <w:bottom w:val="nil"/>
            </w:tcBorders>
            <w:shd w:val="clear" w:color="auto" w:fill="A6A6A6" w:themeFill="background1" w:themeFillShade="A6"/>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1.495</w:t>
            </w:r>
          </w:p>
        </w:tc>
      </w:tr>
      <w:tr w:rsidR="00403B29" w:rsidRPr="00CA73F2" w:rsidTr="00FF6C69">
        <w:trPr>
          <w:jc w:val="center"/>
        </w:trPr>
        <w:tc>
          <w:tcPr>
            <w:tcW w:w="5191" w:type="dxa"/>
            <w:tcBorders>
              <w:top w:val="nil"/>
              <w:bottom w:val="nil"/>
              <w:right w:val="nil"/>
            </w:tcBorders>
            <w:shd w:val="clear" w:color="auto" w:fill="A6A6A6" w:themeFill="background1" w:themeFillShade="A6"/>
          </w:tcPr>
          <w:p w:rsidR="00403B29" w:rsidRPr="00CA73F2" w:rsidRDefault="00403B29" w:rsidP="00FF6C69">
            <w:pPr>
              <w:tabs>
                <w:tab w:val="num" w:pos="720"/>
              </w:tabs>
              <w:spacing w:line="235" w:lineRule="auto"/>
              <w:rPr>
                <w:rFonts w:ascii="Arial Narrow" w:hAnsi="Arial Narrow"/>
                <w:b/>
                <w:sz w:val="16"/>
                <w:szCs w:val="16"/>
              </w:rPr>
            </w:pPr>
            <w:r>
              <w:rPr>
                <w:rFonts w:ascii="Arial Narrow" w:hAnsi="Arial Narrow"/>
                <w:b/>
                <w:sz w:val="16"/>
                <w:szCs w:val="16"/>
              </w:rPr>
              <w:t>Συνολικές ε</w:t>
            </w:r>
            <w:r w:rsidRPr="00CA73F2">
              <w:rPr>
                <w:rFonts w:ascii="Arial Narrow" w:hAnsi="Arial Narrow"/>
                <w:b/>
                <w:sz w:val="16"/>
                <w:szCs w:val="16"/>
              </w:rPr>
              <w:t>θνικολογιστικές προσαρμογές</w:t>
            </w:r>
            <w:r>
              <w:rPr>
                <w:rFonts w:ascii="Arial Narrow" w:hAnsi="Arial Narrow"/>
                <w:b/>
                <w:sz w:val="16"/>
                <w:szCs w:val="16"/>
              </w:rPr>
              <w:t xml:space="preserve"> κοινωνικού προϋπολογισμού</w:t>
            </w:r>
          </w:p>
        </w:tc>
        <w:tc>
          <w:tcPr>
            <w:tcW w:w="1787" w:type="dxa"/>
            <w:tcBorders>
              <w:top w:val="nil"/>
              <w:left w:val="nil"/>
              <w:bottom w:val="nil"/>
              <w:right w:val="nil"/>
            </w:tcBorders>
            <w:shd w:val="clear" w:color="auto" w:fill="A6A6A6" w:themeFill="background1" w:themeFillShade="A6"/>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-21</w:t>
            </w:r>
          </w:p>
        </w:tc>
        <w:tc>
          <w:tcPr>
            <w:tcW w:w="1773" w:type="dxa"/>
            <w:tcBorders>
              <w:top w:val="nil"/>
              <w:left w:val="nil"/>
              <w:bottom w:val="nil"/>
            </w:tcBorders>
            <w:shd w:val="clear" w:color="auto" w:fill="A6A6A6" w:themeFill="background1" w:themeFillShade="A6"/>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434</w:t>
            </w:r>
          </w:p>
        </w:tc>
      </w:tr>
      <w:tr w:rsidR="00403B29" w:rsidRPr="009B0848" w:rsidTr="00FF6C69">
        <w:trPr>
          <w:jc w:val="center"/>
        </w:trPr>
        <w:tc>
          <w:tcPr>
            <w:tcW w:w="5191" w:type="dxa"/>
            <w:tcBorders>
              <w:top w:val="nil"/>
              <w:bottom w:val="single" w:sz="4" w:space="0" w:color="auto"/>
              <w:right w:val="nil"/>
            </w:tcBorders>
            <w:shd w:val="clear" w:color="auto" w:fill="A6A6A6"/>
            <w:vAlign w:val="center"/>
          </w:tcPr>
          <w:p w:rsidR="00403B29" w:rsidRPr="009B0848" w:rsidRDefault="00403B29" w:rsidP="00FF6C69">
            <w:pPr>
              <w:tabs>
                <w:tab w:val="num" w:pos="720"/>
              </w:tabs>
              <w:spacing w:line="235" w:lineRule="auto"/>
              <w:rPr>
                <w:rFonts w:ascii="Arial Narrow" w:hAnsi="Arial Narrow"/>
                <w:b/>
                <w:sz w:val="16"/>
                <w:szCs w:val="16"/>
              </w:rPr>
            </w:pPr>
            <w:r w:rsidRPr="009B0848">
              <w:rPr>
                <w:rFonts w:ascii="Arial Narrow" w:hAnsi="Arial Narrow"/>
                <w:b/>
                <w:sz w:val="16"/>
                <w:szCs w:val="16"/>
              </w:rPr>
              <w:t xml:space="preserve">Συνολικό ισοζύγιο κοινωνικού προϋπολογισμού </w:t>
            </w:r>
            <w:r>
              <w:rPr>
                <w:rFonts w:ascii="Arial Narrow" w:hAnsi="Arial Narrow"/>
                <w:b/>
                <w:sz w:val="16"/>
                <w:szCs w:val="16"/>
              </w:rPr>
              <w:t xml:space="preserve">κατά </w:t>
            </w:r>
            <w:r>
              <w:rPr>
                <w:rFonts w:ascii="Arial Narrow" w:hAnsi="Arial Narrow"/>
                <w:b/>
                <w:sz w:val="16"/>
                <w:szCs w:val="16"/>
                <w:lang w:val="en-GB"/>
              </w:rPr>
              <w:t>ESA</w:t>
            </w:r>
            <w:r w:rsidRPr="0097155F">
              <w:rPr>
                <w:rFonts w:ascii="Arial Narrow" w:hAnsi="Arial Narrow"/>
                <w:b/>
                <w:sz w:val="16"/>
                <w:szCs w:val="16"/>
              </w:rPr>
              <w:t xml:space="preserve"> </w:t>
            </w:r>
          </w:p>
        </w:tc>
        <w:tc>
          <w:tcPr>
            <w:tcW w:w="1787" w:type="dxa"/>
            <w:tcBorders>
              <w:top w:val="nil"/>
              <w:left w:val="nil"/>
              <w:bottom w:val="single" w:sz="4" w:space="0" w:color="auto"/>
              <w:right w:val="nil"/>
            </w:tcBorders>
            <w:shd w:val="clear" w:color="auto" w:fill="A6A6A6"/>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1.560</w:t>
            </w:r>
          </w:p>
        </w:tc>
        <w:tc>
          <w:tcPr>
            <w:tcW w:w="1773" w:type="dxa"/>
            <w:tcBorders>
              <w:top w:val="nil"/>
              <w:left w:val="nil"/>
              <w:bottom w:val="single" w:sz="4" w:space="0" w:color="auto"/>
            </w:tcBorders>
            <w:shd w:val="clear" w:color="auto" w:fill="A6A6A6"/>
            <w:vAlign w:val="center"/>
          </w:tcPr>
          <w:p w:rsidR="00403B29" w:rsidRDefault="00403B29" w:rsidP="006D028D">
            <w:pPr>
              <w:ind w:right="567"/>
              <w:jc w:val="right"/>
              <w:rPr>
                <w:rFonts w:ascii="Arial Narrow" w:hAnsi="Arial Narrow"/>
                <w:b/>
                <w:bCs/>
                <w:sz w:val="16"/>
                <w:szCs w:val="16"/>
              </w:rPr>
            </w:pPr>
            <w:r>
              <w:rPr>
                <w:rFonts w:ascii="Arial Narrow" w:hAnsi="Arial Narrow"/>
                <w:b/>
                <w:bCs/>
                <w:sz w:val="16"/>
                <w:szCs w:val="16"/>
              </w:rPr>
              <w:t>1.929</w:t>
            </w:r>
          </w:p>
        </w:tc>
      </w:tr>
    </w:tbl>
    <w:p w:rsidR="00FF6C69" w:rsidRDefault="00FF6C69" w:rsidP="00FF6C69">
      <w:pPr>
        <w:contextualSpacing/>
        <w:jc w:val="both"/>
        <w:rPr>
          <w:color w:val="000000"/>
          <w:sz w:val="22"/>
          <w:szCs w:val="22"/>
        </w:rPr>
      </w:pPr>
    </w:p>
    <w:p w:rsidR="00FF6C69" w:rsidRDefault="00FF6C69" w:rsidP="00FF6C69">
      <w:pPr>
        <w:contextualSpacing/>
        <w:jc w:val="both"/>
        <w:rPr>
          <w:color w:val="000000"/>
          <w:sz w:val="22"/>
          <w:szCs w:val="22"/>
        </w:rPr>
      </w:pPr>
    </w:p>
    <w:p w:rsidR="00FF6C69" w:rsidRDefault="00FF6C69" w:rsidP="00FF6C69">
      <w:pPr>
        <w:rPr>
          <w:rFonts w:eastAsiaTheme="minorHAnsi"/>
          <w:sz w:val="22"/>
          <w:szCs w:val="22"/>
        </w:rPr>
      </w:pPr>
      <w:r>
        <w:rPr>
          <w:rFonts w:eastAsiaTheme="minorHAnsi"/>
          <w:sz w:val="22"/>
          <w:szCs w:val="22"/>
        </w:rPr>
        <w:br w:type="page"/>
      </w:r>
    </w:p>
    <w:p w:rsidR="00F2410A" w:rsidRPr="00E77B3E" w:rsidRDefault="00F2410A" w:rsidP="00F2410A">
      <w:pPr>
        <w:jc w:val="both"/>
        <w:rPr>
          <w:rFonts w:ascii="Arial Narrow" w:hAnsi="Arial Narrow"/>
          <w:b/>
          <w:color w:val="000080"/>
          <w:szCs w:val="22"/>
        </w:rPr>
      </w:pPr>
      <w:r w:rsidRPr="00E77B3E">
        <w:rPr>
          <w:rFonts w:ascii="Arial Narrow" w:hAnsi="Arial Narrow"/>
          <w:b/>
          <w:color w:val="000080"/>
          <w:szCs w:val="22"/>
        </w:rPr>
        <w:lastRenderedPageBreak/>
        <w:t>Ο</w:t>
      </w:r>
      <w:r>
        <w:rPr>
          <w:rFonts w:ascii="Arial Narrow" w:hAnsi="Arial Narrow"/>
          <w:b/>
          <w:color w:val="000080"/>
          <w:szCs w:val="22"/>
        </w:rPr>
        <w:t>ΓΑ – ΝΑΤ</w:t>
      </w:r>
    </w:p>
    <w:p w:rsidR="00F2410A" w:rsidRDefault="00F2410A" w:rsidP="00F2410A">
      <w:pPr>
        <w:jc w:val="both"/>
        <w:rPr>
          <w:sz w:val="22"/>
          <w:szCs w:val="22"/>
        </w:rPr>
      </w:pPr>
    </w:p>
    <w:p w:rsidR="00F2410A" w:rsidRPr="00ED5FA9" w:rsidRDefault="00F2410A" w:rsidP="00F2410A">
      <w:pPr>
        <w:jc w:val="both"/>
        <w:rPr>
          <w:sz w:val="22"/>
          <w:szCs w:val="22"/>
        </w:rPr>
      </w:pPr>
      <w:r w:rsidRPr="00ED5FA9">
        <w:rPr>
          <w:sz w:val="22"/>
          <w:szCs w:val="22"/>
        </w:rPr>
        <w:t>Στο ν.4387/2016 προβλέφθηκε η διατήρηση της αυτοτελούς νομικής προσωπικότητας των οργαν</w:t>
      </w:r>
      <w:r w:rsidRPr="00ED5FA9">
        <w:rPr>
          <w:sz w:val="22"/>
          <w:szCs w:val="22"/>
        </w:rPr>
        <w:t>ι</w:t>
      </w:r>
      <w:r w:rsidRPr="00ED5FA9">
        <w:rPr>
          <w:sz w:val="22"/>
          <w:szCs w:val="22"/>
        </w:rPr>
        <w:t xml:space="preserve">σμών ΝΑΤ και ΟΓΑ και μετά την έναρξη λειτουργίας του ΕΦΚΑ, για την άσκηση των μη-ασφαλιστικών αρμοδιοτήτων τους. </w:t>
      </w:r>
    </w:p>
    <w:p w:rsidR="00F2410A" w:rsidRPr="00ED5FA9" w:rsidRDefault="00F2410A" w:rsidP="00F2410A">
      <w:pPr>
        <w:jc w:val="both"/>
        <w:rPr>
          <w:sz w:val="22"/>
          <w:szCs w:val="22"/>
        </w:rPr>
      </w:pPr>
    </w:p>
    <w:p w:rsidR="00F2410A" w:rsidRDefault="00F2410A" w:rsidP="00F2410A">
      <w:pPr>
        <w:jc w:val="both"/>
        <w:rPr>
          <w:sz w:val="22"/>
          <w:szCs w:val="22"/>
        </w:rPr>
      </w:pPr>
      <w:r w:rsidRPr="00ED5FA9">
        <w:rPr>
          <w:sz w:val="22"/>
          <w:szCs w:val="22"/>
        </w:rPr>
        <w:t>Ειδικότερα, ο ΟΓΑ αναλαμβάνει την καταβολή τ</w:t>
      </w:r>
      <w:r>
        <w:rPr>
          <w:sz w:val="22"/>
          <w:szCs w:val="22"/>
        </w:rPr>
        <w:t>ων παροχών στους α</w:t>
      </w:r>
      <w:r w:rsidRPr="00ED5FA9">
        <w:rPr>
          <w:sz w:val="22"/>
          <w:szCs w:val="22"/>
        </w:rPr>
        <w:t>νασφάλιστ</w:t>
      </w:r>
      <w:r>
        <w:rPr>
          <w:sz w:val="22"/>
          <w:szCs w:val="22"/>
        </w:rPr>
        <w:t>ους</w:t>
      </w:r>
      <w:r w:rsidRPr="00ED5FA9">
        <w:rPr>
          <w:sz w:val="22"/>
          <w:szCs w:val="22"/>
        </w:rPr>
        <w:t xml:space="preserve"> υπερήλικες </w:t>
      </w:r>
      <w:r w:rsidRPr="00ED5FA9">
        <w:rPr>
          <w:sz w:val="22"/>
          <w:szCs w:val="22"/>
        </w:rPr>
        <w:t>ύ</w:t>
      </w:r>
      <w:r w:rsidRPr="00ED5FA9">
        <w:rPr>
          <w:sz w:val="22"/>
          <w:szCs w:val="22"/>
        </w:rPr>
        <w:t>ψους 157 εκατ. ευρώ</w:t>
      </w:r>
      <w:r w:rsidR="00934943">
        <w:rPr>
          <w:sz w:val="22"/>
          <w:szCs w:val="22"/>
        </w:rPr>
        <w:t xml:space="preserve"> για το 2018</w:t>
      </w:r>
      <w:r w:rsidRPr="00ED5FA9">
        <w:rPr>
          <w:sz w:val="22"/>
          <w:szCs w:val="22"/>
        </w:rPr>
        <w:t xml:space="preserve">. Για την καταβολή των ανωτέρω </w:t>
      </w:r>
      <w:r>
        <w:rPr>
          <w:sz w:val="22"/>
          <w:szCs w:val="22"/>
        </w:rPr>
        <w:t>παροχών θα ενισχυθεί με ισόποση επιχορήγηση.</w:t>
      </w:r>
    </w:p>
    <w:p w:rsidR="00F2410A" w:rsidRPr="00ED5FA9" w:rsidRDefault="00F2410A" w:rsidP="00F2410A">
      <w:pPr>
        <w:jc w:val="both"/>
        <w:rPr>
          <w:sz w:val="22"/>
          <w:szCs w:val="22"/>
        </w:rPr>
      </w:pPr>
      <w:r w:rsidRPr="00ED5FA9">
        <w:rPr>
          <w:sz w:val="22"/>
          <w:szCs w:val="22"/>
        </w:rPr>
        <w:t xml:space="preserve"> </w:t>
      </w:r>
    </w:p>
    <w:p w:rsidR="00F2410A" w:rsidRPr="00ED5FA9" w:rsidRDefault="00F2410A" w:rsidP="00F2410A">
      <w:pPr>
        <w:jc w:val="both"/>
        <w:rPr>
          <w:sz w:val="22"/>
          <w:szCs w:val="22"/>
        </w:rPr>
      </w:pPr>
      <w:r w:rsidRPr="00ED5FA9">
        <w:rPr>
          <w:sz w:val="22"/>
          <w:szCs w:val="22"/>
        </w:rPr>
        <w:t xml:space="preserve">Το </w:t>
      </w:r>
      <w:r>
        <w:rPr>
          <w:sz w:val="22"/>
          <w:szCs w:val="22"/>
        </w:rPr>
        <w:t xml:space="preserve">ισοζύγιο </w:t>
      </w:r>
      <w:r w:rsidRPr="00ED5FA9">
        <w:rPr>
          <w:sz w:val="22"/>
          <w:szCs w:val="22"/>
        </w:rPr>
        <w:t>των προϋπολογισμών του</w:t>
      </w:r>
      <w:r>
        <w:rPr>
          <w:sz w:val="22"/>
          <w:szCs w:val="22"/>
        </w:rPr>
        <w:t>ς</w:t>
      </w:r>
      <w:r w:rsidRPr="00ED5FA9">
        <w:rPr>
          <w:sz w:val="22"/>
          <w:szCs w:val="22"/>
        </w:rPr>
        <w:t xml:space="preserve"> </w:t>
      </w:r>
      <w:r>
        <w:rPr>
          <w:sz w:val="22"/>
          <w:szCs w:val="22"/>
        </w:rPr>
        <w:t xml:space="preserve">προβλέπεται να διαμορφωθεί </w:t>
      </w:r>
      <w:r w:rsidRPr="00ED5FA9">
        <w:rPr>
          <w:sz w:val="22"/>
          <w:szCs w:val="22"/>
        </w:rPr>
        <w:t>σε πλεόνασμα ύψους 7 εκατ. ε</w:t>
      </w:r>
      <w:r w:rsidRPr="00ED5FA9">
        <w:rPr>
          <w:sz w:val="22"/>
          <w:szCs w:val="22"/>
        </w:rPr>
        <w:t>υ</w:t>
      </w:r>
      <w:r w:rsidRPr="00ED5FA9">
        <w:rPr>
          <w:sz w:val="22"/>
          <w:szCs w:val="22"/>
        </w:rPr>
        <w:t>ρώ</w:t>
      </w:r>
      <w:r>
        <w:rPr>
          <w:sz w:val="22"/>
          <w:szCs w:val="22"/>
        </w:rPr>
        <w:t>.</w:t>
      </w:r>
    </w:p>
    <w:p w:rsidR="00F2410A" w:rsidRPr="00ED5FA9" w:rsidRDefault="00F2410A" w:rsidP="00F2410A">
      <w:pPr>
        <w:jc w:val="both"/>
        <w:rPr>
          <w:sz w:val="22"/>
          <w:szCs w:val="22"/>
        </w:rPr>
      </w:pPr>
    </w:p>
    <w:p w:rsidR="00F2410A" w:rsidRPr="00E77B3E" w:rsidRDefault="00F2410A" w:rsidP="00F2410A">
      <w:pPr>
        <w:jc w:val="both"/>
        <w:rPr>
          <w:rFonts w:ascii="Arial Narrow" w:hAnsi="Arial Narrow"/>
          <w:b/>
          <w:color w:val="000080"/>
          <w:szCs w:val="22"/>
        </w:rPr>
      </w:pPr>
      <w:r w:rsidRPr="00E77B3E">
        <w:rPr>
          <w:rFonts w:ascii="Arial Narrow" w:hAnsi="Arial Narrow"/>
          <w:b/>
          <w:color w:val="000080"/>
          <w:szCs w:val="22"/>
        </w:rPr>
        <w:t>Οργανισμοί Απασχόλησης</w:t>
      </w:r>
    </w:p>
    <w:p w:rsidR="00F2410A" w:rsidRDefault="00F2410A" w:rsidP="00F2410A">
      <w:pPr>
        <w:jc w:val="both"/>
        <w:rPr>
          <w:sz w:val="22"/>
          <w:highlight w:val="green"/>
        </w:rPr>
      </w:pPr>
    </w:p>
    <w:p w:rsidR="00F2410A" w:rsidRPr="00ED5FA9" w:rsidRDefault="00F2410A" w:rsidP="00F2410A">
      <w:pPr>
        <w:jc w:val="both"/>
        <w:rPr>
          <w:sz w:val="22"/>
          <w:szCs w:val="22"/>
        </w:rPr>
      </w:pPr>
      <w:r w:rsidRPr="00ED5FA9">
        <w:rPr>
          <w:sz w:val="22"/>
          <w:szCs w:val="22"/>
        </w:rPr>
        <w:t xml:space="preserve">Το ισοζύγιο του Οργανισμού Απασχόλησης Εργατικού Δυναμικού (ΟΑΕΔ) </w:t>
      </w:r>
      <w:r>
        <w:rPr>
          <w:sz w:val="22"/>
          <w:szCs w:val="22"/>
        </w:rPr>
        <w:t>προβλέπεται</w:t>
      </w:r>
      <w:r w:rsidRPr="00ED5FA9">
        <w:rPr>
          <w:sz w:val="22"/>
          <w:szCs w:val="22"/>
        </w:rPr>
        <w:t xml:space="preserve"> να παρο</w:t>
      </w:r>
      <w:r w:rsidRPr="00ED5FA9">
        <w:rPr>
          <w:sz w:val="22"/>
          <w:szCs w:val="22"/>
        </w:rPr>
        <w:t>υ</w:t>
      </w:r>
      <w:r w:rsidRPr="00ED5FA9">
        <w:rPr>
          <w:sz w:val="22"/>
          <w:szCs w:val="22"/>
        </w:rPr>
        <w:t>σιάσει πλεόνασμα ύψους 586 εκατ.</w:t>
      </w:r>
      <w:r>
        <w:rPr>
          <w:sz w:val="22"/>
          <w:szCs w:val="22"/>
        </w:rPr>
        <w:t xml:space="preserve"> </w:t>
      </w:r>
      <w:r w:rsidRPr="00ED5FA9">
        <w:rPr>
          <w:sz w:val="22"/>
          <w:szCs w:val="22"/>
        </w:rPr>
        <w:t xml:space="preserve">ευρώ, μειωμένο κατά 43 εκατ. ευρώ σε σχέση με τις εκτιμήσεις </w:t>
      </w:r>
      <w:r>
        <w:rPr>
          <w:sz w:val="22"/>
          <w:szCs w:val="22"/>
        </w:rPr>
        <w:t>του 2017</w:t>
      </w:r>
      <w:r w:rsidRPr="00ED5FA9">
        <w:rPr>
          <w:sz w:val="22"/>
          <w:szCs w:val="22"/>
        </w:rPr>
        <w:t>. Το αποτέλεσμα αυτό οφείλεται κυρίως:</w:t>
      </w:r>
    </w:p>
    <w:p w:rsidR="00F2410A" w:rsidRPr="00ED5FA9" w:rsidRDefault="00F2410A" w:rsidP="00F2410A">
      <w:pPr>
        <w:jc w:val="both"/>
        <w:rPr>
          <w:sz w:val="22"/>
          <w:szCs w:val="22"/>
        </w:rPr>
      </w:pPr>
    </w:p>
    <w:p w:rsidR="00F2410A" w:rsidRDefault="00F2410A" w:rsidP="00F2410A">
      <w:pPr>
        <w:numPr>
          <w:ilvl w:val="0"/>
          <w:numId w:val="33"/>
        </w:numPr>
        <w:ind w:left="284" w:hanging="284"/>
        <w:jc w:val="both"/>
        <w:rPr>
          <w:sz w:val="22"/>
          <w:szCs w:val="22"/>
        </w:rPr>
      </w:pPr>
      <w:r w:rsidRPr="00ED5FA9">
        <w:rPr>
          <w:sz w:val="22"/>
          <w:szCs w:val="22"/>
        </w:rPr>
        <w:t xml:space="preserve">Στην αύξηση των </w:t>
      </w:r>
      <w:r>
        <w:rPr>
          <w:sz w:val="22"/>
          <w:szCs w:val="22"/>
        </w:rPr>
        <w:t>προβλεπόμενων</w:t>
      </w:r>
      <w:r w:rsidRPr="00ED5FA9">
        <w:rPr>
          <w:sz w:val="22"/>
          <w:szCs w:val="22"/>
        </w:rPr>
        <w:t xml:space="preserve"> εσόδων από ασφαλιστικές εισφορές κατά 68 εκατ. ευρώ.</w:t>
      </w:r>
      <w:r w:rsidR="008967F1">
        <w:rPr>
          <w:sz w:val="22"/>
          <w:szCs w:val="22"/>
        </w:rPr>
        <w:t xml:space="preserve"> </w:t>
      </w:r>
      <w:r w:rsidRPr="00ED5FA9">
        <w:rPr>
          <w:sz w:val="22"/>
          <w:szCs w:val="22"/>
        </w:rPr>
        <w:t>Οι μ</w:t>
      </w:r>
      <w:r w:rsidRPr="00ED5FA9">
        <w:rPr>
          <w:sz w:val="22"/>
          <w:szCs w:val="22"/>
        </w:rPr>
        <w:t>ε</w:t>
      </w:r>
      <w:r w:rsidRPr="00ED5FA9">
        <w:rPr>
          <w:sz w:val="22"/>
          <w:szCs w:val="22"/>
        </w:rPr>
        <w:t xml:space="preserve">ταβιβάσεις </w:t>
      </w:r>
      <w:r>
        <w:rPr>
          <w:sz w:val="22"/>
          <w:szCs w:val="22"/>
        </w:rPr>
        <w:t xml:space="preserve">προβλέπονται στα </w:t>
      </w:r>
      <w:r w:rsidRPr="00ED5FA9">
        <w:rPr>
          <w:sz w:val="22"/>
          <w:szCs w:val="22"/>
        </w:rPr>
        <w:t>505 εκατ. ευρώ από τον τακτικό προϋπολο</w:t>
      </w:r>
      <w:r>
        <w:rPr>
          <w:sz w:val="22"/>
          <w:szCs w:val="22"/>
        </w:rPr>
        <w:t>γισμό και στα</w:t>
      </w:r>
      <w:r w:rsidRPr="00ED5FA9">
        <w:rPr>
          <w:sz w:val="22"/>
          <w:szCs w:val="22"/>
        </w:rPr>
        <w:t xml:space="preserve"> 130 εκατ. ευρώ από το ΠΔΕ, στα ίδια επίπεδα δηλαδή με το 2017.</w:t>
      </w:r>
    </w:p>
    <w:p w:rsidR="00F2410A" w:rsidRPr="00ED5FA9" w:rsidRDefault="00F2410A" w:rsidP="00F2410A">
      <w:pPr>
        <w:ind w:left="284"/>
        <w:jc w:val="both"/>
        <w:rPr>
          <w:sz w:val="22"/>
          <w:szCs w:val="22"/>
        </w:rPr>
      </w:pPr>
    </w:p>
    <w:p w:rsidR="00F2410A" w:rsidRPr="00ED5FA9" w:rsidRDefault="00F2410A" w:rsidP="00F2410A">
      <w:pPr>
        <w:numPr>
          <w:ilvl w:val="0"/>
          <w:numId w:val="33"/>
        </w:numPr>
        <w:ind w:left="284" w:hanging="284"/>
        <w:jc w:val="both"/>
        <w:rPr>
          <w:sz w:val="22"/>
          <w:szCs w:val="22"/>
        </w:rPr>
      </w:pPr>
      <w:r w:rsidRPr="00ED5FA9">
        <w:rPr>
          <w:sz w:val="22"/>
          <w:szCs w:val="22"/>
        </w:rPr>
        <w:t>Στην αυξημένη δαπάνη για τα προγράμματα απασχόλησης</w:t>
      </w:r>
      <w:r>
        <w:rPr>
          <w:sz w:val="22"/>
          <w:szCs w:val="22"/>
        </w:rPr>
        <w:t>,</w:t>
      </w:r>
      <w:r w:rsidRPr="00ED5FA9">
        <w:rPr>
          <w:sz w:val="22"/>
          <w:szCs w:val="22"/>
        </w:rPr>
        <w:t xml:space="preserve"> κατά 100 εκατ. ευρώ σε σχέση με το 2017, η οποία προβλέπεται να διαμορφωθεί σε 450 εκατ. ευρώ, με σκοπό την εφαρμογή των σχ</w:t>
      </w:r>
      <w:r w:rsidRPr="00ED5FA9">
        <w:rPr>
          <w:sz w:val="22"/>
          <w:szCs w:val="22"/>
        </w:rPr>
        <w:t>ε</w:t>
      </w:r>
      <w:r w:rsidRPr="00ED5FA9">
        <w:rPr>
          <w:sz w:val="22"/>
          <w:szCs w:val="22"/>
        </w:rPr>
        <w:t>διαζόμενων ενεργητικών πολιτικών για την τόνωση της απασχόλησης μέσω των διαφόρων πρ</w:t>
      </w:r>
      <w:r w:rsidRPr="00ED5FA9">
        <w:rPr>
          <w:sz w:val="22"/>
          <w:szCs w:val="22"/>
        </w:rPr>
        <w:t>ο</w:t>
      </w:r>
      <w:r w:rsidRPr="00ED5FA9">
        <w:rPr>
          <w:sz w:val="22"/>
          <w:szCs w:val="22"/>
        </w:rPr>
        <w:t>γραμμάτων ενίσχυσης, κατάρτισης και επανένταξης στην αγορά εργασίας, καθώς και των πρ</w:t>
      </w:r>
      <w:r w:rsidRPr="00ED5FA9">
        <w:rPr>
          <w:sz w:val="22"/>
          <w:szCs w:val="22"/>
        </w:rPr>
        <w:t>ο</w:t>
      </w:r>
      <w:r w:rsidRPr="00ED5FA9">
        <w:rPr>
          <w:sz w:val="22"/>
          <w:szCs w:val="22"/>
        </w:rPr>
        <w:t xml:space="preserve">γραμμάτων κοινωφελούς εργασίας. Παράλληλα, η δαπάνη για τα επιδόματα ανεργίας αναμένεται να παραμείνει στο ύψος των 986 εκατ. ευρώ, ουσιαστικά αμετάβλητη σε σχέση με το 2017. </w:t>
      </w:r>
    </w:p>
    <w:p w:rsidR="00F2410A" w:rsidRPr="00ED5FA9" w:rsidRDefault="00F2410A" w:rsidP="00F2410A">
      <w:pPr>
        <w:jc w:val="both"/>
        <w:rPr>
          <w:sz w:val="22"/>
          <w:szCs w:val="22"/>
        </w:rPr>
      </w:pPr>
    </w:p>
    <w:p w:rsidR="00F2410A" w:rsidRPr="00ED5FA9" w:rsidRDefault="00F2410A" w:rsidP="00F2410A">
      <w:pPr>
        <w:jc w:val="both"/>
        <w:rPr>
          <w:sz w:val="22"/>
          <w:szCs w:val="22"/>
        </w:rPr>
      </w:pPr>
      <w:r>
        <w:rPr>
          <w:sz w:val="22"/>
          <w:szCs w:val="22"/>
        </w:rPr>
        <w:t>Ειδικότερα</w:t>
      </w:r>
      <w:r w:rsidRPr="00ED5FA9">
        <w:rPr>
          <w:sz w:val="22"/>
          <w:szCs w:val="22"/>
        </w:rPr>
        <w:t xml:space="preserve">, για το 2018 </w:t>
      </w:r>
      <w:r>
        <w:rPr>
          <w:sz w:val="22"/>
          <w:szCs w:val="22"/>
        </w:rPr>
        <w:t xml:space="preserve">περιλαμβάνονται και </w:t>
      </w:r>
      <w:r w:rsidRPr="00ED5FA9">
        <w:rPr>
          <w:sz w:val="22"/>
          <w:szCs w:val="22"/>
        </w:rPr>
        <w:t xml:space="preserve">δράσεις </w:t>
      </w:r>
      <w:r>
        <w:rPr>
          <w:sz w:val="22"/>
          <w:szCs w:val="22"/>
        </w:rPr>
        <w:t>όπως</w:t>
      </w:r>
      <w:r w:rsidRPr="00ED5FA9">
        <w:rPr>
          <w:sz w:val="22"/>
          <w:szCs w:val="22"/>
        </w:rPr>
        <w:t>:</w:t>
      </w:r>
    </w:p>
    <w:p w:rsidR="00F2410A" w:rsidRPr="00ED5FA9" w:rsidRDefault="00F2410A" w:rsidP="00F2410A">
      <w:pPr>
        <w:jc w:val="both"/>
        <w:rPr>
          <w:sz w:val="22"/>
          <w:szCs w:val="22"/>
        </w:rPr>
      </w:pPr>
      <w:r w:rsidRPr="00ED5FA9">
        <w:rPr>
          <w:sz w:val="22"/>
          <w:szCs w:val="22"/>
        </w:rPr>
        <w:t xml:space="preserve"> </w:t>
      </w:r>
    </w:p>
    <w:p w:rsidR="00F2410A" w:rsidRPr="00ED5FA9" w:rsidRDefault="00F2410A" w:rsidP="00F2410A">
      <w:pPr>
        <w:numPr>
          <w:ilvl w:val="0"/>
          <w:numId w:val="33"/>
        </w:numPr>
        <w:ind w:left="284" w:hanging="284"/>
        <w:jc w:val="both"/>
        <w:rPr>
          <w:sz w:val="22"/>
          <w:szCs w:val="22"/>
        </w:rPr>
      </w:pPr>
      <w:r w:rsidRPr="00ED5FA9">
        <w:rPr>
          <w:sz w:val="22"/>
          <w:szCs w:val="22"/>
        </w:rPr>
        <w:t>Πρόγραμμα επιχορήγησης εργοδοτικών εισφορών για τη μετατροπή εργαζόμενων «με μπλοκάκι» σε μισθωτούς:</w:t>
      </w:r>
    </w:p>
    <w:p w:rsidR="00F2410A" w:rsidRPr="00ED5FA9" w:rsidRDefault="00F2410A" w:rsidP="00F2410A">
      <w:pPr>
        <w:ind w:left="284" w:hanging="284"/>
        <w:jc w:val="both"/>
        <w:rPr>
          <w:sz w:val="22"/>
          <w:szCs w:val="22"/>
        </w:rPr>
      </w:pPr>
      <w:r>
        <w:rPr>
          <w:sz w:val="22"/>
          <w:szCs w:val="22"/>
        </w:rPr>
        <w:tab/>
      </w:r>
      <w:r w:rsidRPr="00ED5FA9">
        <w:rPr>
          <w:sz w:val="22"/>
          <w:szCs w:val="22"/>
        </w:rPr>
        <w:t>Πρόκειται για ένα πρόγραμμα επιδότησης ασφαλιστικών εισφορών με σκοπό τη μετατροπή της ψευδώς δηλωμένης αυτοαπασχόλησης εκ μέρους του εργοδότη σε μισθωτή εργασία. Με το εν λ</w:t>
      </w:r>
      <w:r w:rsidRPr="00ED5FA9">
        <w:rPr>
          <w:sz w:val="22"/>
          <w:szCs w:val="22"/>
        </w:rPr>
        <w:t>ό</w:t>
      </w:r>
      <w:r w:rsidRPr="00ED5FA9">
        <w:rPr>
          <w:sz w:val="22"/>
          <w:szCs w:val="22"/>
        </w:rPr>
        <w:t>γω πρόγραμμα ενισχύεται το θεσμικό πλαίσιο προστασίας της μισθωτής εργασίας αναφορικά με τις προβλέ</w:t>
      </w:r>
      <w:r>
        <w:rPr>
          <w:sz w:val="22"/>
          <w:szCs w:val="22"/>
        </w:rPr>
        <w:t>ψεις</w:t>
      </w:r>
      <w:r w:rsidRPr="00ED5FA9">
        <w:rPr>
          <w:sz w:val="22"/>
          <w:szCs w:val="22"/>
        </w:rPr>
        <w:t xml:space="preserve"> της εργατικής νομοθεσίας (ωράρια, μισθοί, επιδόματα, δώρα εορτών, άδειες κ.λπ.).</w:t>
      </w:r>
    </w:p>
    <w:p w:rsidR="00F2410A" w:rsidRPr="00ED5FA9" w:rsidRDefault="00F2410A" w:rsidP="00F2410A">
      <w:pPr>
        <w:jc w:val="both"/>
        <w:rPr>
          <w:sz w:val="22"/>
          <w:szCs w:val="22"/>
        </w:rPr>
      </w:pPr>
    </w:p>
    <w:p w:rsidR="00F2410A" w:rsidRPr="00ED5FA9" w:rsidRDefault="00F2410A" w:rsidP="00F2410A">
      <w:pPr>
        <w:numPr>
          <w:ilvl w:val="0"/>
          <w:numId w:val="33"/>
        </w:numPr>
        <w:ind w:left="284" w:hanging="284"/>
        <w:jc w:val="both"/>
        <w:rPr>
          <w:sz w:val="22"/>
          <w:szCs w:val="22"/>
        </w:rPr>
      </w:pPr>
      <w:r w:rsidRPr="00ED5FA9">
        <w:rPr>
          <w:sz w:val="22"/>
          <w:szCs w:val="22"/>
        </w:rPr>
        <w:t xml:space="preserve">Πρόγραμμα για «εγκλωβισμένους» εργαζόμενους: </w:t>
      </w:r>
    </w:p>
    <w:p w:rsidR="00F2410A" w:rsidRPr="00ED5FA9" w:rsidRDefault="00F2410A" w:rsidP="00F2410A">
      <w:pPr>
        <w:ind w:left="284" w:hanging="284"/>
        <w:jc w:val="both"/>
        <w:rPr>
          <w:sz w:val="22"/>
          <w:szCs w:val="22"/>
        </w:rPr>
      </w:pPr>
      <w:r>
        <w:rPr>
          <w:sz w:val="22"/>
          <w:szCs w:val="22"/>
        </w:rPr>
        <w:tab/>
      </w:r>
      <w:r w:rsidRPr="00ED5FA9">
        <w:rPr>
          <w:sz w:val="22"/>
          <w:szCs w:val="22"/>
        </w:rPr>
        <w:t>Το πρόγραμμα αφορά περιπτώσεις εργαζομένων που είναι απλήρωτοι για μεγάλο χρονικό διάστ</w:t>
      </w:r>
      <w:r w:rsidRPr="00ED5FA9">
        <w:rPr>
          <w:sz w:val="22"/>
          <w:szCs w:val="22"/>
        </w:rPr>
        <w:t>η</w:t>
      </w:r>
      <w:r w:rsidRPr="00ED5FA9">
        <w:rPr>
          <w:sz w:val="22"/>
          <w:szCs w:val="22"/>
        </w:rPr>
        <w:t>μα ή βρίσκονται σε καθεστώς επίσχεσης εργασίας ή απασχολούνται σε κλάδους με φθίνουσα π</w:t>
      </w:r>
      <w:r w:rsidRPr="00ED5FA9">
        <w:rPr>
          <w:sz w:val="22"/>
          <w:szCs w:val="22"/>
        </w:rPr>
        <w:t>ο</w:t>
      </w:r>
      <w:r w:rsidRPr="00ED5FA9">
        <w:rPr>
          <w:sz w:val="22"/>
          <w:szCs w:val="22"/>
        </w:rPr>
        <w:t>ρεία. Το πρόγραμμα περιλαμβάνει οικονομική ενίσχυση αλλά και κατάρτιση των εργαζόμενων α</w:t>
      </w:r>
      <w:r w:rsidRPr="00ED5FA9">
        <w:rPr>
          <w:sz w:val="22"/>
          <w:szCs w:val="22"/>
        </w:rPr>
        <w:t>υ</w:t>
      </w:r>
      <w:r w:rsidRPr="00ED5FA9">
        <w:rPr>
          <w:sz w:val="22"/>
          <w:szCs w:val="22"/>
        </w:rPr>
        <w:t xml:space="preserve">τών με νέες γνώσεις και ικανότητες, ώστε να έχουν τη δυνατότητα να ενταχθούν σε διαφορετικές θέσεις εργασίας και να αντιμετωπίσουν αποτελεσματικά την απειλή της ανεργίας. Ο εκτιμώμενος προϋπολογισμός του προγράμματος </w:t>
      </w:r>
      <w:r w:rsidR="00934943">
        <w:rPr>
          <w:sz w:val="22"/>
          <w:szCs w:val="22"/>
        </w:rPr>
        <w:t>ανέρχεται στα</w:t>
      </w:r>
      <w:r w:rsidRPr="00ED5FA9">
        <w:rPr>
          <w:sz w:val="22"/>
          <w:szCs w:val="22"/>
        </w:rPr>
        <w:t xml:space="preserve"> 100 εκατ. ευρώ και αναμένεται να δώσει διέξ</w:t>
      </w:r>
      <w:r w:rsidRPr="00ED5FA9">
        <w:rPr>
          <w:sz w:val="22"/>
          <w:szCs w:val="22"/>
        </w:rPr>
        <w:t>ο</w:t>
      </w:r>
      <w:r w:rsidRPr="00ED5FA9">
        <w:rPr>
          <w:sz w:val="22"/>
          <w:szCs w:val="22"/>
        </w:rPr>
        <w:t>δο σε 50.000 εγκλωβισμένους εργαζόμενους.</w:t>
      </w:r>
    </w:p>
    <w:p w:rsidR="00F2410A" w:rsidRPr="00ED5FA9" w:rsidRDefault="00F2410A" w:rsidP="00F2410A">
      <w:pPr>
        <w:jc w:val="both"/>
        <w:rPr>
          <w:sz w:val="22"/>
          <w:szCs w:val="22"/>
        </w:rPr>
      </w:pPr>
    </w:p>
    <w:p w:rsidR="00F2410A" w:rsidRPr="00ED5FA9" w:rsidRDefault="00F2410A" w:rsidP="00F2410A">
      <w:pPr>
        <w:numPr>
          <w:ilvl w:val="0"/>
          <w:numId w:val="33"/>
        </w:numPr>
        <w:ind w:left="284" w:hanging="284"/>
        <w:jc w:val="both"/>
        <w:rPr>
          <w:sz w:val="22"/>
          <w:szCs w:val="22"/>
        </w:rPr>
      </w:pPr>
      <w:r w:rsidRPr="00ED5FA9">
        <w:rPr>
          <w:sz w:val="22"/>
          <w:szCs w:val="22"/>
        </w:rPr>
        <w:t>Πρόγραμμα επιχορήγησης της «πρώτης πρόσληψης μισθωτού εργαζόμενου από επιχειρήσεις νέων, ηλικίας έως 35 ετών»:</w:t>
      </w:r>
    </w:p>
    <w:p w:rsidR="00F2410A" w:rsidRPr="00ED5FA9" w:rsidRDefault="00F2410A" w:rsidP="00F2410A">
      <w:pPr>
        <w:ind w:left="284" w:hanging="284"/>
        <w:jc w:val="both"/>
        <w:rPr>
          <w:sz w:val="22"/>
          <w:szCs w:val="22"/>
        </w:rPr>
      </w:pPr>
      <w:r>
        <w:rPr>
          <w:sz w:val="22"/>
          <w:szCs w:val="22"/>
        </w:rPr>
        <w:tab/>
      </w:r>
      <w:r w:rsidRPr="00ED5FA9">
        <w:rPr>
          <w:sz w:val="22"/>
          <w:szCs w:val="22"/>
        </w:rPr>
        <w:t xml:space="preserve">Το πρόγραμμα ενισχύει τους νέους επιχειρηματίες έως 35 ετών, ανεξαρτήτως της νομικής μορφής της επιχείρησης, για την πρώτη πρόσληψη εργαζομένου σε θέσεις μισθωτής εργασίας πλήρους </w:t>
      </w:r>
      <w:r w:rsidRPr="00ED5FA9">
        <w:rPr>
          <w:sz w:val="22"/>
          <w:szCs w:val="22"/>
        </w:rPr>
        <w:t>α</w:t>
      </w:r>
      <w:r w:rsidRPr="00ED5FA9">
        <w:rPr>
          <w:sz w:val="22"/>
          <w:szCs w:val="22"/>
        </w:rPr>
        <w:t>πασχόλησης μέσω της επιχορήγησης για 12 μήνες του μισθολογικού και μη μισθολογικού κόστους του νεοπροσλαμβανομένου για πλήρη απασχόληση. Το συγκεκριμένο πρόγραμμα θα συμβάλει τ</w:t>
      </w:r>
      <w:r w:rsidRPr="00ED5FA9">
        <w:rPr>
          <w:sz w:val="22"/>
          <w:szCs w:val="22"/>
        </w:rPr>
        <w:t>ό</w:t>
      </w:r>
      <w:r w:rsidRPr="00ED5FA9">
        <w:rPr>
          <w:sz w:val="22"/>
          <w:szCs w:val="22"/>
        </w:rPr>
        <w:lastRenderedPageBreak/>
        <w:t>σο στην ενίσχυση της νεανικής επιχειρηματικότητας όσο και στην προώθηση της μισθωτής εργ</w:t>
      </w:r>
      <w:r w:rsidRPr="00ED5FA9">
        <w:rPr>
          <w:sz w:val="22"/>
          <w:szCs w:val="22"/>
        </w:rPr>
        <w:t>α</w:t>
      </w:r>
      <w:r w:rsidRPr="00ED5FA9">
        <w:rPr>
          <w:sz w:val="22"/>
          <w:szCs w:val="22"/>
        </w:rPr>
        <w:t xml:space="preserve">σίας με θετική επίπτωση στην απασχόληση, </w:t>
      </w:r>
      <w:r w:rsidR="00934943">
        <w:rPr>
          <w:sz w:val="22"/>
          <w:szCs w:val="22"/>
        </w:rPr>
        <w:t>ενώ</w:t>
      </w:r>
      <w:r w:rsidRPr="00ED5FA9">
        <w:rPr>
          <w:sz w:val="22"/>
          <w:szCs w:val="22"/>
        </w:rPr>
        <w:t xml:space="preserve"> σε πρώτη φάση αναμένεται να προκηρυχθούν 20.000 νέες θέσεις μισθωτής απασχόλησης.</w:t>
      </w:r>
    </w:p>
    <w:p w:rsidR="00F2410A" w:rsidRPr="00ED5FA9" w:rsidRDefault="00F2410A" w:rsidP="00F2410A">
      <w:pPr>
        <w:jc w:val="both"/>
        <w:rPr>
          <w:sz w:val="22"/>
          <w:szCs w:val="22"/>
        </w:rPr>
      </w:pPr>
    </w:p>
    <w:p w:rsidR="00F2410A" w:rsidRPr="00E77B3E" w:rsidRDefault="00F2410A" w:rsidP="00F2410A">
      <w:pPr>
        <w:jc w:val="both"/>
        <w:rPr>
          <w:rFonts w:ascii="Arial Narrow" w:hAnsi="Arial Narrow"/>
          <w:b/>
          <w:color w:val="000080"/>
          <w:szCs w:val="22"/>
        </w:rPr>
      </w:pPr>
      <w:r w:rsidRPr="00E77B3E">
        <w:rPr>
          <w:rFonts w:ascii="Arial Narrow" w:hAnsi="Arial Narrow"/>
          <w:b/>
          <w:color w:val="000080"/>
          <w:szCs w:val="22"/>
        </w:rPr>
        <w:t>Εθνικός Οργανισμός Παροχής Υπηρεσιών Υγείας (ΕΟΠΥΥ)</w:t>
      </w:r>
    </w:p>
    <w:p w:rsidR="00F2410A" w:rsidRDefault="00F2410A" w:rsidP="00F2410A">
      <w:pPr>
        <w:autoSpaceDE w:val="0"/>
        <w:autoSpaceDN w:val="0"/>
        <w:adjustRightInd w:val="0"/>
        <w:jc w:val="both"/>
        <w:rPr>
          <w:sz w:val="22"/>
        </w:rPr>
      </w:pPr>
    </w:p>
    <w:p w:rsidR="00F2410A" w:rsidRPr="009740BD" w:rsidRDefault="00F2410A" w:rsidP="00F2410A">
      <w:pPr>
        <w:autoSpaceDE w:val="0"/>
        <w:autoSpaceDN w:val="0"/>
        <w:adjustRightInd w:val="0"/>
        <w:jc w:val="both"/>
        <w:rPr>
          <w:sz w:val="22"/>
        </w:rPr>
      </w:pPr>
      <w:r w:rsidRPr="009740BD">
        <w:rPr>
          <w:sz w:val="22"/>
        </w:rPr>
        <w:t xml:space="preserve">Το δημοσιονομικό αποτέλεσμα του ΕΟΠΥΥ για το 2017 εκτιμάται ότι θα ανέλθει σε πλεόνασμα </w:t>
      </w:r>
      <w:r w:rsidRPr="009740BD">
        <w:rPr>
          <w:sz w:val="22"/>
        </w:rPr>
        <w:t>ύ</w:t>
      </w:r>
      <w:r w:rsidRPr="009740BD">
        <w:rPr>
          <w:sz w:val="22"/>
        </w:rPr>
        <w:t xml:space="preserve">ψους 549 εκατ. ευρώ, </w:t>
      </w:r>
      <w:r w:rsidR="00400A98">
        <w:rPr>
          <w:sz w:val="22"/>
        </w:rPr>
        <w:t xml:space="preserve">ενώ παράλληλα συνεχίζεται  η προσπάθεια για </w:t>
      </w:r>
      <w:r>
        <w:rPr>
          <w:sz w:val="22"/>
        </w:rPr>
        <w:t xml:space="preserve">τη </w:t>
      </w:r>
      <w:r w:rsidRPr="009740BD">
        <w:rPr>
          <w:sz w:val="22"/>
        </w:rPr>
        <w:t>μείωση του ύψους των απλ</w:t>
      </w:r>
      <w:r w:rsidRPr="009740BD">
        <w:rPr>
          <w:sz w:val="22"/>
        </w:rPr>
        <w:t>ή</w:t>
      </w:r>
      <w:r w:rsidRPr="009740BD">
        <w:rPr>
          <w:sz w:val="22"/>
        </w:rPr>
        <w:t xml:space="preserve">ρωτων υποχρεώσεων του ΕΟΠΥΥ </w:t>
      </w:r>
      <w:r>
        <w:rPr>
          <w:sz w:val="22"/>
        </w:rPr>
        <w:t>σε</w:t>
      </w:r>
      <w:r w:rsidRPr="009740BD">
        <w:rPr>
          <w:sz w:val="22"/>
        </w:rPr>
        <w:t xml:space="preserve"> τρίτους, η οποία αναμένεται να χρηματοδοτηθεί τόσο από την αύξηση των εσόδων του από ασφαλιστικές εισφορές, όσο και από τον συμψηφισμό υποχρεώσεων του Οργανισμού με οφειλόμενα ποσά από τους μηχανισμούς αυτόματων επιστροφών και </w:t>
      </w:r>
      <w:r>
        <w:rPr>
          <w:sz w:val="22"/>
        </w:rPr>
        <w:t>κλιμακούμενου ποσοστού επιστροφής</w:t>
      </w:r>
      <w:r w:rsidRPr="009740BD">
        <w:rPr>
          <w:sz w:val="22"/>
        </w:rPr>
        <w:t xml:space="preserve"> (</w:t>
      </w:r>
      <w:r w:rsidR="00B46D5D" w:rsidRPr="009740BD">
        <w:rPr>
          <w:sz w:val="22"/>
          <w:lang w:val="en-US"/>
        </w:rPr>
        <w:t>clawback</w:t>
      </w:r>
      <w:r w:rsidR="00B46D5D" w:rsidRPr="00B46D5D">
        <w:rPr>
          <w:sz w:val="22"/>
        </w:rPr>
        <w:t xml:space="preserve"> </w:t>
      </w:r>
      <w:r w:rsidR="00B46D5D">
        <w:rPr>
          <w:sz w:val="22"/>
        </w:rPr>
        <w:t xml:space="preserve">και </w:t>
      </w:r>
      <w:r w:rsidRPr="009740BD">
        <w:rPr>
          <w:sz w:val="22"/>
          <w:lang w:val="en-US"/>
        </w:rPr>
        <w:t>rebate</w:t>
      </w:r>
      <w:r w:rsidRPr="009740BD">
        <w:rPr>
          <w:sz w:val="22"/>
        </w:rPr>
        <w:t>). Παράλληλα, το 2017 παρατηρείται αποκατάσταση της ροής απόδοσης προς τον ΕΟΠΥΥ των εισφορών για την υγειονομική περίθαλψη, γεγονός που εκτιμ</w:t>
      </w:r>
      <w:r w:rsidRPr="009740BD">
        <w:rPr>
          <w:sz w:val="22"/>
        </w:rPr>
        <w:t>ά</w:t>
      </w:r>
      <w:r w:rsidRPr="009740BD">
        <w:rPr>
          <w:sz w:val="22"/>
        </w:rPr>
        <w:t>ται ότι θα επιτρέψει με τη σειρά του</w:t>
      </w:r>
      <w:r w:rsidR="00B46D5D">
        <w:rPr>
          <w:sz w:val="22"/>
        </w:rPr>
        <w:t>,</w:t>
      </w:r>
      <w:r w:rsidRPr="009740BD">
        <w:rPr>
          <w:sz w:val="22"/>
        </w:rPr>
        <w:t xml:space="preserve"> την ομαλή χρηματοδότηση των δημόσιων νοσοκομείων.</w:t>
      </w:r>
    </w:p>
    <w:p w:rsidR="00F2410A" w:rsidRPr="009740BD" w:rsidRDefault="00F2410A" w:rsidP="00F2410A">
      <w:pPr>
        <w:autoSpaceDE w:val="0"/>
        <w:autoSpaceDN w:val="0"/>
        <w:adjustRightInd w:val="0"/>
        <w:jc w:val="both"/>
        <w:rPr>
          <w:sz w:val="22"/>
        </w:rPr>
      </w:pPr>
    </w:p>
    <w:p w:rsidR="00F2410A" w:rsidRPr="009740BD" w:rsidRDefault="00F2410A" w:rsidP="00F2410A">
      <w:pPr>
        <w:autoSpaceDE w:val="0"/>
        <w:autoSpaceDN w:val="0"/>
        <w:adjustRightInd w:val="0"/>
        <w:jc w:val="both"/>
        <w:rPr>
          <w:sz w:val="22"/>
        </w:rPr>
      </w:pPr>
      <w:r w:rsidRPr="009740BD">
        <w:rPr>
          <w:sz w:val="22"/>
        </w:rPr>
        <w:t xml:space="preserve">Αντίστοιχα, για το 2018, το </w:t>
      </w:r>
      <w:r w:rsidR="00140717">
        <w:rPr>
          <w:sz w:val="22"/>
        </w:rPr>
        <w:t xml:space="preserve">δημοσιονομικό </w:t>
      </w:r>
      <w:r w:rsidRPr="009740BD">
        <w:rPr>
          <w:sz w:val="22"/>
        </w:rPr>
        <w:t xml:space="preserve"> αποτέλεσμα του ΕΟΠΥΥ αναμένεται να διαμορφωθεί σε πλεόνασμα ύψους </w:t>
      </w:r>
      <w:r w:rsidR="00140717">
        <w:rPr>
          <w:sz w:val="22"/>
        </w:rPr>
        <w:t>333</w:t>
      </w:r>
      <w:r w:rsidRPr="009740BD">
        <w:rPr>
          <w:sz w:val="22"/>
        </w:rPr>
        <w:t xml:space="preserve"> εκατ. ευρώ</w:t>
      </w:r>
      <w:r w:rsidR="00140717">
        <w:rPr>
          <w:sz w:val="22"/>
        </w:rPr>
        <w:t>.</w:t>
      </w:r>
      <w:r w:rsidRPr="009740BD">
        <w:rPr>
          <w:sz w:val="22"/>
        </w:rPr>
        <w:t xml:space="preserve"> Η </w:t>
      </w:r>
      <w:r>
        <w:rPr>
          <w:sz w:val="22"/>
        </w:rPr>
        <w:t xml:space="preserve">πρόβλεψη </w:t>
      </w:r>
      <w:r w:rsidRPr="009740BD">
        <w:rPr>
          <w:sz w:val="22"/>
        </w:rPr>
        <w:t>για αυξημένα έσοδα από ασφαλιστικές εισφορές</w:t>
      </w:r>
      <w:r>
        <w:rPr>
          <w:sz w:val="22"/>
        </w:rPr>
        <w:t>,</w:t>
      </w:r>
      <w:r w:rsidRPr="009740BD">
        <w:rPr>
          <w:sz w:val="22"/>
        </w:rPr>
        <w:t xml:space="preserve"> σε συνδυασμό με τη σημαντική μείωση των απλήρωτων υποχρεώσεων του Οργανισμού προς τρίτους, οδήγησαν στη μείωση του ύψους της κρατικής επιχορήγησης κατά 2</w:t>
      </w:r>
      <w:r>
        <w:rPr>
          <w:sz w:val="22"/>
        </w:rPr>
        <w:t>14</w:t>
      </w:r>
      <w:r w:rsidRPr="009740BD">
        <w:rPr>
          <w:sz w:val="22"/>
        </w:rPr>
        <w:t xml:space="preserve"> εκατ. ευρώ έναντι του 2017. Ειδικότερα, η κρατική επιχορήγηση αναμένεται να διαμορφωθεί σε 100 εκατ. ευρώ και προορίζεται να διατεθεί για την κάλυψη της δαπάνης υγειονομικής περίθαλψης των ανασφάλιστων πολιτών.</w:t>
      </w:r>
    </w:p>
    <w:p w:rsidR="00F2410A" w:rsidRPr="009740BD" w:rsidRDefault="00F2410A" w:rsidP="00F2410A">
      <w:pPr>
        <w:autoSpaceDE w:val="0"/>
        <w:autoSpaceDN w:val="0"/>
        <w:adjustRightInd w:val="0"/>
        <w:jc w:val="both"/>
        <w:rPr>
          <w:sz w:val="22"/>
        </w:rPr>
      </w:pPr>
    </w:p>
    <w:p w:rsidR="00F2410A" w:rsidRPr="009740BD" w:rsidRDefault="00F2410A" w:rsidP="00F2410A">
      <w:pPr>
        <w:autoSpaceDE w:val="0"/>
        <w:autoSpaceDN w:val="0"/>
        <w:adjustRightInd w:val="0"/>
        <w:jc w:val="both"/>
        <w:rPr>
          <w:sz w:val="22"/>
        </w:rPr>
      </w:pPr>
      <w:r w:rsidRPr="009740BD">
        <w:rPr>
          <w:sz w:val="22"/>
        </w:rPr>
        <w:t>Αναφορικά με τις δαπάνες, η συγκράτηση της φαρμακευτικής δαπάνης και της δαπάνης των παρόχων υγείας σε δεδουλευμένη βάση εντός των ορίων που έχουν προσδιοριστεί στο ΜΠΔΣ 2018-2021, δ</w:t>
      </w:r>
      <w:r w:rsidRPr="009740BD">
        <w:rPr>
          <w:sz w:val="22"/>
        </w:rPr>
        <w:t>η</w:t>
      </w:r>
      <w:r w:rsidRPr="009740BD">
        <w:rPr>
          <w:sz w:val="22"/>
        </w:rPr>
        <w:t>λαδή σε 2.001 εκατ. ευρώ για τη φαρμακευτική δαπάνη και σε 1.462,5 εκατ. ευρώ για τις διάφορες κατηγορίες παροχών ασθένειας, αποτελεί κύριο στόχο του ΕΟΠΥΥ και για το 2018. Βασικό εργαλείο για την επίτευξη των ανωτέρω στόχων αποτελούν οι μηχανισμοί αυτόματων επιστροφών (clawback) και κλιμακούμενου ποσοστού επιστροφής (rebate), η εφαρμ</w:t>
      </w:r>
      <w:r>
        <w:rPr>
          <w:sz w:val="22"/>
        </w:rPr>
        <w:t>ογή των οποίων από το 2017 έχει</w:t>
      </w:r>
      <w:r w:rsidRPr="009740BD">
        <w:rPr>
          <w:sz w:val="22"/>
        </w:rPr>
        <w:t xml:space="preserve"> επεκτ</w:t>
      </w:r>
      <w:r w:rsidRPr="009740BD">
        <w:rPr>
          <w:sz w:val="22"/>
        </w:rPr>
        <w:t>α</w:t>
      </w:r>
      <w:r w:rsidRPr="009740BD">
        <w:rPr>
          <w:sz w:val="22"/>
        </w:rPr>
        <w:t>θεί και σε λοιπές κατηγορίες παρόχων υγείας (υπηρεσίες ειδικής αγωγής, ιατρικές υπηρεσίες, πρόσθ</w:t>
      </w:r>
      <w:r w:rsidRPr="009740BD">
        <w:rPr>
          <w:sz w:val="22"/>
        </w:rPr>
        <w:t>ε</w:t>
      </w:r>
      <w:r w:rsidRPr="009740BD">
        <w:rPr>
          <w:sz w:val="22"/>
        </w:rPr>
        <w:t>τη περίθαλψη) καθώς και σε συμβεβλημένους παρόχους ιατροτεχνολογικών προϊόντων και συμπλ</w:t>
      </w:r>
      <w:r w:rsidRPr="009740BD">
        <w:rPr>
          <w:sz w:val="22"/>
        </w:rPr>
        <w:t>η</w:t>
      </w:r>
      <w:r w:rsidRPr="009740BD">
        <w:rPr>
          <w:sz w:val="22"/>
        </w:rPr>
        <w:t>ρωμάτων ειδικής διατροφής.</w:t>
      </w:r>
    </w:p>
    <w:p w:rsidR="00F2410A" w:rsidRPr="009740BD" w:rsidRDefault="00F2410A" w:rsidP="00F2410A">
      <w:pPr>
        <w:autoSpaceDE w:val="0"/>
        <w:autoSpaceDN w:val="0"/>
        <w:adjustRightInd w:val="0"/>
        <w:jc w:val="both"/>
        <w:rPr>
          <w:sz w:val="22"/>
        </w:rPr>
      </w:pPr>
    </w:p>
    <w:p w:rsidR="00FF6C69" w:rsidRPr="008B63CC" w:rsidRDefault="00FF6C69" w:rsidP="008B63CC">
      <w:pPr>
        <w:jc w:val="both"/>
        <w:rPr>
          <w:rFonts w:ascii="Arial Narrow" w:hAnsi="Arial Narrow"/>
          <w:b/>
          <w:color w:val="000080"/>
          <w:szCs w:val="22"/>
        </w:rPr>
      </w:pPr>
      <w:r w:rsidRPr="008B63CC">
        <w:rPr>
          <w:rFonts w:ascii="Arial Narrow" w:hAnsi="Arial Narrow"/>
          <w:b/>
          <w:color w:val="000080"/>
          <w:szCs w:val="22"/>
        </w:rPr>
        <w:t>Νοσοκομεία – Πρωτοβάθμιο Εθνικό Δίκτυο Υγείας (ΠΕΔΥ)</w:t>
      </w:r>
    </w:p>
    <w:p w:rsidR="00FF6C69" w:rsidRPr="00703E26" w:rsidRDefault="00FF6C69" w:rsidP="00FF6C69"/>
    <w:p w:rsidR="00231B46" w:rsidRPr="00231B46" w:rsidRDefault="00231B46" w:rsidP="00231B46">
      <w:pPr>
        <w:jc w:val="both"/>
        <w:rPr>
          <w:sz w:val="22"/>
        </w:rPr>
      </w:pPr>
      <w:r w:rsidRPr="00231B46">
        <w:rPr>
          <w:sz w:val="22"/>
        </w:rPr>
        <w:t>Τα δημόσια νοσοκομεία και το Πρωτοβάθμιο Εθνικό Δίκτυο Υγείας (ΥΠΕ-ΠΕΔΥ) αναμένεται στο τέλος του 2017 να εμφανίσουν θετικό δημοσιονομικό αποτέλεσμα ύψους 475 εκατ. ευρώ. Σημειών</w:t>
      </w:r>
      <w:r w:rsidRPr="00231B46">
        <w:rPr>
          <w:sz w:val="22"/>
        </w:rPr>
        <w:t>ε</w:t>
      </w:r>
      <w:r w:rsidRPr="00231B46">
        <w:rPr>
          <w:sz w:val="22"/>
        </w:rPr>
        <w:t xml:space="preserve">ται ότι η εμφανιζόμενη αύξηση στις μεταβιβάσεις από τον Τακτικό Προϋπολογισμό </w:t>
      </w:r>
      <w:r w:rsidR="00A42AA4">
        <w:rPr>
          <w:sz w:val="22"/>
        </w:rPr>
        <w:t xml:space="preserve">στο 2017 </w:t>
      </w:r>
      <w:r w:rsidRPr="00231B46">
        <w:rPr>
          <w:sz w:val="22"/>
        </w:rPr>
        <w:t>οφείλ</w:t>
      </w:r>
      <w:r w:rsidRPr="00231B46">
        <w:rPr>
          <w:sz w:val="22"/>
        </w:rPr>
        <w:t>ε</w:t>
      </w:r>
      <w:r w:rsidRPr="00231B46">
        <w:rPr>
          <w:sz w:val="22"/>
        </w:rPr>
        <w:t>ται στις νομοθετικές παρεμβάσεις για αύξηση της αποζημίωσης των εφημεριών και των λοιπών παρ</w:t>
      </w:r>
      <w:r w:rsidRPr="00231B46">
        <w:rPr>
          <w:sz w:val="22"/>
        </w:rPr>
        <w:t>ο</w:t>
      </w:r>
      <w:r w:rsidRPr="00231B46">
        <w:rPr>
          <w:sz w:val="22"/>
        </w:rPr>
        <w:t>χών του νοσηλευτικού προσωπικού.</w:t>
      </w:r>
    </w:p>
    <w:p w:rsidR="00231B46" w:rsidRPr="00231B46" w:rsidRDefault="00231B46" w:rsidP="00231B46">
      <w:pPr>
        <w:jc w:val="both"/>
        <w:rPr>
          <w:sz w:val="22"/>
        </w:rPr>
      </w:pPr>
    </w:p>
    <w:p w:rsidR="00A42AA4" w:rsidRDefault="00231B46" w:rsidP="00231B46">
      <w:pPr>
        <w:jc w:val="both"/>
        <w:rPr>
          <w:sz w:val="22"/>
        </w:rPr>
      </w:pPr>
      <w:r w:rsidRPr="00231B46">
        <w:rPr>
          <w:sz w:val="22"/>
        </w:rPr>
        <w:t>Στο</w:t>
      </w:r>
      <w:r w:rsidR="00A42AA4">
        <w:rPr>
          <w:sz w:val="22"/>
        </w:rPr>
        <w:t xml:space="preserve"> έτος </w:t>
      </w:r>
      <w:r w:rsidRPr="00231B46">
        <w:rPr>
          <w:sz w:val="22"/>
        </w:rPr>
        <w:t xml:space="preserve">2018 </w:t>
      </w:r>
      <w:r w:rsidR="00A42AA4">
        <w:rPr>
          <w:sz w:val="22"/>
        </w:rPr>
        <w:t xml:space="preserve">προβλέπεται </w:t>
      </w:r>
      <w:r w:rsidRPr="00231B46">
        <w:rPr>
          <w:sz w:val="22"/>
        </w:rPr>
        <w:t>θετικ</w:t>
      </w:r>
      <w:r w:rsidR="00A42AA4">
        <w:rPr>
          <w:sz w:val="22"/>
        </w:rPr>
        <w:t>ό</w:t>
      </w:r>
      <w:r w:rsidRPr="00231B46">
        <w:rPr>
          <w:sz w:val="22"/>
        </w:rPr>
        <w:t xml:space="preserve"> δημοσιονομικ</w:t>
      </w:r>
      <w:r w:rsidR="00A42AA4">
        <w:rPr>
          <w:sz w:val="22"/>
        </w:rPr>
        <w:t>ό</w:t>
      </w:r>
      <w:r w:rsidRPr="00231B46">
        <w:rPr>
          <w:sz w:val="22"/>
        </w:rPr>
        <w:t xml:space="preserve"> αποτ</w:t>
      </w:r>
      <w:r w:rsidR="00A42AA4">
        <w:rPr>
          <w:sz w:val="22"/>
        </w:rPr>
        <w:t>έλεσμα</w:t>
      </w:r>
      <w:r w:rsidRPr="00231B46">
        <w:rPr>
          <w:sz w:val="22"/>
        </w:rPr>
        <w:t xml:space="preserve"> </w:t>
      </w:r>
      <w:r w:rsidR="00A42AA4">
        <w:rPr>
          <w:sz w:val="22"/>
        </w:rPr>
        <w:t xml:space="preserve">ύψους </w:t>
      </w:r>
      <w:r w:rsidRPr="00231B46">
        <w:rPr>
          <w:sz w:val="22"/>
        </w:rPr>
        <w:t>144 εκατ. ευρώ</w:t>
      </w:r>
      <w:r w:rsidR="00A42AA4">
        <w:rPr>
          <w:sz w:val="22"/>
        </w:rPr>
        <w:t xml:space="preserve">. </w:t>
      </w:r>
      <w:r w:rsidRPr="00231B46">
        <w:rPr>
          <w:sz w:val="22"/>
        </w:rPr>
        <w:t xml:space="preserve">Ως προς τα </w:t>
      </w:r>
      <w:r w:rsidRPr="00231B46">
        <w:rPr>
          <w:sz w:val="22"/>
        </w:rPr>
        <w:t>έ</w:t>
      </w:r>
      <w:r w:rsidRPr="00231B46">
        <w:rPr>
          <w:sz w:val="22"/>
        </w:rPr>
        <w:t xml:space="preserve">σοδα, σημειώνεται ότι οι συνολικές μεταβιβάσεις από τον Τακτικό Προϋπολογισμό προβλέπονται μειωμένες κατά 363 εκατ. ευρώ σε σχέση </w:t>
      </w:r>
      <w:r w:rsidR="00A42AA4">
        <w:rPr>
          <w:sz w:val="22"/>
        </w:rPr>
        <w:t xml:space="preserve">με το </w:t>
      </w:r>
      <w:r w:rsidRPr="00231B46">
        <w:rPr>
          <w:sz w:val="22"/>
        </w:rPr>
        <w:t xml:space="preserve">2017, ωστόσο οι επιδράσεις από την εν λόγω μείωση </w:t>
      </w:r>
      <w:r w:rsidR="000D2DC2">
        <w:rPr>
          <w:sz w:val="22"/>
        </w:rPr>
        <w:t>αναμένεται να</w:t>
      </w:r>
      <w:r w:rsidRPr="00231B46">
        <w:rPr>
          <w:sz w:val="22"/>
        </w:rPr>
        <w:t xml:space="preserve"> εξισορροπηθούν από την περαιτέρω ομαλοποίηση των μεταβιβάσεων του ασφαλιστ</w:t>
      </w:r>
      <w:r w:rsidRPr="00231B46">
        <w:rPr>
          <w:sz w:val="22"/>
        </w:rPr>
        <w:t>ι</w:t>
      </w:r>
      <w:r w:rsidRPr="00231B46">
        <w:rPr>
          <w:sz w:val="22"/>
        </w:rPr>
        <w:t>κού συστήματος (ΕΟΠΥΥ).</w:t>
      </w:r>
    </w:p>
    <w:p w:rsidR="00231B46" w:rsidRPr="00231B46" w:rsidRDefault="00A42AA4" w:rsidP="00231B46">
      <w:pPr>
        <w:jc w:val="both"/>
        <w:rPr>
          <w:sz w:val="22"/>
        </w:rPr>
      </w:pPr>
      <w:r w:rsidRPr="00231B46">
        <w:rPr>
          <w:sz w:val="22"/>
        </w:rPr>
        <w:t xml:space="preserve"> </w:t>
      </w:r>
    </w:p>
    <w:p w:rsidR="00231B46" w:rsidRDefault="00231B46">
      <w:pPr>
        <w:rPr>
          <w:sz w:val="22"/>
        </w:rPr>
      </w:pPr>
      <w:r>
        <w:rPr>
          <w:sz w:val="22"/>
        </w:rPr>
        <w:br w:type="page"/>
      </w:r>
    </w:p>
    <w:p w:rsidR="00A557FC" w:rsidRDefault="00A557FC" w:rsidP="0023508C">
      <w:pPr>
        <w:jc w:val="both"/>
        <w:rPr>
          <w:sz w:val="22"/>
        </w:rPr>
      </w:pPr>
    </w:p>
    <w:p w:rsidR="005F39F3" w:rsidRPr="006B2DB8" w:rsidRDefault="005F39F3" w:rsidP="005F39F3">
      <w:pPr>
        <w:shd w:val="clear" w:color="auto" w:fill="595959"/>
        <w:jc w:val="both"/>
        <w:rPr>
          <w:rFonts w:ascii="Arial Narrow" w:hAnsi="Arial Narrow"/>
          <w:b/>
          <w:color w:val="FFFFFF"/>
          <w:sz w:val="26"/>
          <w:szCs w:val="22"/>
        </w:rPr>
      </w:pPr>
      <w:r w:rsidRPr="006B2DB8">
        <w:rPr>
          <w:rFonts w:ascii="Arial Narrow" w:hAnsi="Arial Narrow"/>
          <w:b/>
          <w:color w:val="FFFFFF"/>
          <w:sz w:val="26"/>
          <w:szCs w:val="22"/>
        </w:rPr>
        <w:t>7.</w:t>
      </w:r>
      <w:r w:rsidRPr="006B2DB8">
        <w:rPr>
          <w:rFonts w:ascii="Arial Narrow" w:hAnsi="Arial Narrow"/>
          <w:b/>
          <w:color w:val="FFFFFF"/>
          <w:sz w:val="26"/>
          <w:szCs w:val="22"/>
        </w:rPr>
        <w:tab/>
        <w:t>Οργανισμοί Τοπικής Αυτοδιοίκησης</w:t>
      </w:r>
      <w:r w:rsidR="000A2E12">
        <w:rPr>
          <w:rFonts w:ascii="Arial Narrow" w:hAnsi="Arial Narrow"/>
          <w:b/>
          <w:color w:val="FFFFFF"/>
          <w:sz w:val="26"/>
          <w:szCs w:val="22"/>
        </w:rPr>
        <w:t xml:space="preserve"> (ΟΤΑ)</w:t>
      </w:r>
    </w:p>
    <w:p w:rsidR="005F39F3" w:rsidRPr="006B2DB8" w:rsidRDefault="005F39F3" w:rsidP="005F39F3">
      <w:pPr>
        <w:rPr>
          <w:rFonts w:ascii="Arial Narrow" w:hAnsi="Arial Narrow"/>
          <w:b/>
          <w:bCs/>
          <w:sz w:val="22"/>
          <w:szCs w:val="22"/>
        </w:rPr>
      </w:pPr>
    </w:p>
    <w:p w:rsidR="00A11BA3" w:rsidRPr="007C34C9" w:rsidRDefault="00A11BA3" w:rsidP="00A11BA3">
      <w:pPr>
        <w:jc w:val="both"/>
        <w:rPr>
          <w:bCs/>
          <w:sz w:val="22"/>
          <w:szCs w:val="22"/>
        </w:rPr>
      </w:pPr>
      <w:r w:rsidRPr="007C34C9">
        <w:rPr>
          <w:bCs/>
          <w:sz w:val="22"/>
          <w:szCs w:val="22"/>
        </w:rPr>
        <w:t>Οι Οργανισμοί Τοπικής Αυτοδιοίκησης (ΟΤΑ) αποτελούν υποτομέα της Γενικής Κυβέρνησης</w:t>
      </w:r>
      <w:r>
        <w:rPr>
          <w:bCs/>
          <w:sz w:val="22"/>
          <w:szCs w:val="22"/>
        </w:rPr>
        <w:t>.</w:t>
      </w:r>
      <w:r w:rsidRPr="007C34C9">
        <w:rPr>
          <w:bCs/>
          <w:sz w:val="22"/>
          <w:szCs w:val="22"/>
        </w:rPr>
        <w:t xml:space="preserve"> </w:t>
      </w:r>
      <w:r>
        <w:rPr>
          <w:bCs/>
          <w:sz w:val="22"/>
          <w:szCs w:val="22"/>
        </w:rPr>
        <w:t xml:space="preserve">Ο εν λόγω υποτομέας </w:t>
      </w:r>
      <w:r w:rsidRPr="007C34C9">
        <w:rPr>
          <w:bCs/>
          <w:sz w:val="22"/>
          <w:szCs w:val="22"/>
        </w:rPr>
        <w:t>αποτελείται από τους Δήμους (ΟΤΑ α’ βαθμού), τις Περιφέρειες (ΟΤΑ β’ βαθμ</w:t>
      </w:r>
      <w:r>
        <w:rPr>
          <w:bCs/>
          <w:sz w:val="22"/>
          <w:szCs w:val="22"/>
        </w:rPr>
        <w:t xml:space="preserve">ού) και τα νομικά πρόσωπα αυτών, τα οποία είναι </w:t>
      </w:r>
      <w:r w:rsidRPr="007C34C9">
        <w:rPr>
          <w:bCs/>
          <w:sz w:val="22"/>
          <w:szCs w:val="22"/>
        </w:rPr>
        <w:t xml:space="preserve">φορείς </w:t>
      </w:r>
      <w:r>
        <w:rPr>
          <w:bCs/>
          <w:sz w:val="22"/>
          <w:szCs w:val="22"/>
        </w:rPr>
        <w:t xml:space="preserve">της </w:t>
      </w:r>
      <w:r w:rsidRPr="007C34C9">
        <w:rPr>
          <w:bCs/>
          <w:sz w:val="22"/>
          <w:szCs w:val="22"/>
        </w:rPr>
        <w:t>Γενικής Κυβέρνησης.</w:t>
      </w:r>
      <w:r>
        <w:rPr>
          <w:bCs/>
          <w:sz w:val="22"/>
          <w:szCs w:val="22"/>
        </w:rPr>
        <w:t xml:space="preserve"> </w:t>
      </w:r>
      <w:r w:rsidRPr="007C34C9">
        <w:rPr>
          <w:bCs/>
          <w:sz w:val="22"/>
          <w:szCs w:val="22"/>
        </w:rPr>
        <w:t xml:space="preserve">Για την εκπλήρωση της αποστολής και της άσκησης των αρμοδιοτήτων </w:t>
      </w:r>
      <w:r>
        <w:rPr>
          <w:bCs/>
          <w:sz w:val="22"/>
          <w:szCs w:val="22"/>
        </w:rPr>
        <w:t xml:space="preserve">τους </w:t>
      </w:r>
      <w:r w:rsidRPr="007C34C9">
        <w:rPr>
          <w:bCs/>
          <w:sz w:val="22"/>
          <w:szCs w:val="22"/>
        </w:rPr>
        <w:t>μεταφέρ</w:t>
      </w:r>
      <w:r>
        <w:rPr>
          <w:bCs/>
          <w:sz w:val="22"/>
          <w:szCs w:val="22"/>
        </w:rPr>
        <w:t>ονται</w:t>
      </w:r>
      <w:r w:rsidRPr="007C34C9">
        <w:rPr>
          <w:bCs/>
          <w:sz w:val="22"/>
          <w:szCs w:val="22"/>
        </w:rPr>
        <w:t xml:space="preserve"> πόρο</w:t>
      </w:r>
      <w:r>
        <w:rPr>
          <w:bCs/>
          <w:sz w:val="22"/>
          <w:szCs w:val="22"/>
        </w:rPr>
        <w:t>ι</w:t>
      </w:r>
      <w:r w:rsidRPr="007C34C9">
        <w:rPr>
          <w:bCs/>
          <w:sz w:val="22"/>
          <w:szCs w:val="22"/>
        </w:rPr>
        <w:t xml:space="preserve"> από τον</w:t>
      </w:r>
      <w:r>
        <w:rPr>
          <w:bCs/>
          <w:sz w:val="22"/>
          <w:szCs w:val="22"/>
        </w:rPr>
        <w:t xml:space="preserve"> </w:t>
      </w:r>
      <w:r w:rsidRPr="007C34C9">
        <w:rPr>
          <w:bCs/>
          <w:sz w:val="22"/>
          <w:szCs w:val="22"/>
        </w:rPr>
        <w:t>Κρατικό Προ</w:t>
      </w:r>
      <w:r w:rsidRPr="007C34C9">
        <w:rPr>
          <w:bCs/>
          <w:sz w:val="22"/>
          <w:szCs w:val="22"/>
        </w:rPr>
        <w:t>ϋ</w:t>
      </w:r>
      <w:r w:rsidRPr="007C34C9">
        <w:rPr>
          <w:bCs/>
          <w:sz w:val="22"/>
          <w:szCs w:val="22"/>
        </w:rPr>
        <w:t>πολογισμό οι οποίοι είναι αναγκαίοι για την εύρυθμη λειτουργία τους.</w:t>
      </w:r>
    </w:p>
    <w:p w:rsidR="00A11BA3" w:rsidRPr="00301426" w:rsidRDefault="00A11BA3" w:rsidP="00A11BA3">
      <w:pPr>
        <w:jc w:val="both"/>
        <w:rPr>
          <w:sz w:val="22"/>
          <w:szCs w:val="22"/>
        </w:rPr>
      </w:pPr>
    </w:p>
    <w:p w:rsidR="00A11BA3" w:rsidRPr="006B2DB8" w:rsidRDefault="00A11BA3" w:rsidP="00A11BA3">
      <w:pPr>
        <w:jc w:val="both"/>
        <w:rPr>
          <w:rFonts w:ascii="Arial Narrow" w:hAnsi="Arial Narrow"/>
          <w:b/>
          <w:bCs/>
          <w:color w:val="000080"/>
          <w:szCs w:val="22"/>
        </w:rPr>
      </w:pPr>
      <w:r>
        <w:rPr>
          <w:rFonts w:ascii="Arial Narrow" w:hAnsi="Arial Narrow"/>
          <w:b/>
          <w:bCs/>
          <w:color w:val="000080"/>
          <w:szCs w:val="22"/>
        </w:rPr>
        <w:t>Κεντρικοί Αυτοτελείς Πόροι (ΚΑΠ) και μεταβιβάσει</w:t>
      </w:r>
      <w:r w:rsidR="00B46D5D">
        <w:rPr>
          <w:rFonts w:ascii="Arial Narrow" w:hAnsi="Arial Narrow"/>
          <w:b/>
          <w:bCs/>
          <w:color w:val="000080"/>
          <w:szCs w:val="22"/>
        </w:rPr>
        <w:t>ς από τον Τακτικό Προϋπολογισμό</w:t>
      </w:r>
      <w:r>
        <w:rPr>
          <w:rFonts w:ascii="Arial Narrow" w:hAnsi="Arial Narrow"/>
          <w:b/>
          <w:bCs/>
          <w:color w:val="000080"/>
          <w:szCs w:val="22"/>
        </w:rPr>
        <w:t xml:space="preserve"> του</w:t>
      </w:r>
      <w:r w:rsidR="00B46D5D">
        <w:rPr>
          <w:rFonts w:ascii="Arial Narrow" w:hAnsi="Arial Narrow"/>
          <w:b/>
          <w:bCs/>
          <w:color w:val="000080"/>
          <w:szCs w:val="22"/>
        </w:rPr>
        <w:t xml:space="preserve">     </w:t>
      </w:r>
      <w:r>
        <w:rPr>
          <w:rFonts w:ascii="Arial Narrow" w:hAnsi="Arial Narrow"/>
          <w:b/>
          <w:bCs/>
          <w:color w:val="000080"/>
          <w:szCs w:val="22"/>
        </w:rPr>
        <w:t xml:space="preserve"> Υπουργείου Εσωτερικών στους </w:t>
      </w:r>
      <w:r w:rsidRPr="006B2DB8">
        <w:rPr>
          <w:rFonts w:ascii="Arial Narrow" w:hAnsi="Arial Narrow"/>
          <w:b/>
          <w:bCs/>
          <w:color w:val="000080"/>
          <w:szCs w:val="22"/>
        </w:rPr>
        <w:t xml:space="preserve">ΟΤΑ α’ </w:t>
      </w:r>
      <w:r>
        <w:rPr>
          <w:rFonts w:ascii="Arial Narrow" w:hAnsi="Arial Narrow"/>
          <w:b/>
          <w:bCs/>
          <w:color w:val="000080"/>
          <w:szCs w:val="22"/>
        </w:rPr>
        <w:t xml:space="preserve">και β’ </w:t>
      </w:r>
      <w:r w:rsidRPr="006B2DB8">
        <w:rPr>
          <w:rFonts w:ascii="Arial Narrow" w:hAnsi="Arial Narrow"/>
          <w:b/>
          <w:bCs/>
          <w:color w:val="000080"/>
          <w:szCs w:val="22"/>
        </w:rPr>
        <w:t>βαθμού</w:t>
      </w:r>
    </w:p>
    <w:p w:rsidR="00BB71F0" w:rsidRDefault="00BB71F0" w:rsidP="007C34C9">
      <w:pPr>
        <w:jc w:val="both"/>
        <w:rPr>
          <w:bCs/>
          <w:sz w:val="22"/>
          <w:szCs w:val="22"/>
        </w:rPr>
      </w:pPr>
    </w:p>
    <w:p w:rsidR="00A11BA3" w:rsidRDefault="00A11BA3" w:rsidP="00A11BA3">
      <w:pPr>
        <w:jc w:val="both"/>
        <w:rPr>
          <w:bCs/>
          <w:sz w:val="22"/>
          <w:szCs w:val="22"/>
        </w:rPr>
      </w:pPr>
      <w:r w:rsidRPr="00A11BA3">
        <w:rPr>
          <w:bCs/>
          <w:sz w:val="22"/>
          <w:szCs w:val="22"/>
        </w:rPr>
        <w:t>Η βασικότερη πηγή εσόδων των ΟΤΑ α’ και β’ βαθμού είναι οι Κεντρικοί Αυτοτελείς Πόροι (ΚΑΠ). Οι ΚΑΠ αποδίδονται μέσω του Τακτικού Προϋπολογισμού του Υπουργείου Εσωτερικών, και προσδ</w:t>
      </w:r>
      <w:r w:rsidRPr="00A11BA3">
        <w:rPr>
          <w:bCs/>
          <w:sz w:val="22"/>
          <w:szCs w:val="22"/>
        </w:rPr>
        <w:t>ι</w:t>
      </w:r>
      <w:r w:rsidRPr="00A11BA3">
        <w:rPr>
          <w:bCs/>
          <w:sz w:val="22"/>
          <w:szCs w:val="22"/>
        </w:rPr>
        <w:t>ορίζονται βάσει σχετικών διατάξεων, με σκοπό την κάλυψη λειτουργικών και επενδυτικών δαπανών τους.</w:t>
      </w:r>
    </w:p>
    <w:p w:rsidR="00A11BA3" w:rsidRPr="00A11BA3" w:rsidRDefault="00A11BA3" w:rsidP="00A11BA3">
      <w:pPr>
        <w:jc w:val="both"/>
        <w:rPr>
          <w:bCs/>
          <w:sz w:val="22"/>
          <w:szCs w:val="22"/>
        </w:rPr>
      </w:pPr>
    </w:p>
    <w:p w:rsidR="00A11BA3" w:rsidRDefault="00A11BA3" w:rsidP="00A11BA3">
      <w:pPr>
        <w:jc w:val="both"/>
        <w:rPr>
          <w:bCs/>
          <w:sz w:val="22"/>
          <w:szCs w:val="22"/>
        </w:rPr>
      </w:pPr>
      <w:r w:rsidRPr="00A11BA3">
        <w:rPr>
          <w:bCs/>
          <w:sz w:val="22"/>
          <w:szCs w:val="22"/>
        </w:rPr>
        <w:t>Για τους Δήμους, το 2017, οι ΚΑΠ εκτιμάται να διαμορφωθούν στα 2.311 εκατ. ευρώ και για το 2018, προβλέπεται να ανέλθουν στα 2.402 εκατ. ευρώ.</w:t>
      </w:r>
      <w:r w:rsidR="007237BB">
        <w:rPr>
          <w:bCs/>
          <w:sz w:val="22"/>
          <w:szCs w:val="22"/>
        </w:rPr>
        <w:t xml:space="preserve"> </w:t>
      </w:r>
      <w:r w:rsidRPr="00A11BA3">
        <w:rPr>
          <w:bCs/>
          <w:sz w:val="22"/>
          <w:szCs w:val="22"/>
        </w:rPr>
        <w:t>Επιπλέον οι Δήμοι, το 2017, θα λάβουν ειδική επιχ</w:t>
      </w:r>
      <w:r w:rsidRPr="00A11BA3">
        <w:rPr>
          <w:bCs/>
          <w:sz w:val="22"/>
          <w:szCs w:val="22"/>
        </w:rPr>
        <w:t>ο</w:t>
      </w:r>
      <w:r w:rsidRPr="00A11BA3">
        <w:rPr>
          <w:bCs/>
          <w:sz w:val="22"/>
          <w:szCs w:val="22"/>
        </w:rPr>
        <w:t>ρήγηση ύψους 22 εκατ. ευρώ, η οποία αφορά τη δαπάνη μισθοδοσίας από την επανασύσταση της Δ</w:t>
      </w:r>
      <w:r w:rsidRPr="00A11BA3">
        <w:rPr>
          <w:bCs/>
          <w:sz w:val="22"/>
          <w:szCs w:val="22"/>
        </w:rPr>
        <w:t>η</w:t>
      </w:r>
      <w:r w:rsidRPr="00A11BA3">
        <w:rPr>
          <w:bCs/>
          <w:sz w:val="22"/>
          <w:szCs w:val="22"/>
        </w:rPr>
        <w:t xml:space="preserve">μοτικής Αστυνομίας. Για το 2018, η ειδική επιχορήγηση προβλέπεται στα 39 εκατ. ευρώ, η οποία θα καλύψει και το κόστος </w:t>
      </w:r>
      <w:r w:rsidR="004D29C6">
        <w:rPr>
          <w:bCs/>
          <w:sz w:val="22"/>
          <w:szCs w:val="22"/>
        </w:rPr>
        <w:t>μισθοδοσίας</w:t>
      </w:r>
      <w:r w:rsidRPr="00A11BA3">
        <w:rPr>
          <w:bCs/>
          <w:sz w:val="22"/>
          <w:szCs w:val="22"/>
        </w:rPr>
        <w:t xml:space="preserve"> του προσωπικού καθαριότητας των σχολικών μονάδων </w:t>
      </w:r>
      <w:r w:rsidR="004D29C6">
        <w:rPr>
          <w:bCs/>
          <w:sz w:val="22"/>
          <w:szCs w:val="22"/>
        </w:rPr>
        <w:t>για</w:t>
      </w:r>
      <w:r w:rsidRPr="00A11BA3">
        <w:rPr>
          <w:bCs/>
          <w:sz w:val="22"/>
          <w:szCs w:val="22"/>
        </w:rPr>
        <w:t xml:space="preserve"> το σχολι</w:t>
      </w:r>
      <w:r w:rsidR="00D76CBC">
        <w:rPr>
          <w:bCs/>
          <w:sz w:val="22"/>
          <w:szCs w:val="22"/>
        </w:rPr>
        <w:t>κό έτος 2018-2019 (Σεπτέμβριος -</w:t>
      </w:r>
      <w:r w:rsidR="004D29C6">
        <w:rPr>
          <w:bCs/>
          <w:sz w:val="22"/>
          <w:szCs w:val="22"/>
        </w:rPr>
        <w:t xml:space="preserve"> </w:t>
      </w:r>
      <w:r w:rsidRPr="00A11BA3">
        <w:rPr>
          <w:bCs/>
          <w:sz w:val="22"/>
          <w:szCs w:val="22"/>
        </w:rPr>
        <w:t>Δεκέμβριος 2018).</w:t>
      </w:r>
    </w:p>
    <w:p w:rsidR="00A11BA3" w:rsidRPr="00A11BA3" w:rsidRDefault="00A11BA3" w:rsidP="00A11BA3">
      <w:pPr>
        <w:jc w:val="both"/>
        <w:rPr>
          <w:bCs/>
          <w:sz w:val="22"/>
          <w:szCs w:val="22"/>
        </w:rPr>
      </w:pPr>
    </w:p>
    <w:p w:rsidR="00A11BA3" w:rsidRPr="00A11BA3" w:rsidRDefault="00A11BA3" w:rsidP="00A11BA3">
      <w:pPr>
        <w:jc w:val="both"/>
        <w:rPr>
          <w:bCs/>
          <w:sz w:val="22"/>
          <w:szCs w:val="22"/>
        </w:rPr>
      </w:pPr>
      <w:r w:rsidRPr="00A11BA3">
        <w:rPr>
          <w:bCs/>
          <w:sz w:val="22"/>
          <w:szCs w:val="22"/>
        </w:rPr>
        <w:t xml:space="preserve">Για τις </w:t>
      </w:r>
      <w:r w:rsidR="00B46D5D" w:rsidRPr="00A11BA3">
        <w:rPr>
          <w:bCs/>
          <w:sz w:val="22"/>
          <w:szCs w:val="22"/>
        </w:rPr>
        <w:t>Περιφέρειες</w:t>
      </w:r>
      <w:r w:rsidRPr="00A11BA3">
        <w:rPr>
          <w:bCs/>
          <w:sz w:val="22"/>
          <w:szCs w:val="22"/>
        </w:rPr>
        <w:t>, το 2017, οι ΚΑΠ εκτιμάται να διαμορφωθούν στα 671 εκατ. ευρώ, και για το 2018, προβλέπεται να ανέλθουν στα 738 εκατ. ευρώ.</w:t>
      </w:r>
    </w:p>
    <w:p w:rsidR="00A11BA3" w:rsidRDefault="00A11BA3" w:rsidP="007C34C9">
      <w:pPr>
        <w:jc w:val="both"/>
        <w:rPr>
          <w:bCs/>
          <w:sz w:val="22"/>
          <w:szCs w:val="22"/>
        </w:rPr>
      </w:pPr>
    </w:p>
    <w:p w:rsidR="004D29C6" w:rsidRDefault="004D29C6" w:rsidP="007C34C9">
      <w:pPr>
        <w:jc w:val="both"/>
        <w:rPr>
          <w:bCs/>
          <w:sz w:val="22"/>
          <w:szCs w:val="22"/>
        </w:rPr>
      </w:pPr>
    </w:p>
    <w:tbl>
      <w:tblPr>
        <w:tblW w:w="0" w:type="auto"/>
        <w:jc w:val="center"/>
        <w:tblInd w:w="-606"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6019"/>
        <w:gridCol w:w="1213"/>
        <w:gridCol w:w="1276"/>
      </w:tblGrid>
      <w:tr w:rsidR="00CB1BDA" w:rsidRPr="006B2DB8" w:rsidTr="00CB1BDA">
        <w:trPr>
          <w:cantSplit/>
          <w:jc w:val="center"/>
        </w:trPr>
        <w:tc>
          <w:tcPr>
            <w:tcW w:w="8508" w:type="dxa"/>
            <w:gridSpan w:val="3"/>
            <w:tcBorders>
              <w:top w:val="single" w:sz="6" w:space="0" w:color="auto"/>
              <w:left w:val="single" w:sz="4" w:space="0" w:color="auto"/>
              <w:bottom w:val="nil"/>
              <w:right w:val="single" w:sz="4" w:space="0" w:color="auto"/>
            </w:tcBorders>
            <w:shd w:val="clear" w:color="auto" w:fill="404040" w:themeFill="text1" w:themeFillTint="BF"/>
            <w:vAlign w:val="center"/>
          </w:tcPr>
          <w:p w:rsidR="002641FB" w:rsidRDefault="00446090" w:rsidP="002641FB">
            <w:pPr>
              <w:spacing w:before="20"/>
              <w:jc w:val="center"/>
              <w:rPr>
                <w:rFonts w:ascii="Arial Narrow" w:hAnsi="Arial Narrow"/>
                <w:b/>
                <w:color w:val="FFFFFF" w:themeColor="background1"/>
              </w:rPr>
            </w:pPr>
            <w:r>
              <w:rPr>
                <w:rFonts w:ascii="Arial Narrow" w:hAnsi="Arial Narrow"/>
                <w:b/>
                <w:color w:val="FFFFFF" w:themeColor="background1"/>
              </w:rPr>
              <w:t>Πίνακας 3.23</w:t>
            </w:r>
            <w:r w:rsidR="00CB1BDA" w:rsidRPr="006B2DB8">
              <w:rPr>
                <w:rFonts w:ascii="Arial Narrow" w:hAnsi="Arial Narrow"/>
                <w:b/>
                <w:color w:val="FFFFFF" w:themeColor="background1"/>
              </w:rPr>
              <w:t xml:space="preserve"> </w:t>
            </w:r>
            <w:r w:rsidR="00CB1BDA">
              <w:rPr>
                <w:rFonts w:ascii="Arial Narrow" w:hAnsi="Arial Narrow"/>
                <w:b/>
                <w:color w:val="FFFFFF" w:themeColor="background1"/>
              </w:rPr>
              <w:t>Κεντρικοί Αυτοτελείς Πόροι (ΚΑΠ) και Ειδική Επιχορήγηση Δήμων</w:t>
            </w:r>
            <w:r w:rsidR="002641FB">
              <w:rPr>
                <w:rFonts w:ascii="Arial Narrow" w:hAnsi="Arial Narrow"/>
                <w:b/>
                <w:color w:val="FFFFFF" w:themeColor="background1"/>
              </w:rPr>
              <w:t xml:space="preserve"> και </w:t>
            </w:r>
          </w:p>
          <w:p w:rsidR="00CB1BDA" w:rsidRPr="006B2DB8" w:rsidRDefault="002641FB" w:rsidP="002641FB">
            <w:pPr>
              <w:spacing w:before="20"/>
              <w:jc w:val="center"/>
              <w:rPr>
                <w:rFonts w:ascii="Arial Narrow" w:hAnsi="Arial Narrow"/>
                <w:b/>
                <w:color w:val="FFFFFF"/>
              </w:rPr>
            </w:pPr>
            <w:r>
              <w:rPr>
                <w:rFonts w:ascii="Arial Narrow" w:hAnsi="Arial Narrow"/>
                <w:b/>
                <w:color w:val="FFFFFF" w:themeColor="background1"/>
              </w:rPr>
              <w:t xml:space="preserve">Περιφερειών </w:t>
            </w:r>
            <w:r w:rsidR="00CB1BDA">
              <w:rPr>
                <w:rFonts w:ascii="Arial Narrow" w:hAnsi="Arial Narrow"/>
                <w:b/>
                <w:color w:val="FFFFFF"/>
              </w:rPr>
              <w:t xml:space="preserve">από τον Τακτικό Προϋπολογισμό </w:t>
            </w:r>
            <w:r w:rsidR="00CB1BDA" w:rsidRPr="006B2DB8">
              <w:rPr>
                <w:rFonts w:ascii="Arial Narrow" w:hAnsi="Arial Narrow"/>
                <w:b/>
                <w:color w:val="FFFFFF"/>
              </w:rPr>
              <w:t>του Υπουργείου Εσωτερικών</w:t>
            </w:r>
          </w:p>
          <w:p w:rsidR="00CB1BDA" w:rsidRPr="006B2DB8" w:rsidRDefault="00CB1BDA" w:rsidP="00CB1BDA">
            <w:pPr>
              <w:spacing w:after="20"/>
              <w:jc w:val="center"/>
              <w:rPr>
                <w:rFonts w:ascii="Arial Narrow" w:hAnsi="Arial Narrow"/>
                <w:b/>
                <w:sz w:val="16"/>
                <w:szCs w:val="16"/>
              </w:rPr>
            </w:pPr>
            <w:r>
              <w:rPr>
                <w:rFonts w:ascii="Arial Narrow" w:hAnsi="Arial Narrow"/>
                <w:b/>
                <w:color w:val="FFFFFF"/>
              </w:rPr>
              <w:t>(</w:t>
            </w:r>
            <w:r w:rsidRPr="006B2DB8">
              <w:rPr>
                <w:rFonts w:ascii="Arial Narrow" w:hAnsi="Arial Narrow"/>
                <w:b/>
                <w:color w:val="FFFFFF"/>
              </w:rPr>
              <w:t>σε εκατ. ευρώ)</w:t>
            </w:r>
          </w:p>
        </w:tc>
      </w:tr>
      <w:tr w:rsidR="00CB1BDA" w:rsidRPr="009D6AB4" w:rsidTr="00CB1BDA">
        <w:trPr>
          <w:cantSplit/>
          <w:jc w:val="center"/>
        </w:trPr>
        <w:tc>
          <w:tcPr>
            <w:tcW w:w="8508" w:type="dxa"/>
            <w:gridSpan w:val="3"/>
            <w:tcBorders>
              <w:top w:val="nil"/>
              <w:left w:val="single" w:sz="4" w:space="0" w:color="auto"/>
              <w:bottom w:val="single" w:sz="4" w:space="0" w:color="auto"/>
              <w:right w:val="single" w:sz="4" w:space="0" w:color="auto"/>
            </w:tcBorders>
            <w:shd w:val="clear" w:color="auto" w:fill="auto"/>
            <w:vAlign w:val="center"/>
          </w:tcPr>
          <w:p w:rsidR="00CB1BDA" w:rsidRPr="009D6AB4" w:rsidRDefault="00CB1BDA" w:rsidP="00CB1BDA">
            <w:pPr>
              <w:jc w:val="center"/>
              <w:rPr>
                <w:rFonts w:ascii="Arial Narrow" w:hAnsi="Arial Narrow"/>
                <w:b/>
                <w:sz w:val="10"/>
                <w:szCs w:val="16"/>
              </w:rPr>
            </w:pPr>
          </w:p>
        </w:tc>
      </w:tr>
      <w:tr w:rsidR="00CB1BDA" w:rsidRPr="006B2DB8" w:rsidTr="00CB1BDA">
        <w:trPr>
          <w:cantSplit/>
          <w:jc w:val="center"/>
        </w:trPr>
        <w:tc>
          <w:tcPr>
            <w:tcW w:w="6019" w:type="dxa"/>
            <w:vMerge w:val="restart"/>
            <w:tcBorders>
              <w:top w:val="single" w:sz="4" w:space="0" w:color="auto"/>
              <w:left w:val="single" w:sz="4" w:space="0" w:color="auto"/>
              <w:bottom w:val="nil"/>
              <w:right w:val="single" w:sz="4" w:space="0" w:color="auto"/>
            </w:tcBorders>
            <w:shd w:val="clear" w:color="auto" w:fill="auto"/>
            <w:vAlign w:val="center"/>
          </w:tcPr>
          <w:p w:rsidR="00CB1BDA" w:rsidRPr="006B2DB8" w:rsidRDefault="00CB1BDA" w:rsidP="00CB1BDA">
            <w:pPr>
              <w:spacing w:before="20" w:after="20"/>
              <w:jc w:val="center"/>
              <w:rPr>
                <w:rFonts w:ascii="Arial Narrow" w:hAnsi="Arial Narrow"/>
                <w:b/>
                <w:sz w:val="16"/>
                <w:szCs w:val="16"/>
              </w:rPr>
            </w:pPr>
            <w:r w:rsidRPr="006B2DB8">
              <w:rPr>
                <w:rFonts w:ascii="Arial Narrow" w:hAnsi="Arial Narrow"/>
                <w:b/>
                <w:sz w:val="16"/>
                <w:szCs w:val="16"/>
              </w:rPr>
              <w:t>Κατηγορία</w:t>
            </w:r>
          </w:p>
        </w:tc>
        <w:tc>
          <w:tcPr>
            <w:tcW w:w="1213" w:type="dxa"/>
            <w:tcBorders>
              <w:top w:val="single" w:sz="4" w:space="0" w:color="auto"/>
              <w:left w:val="nil"/>
              <w:bottom w:val="single" w:sz="4" w:space="0" w:color="auto"/>
              <w:right w:val="nil"/>
            </w:tcBorders>
            <w:shd w:val="clear" w:color="auto" w:fill="auto"/>
          </w:tcPr>
          <w:p w:rsidR="00CB1BDA" w:rsidRPr="00CB1BDA" w:rsidRDefault="00CB1BDA" w:rsidP="00CB1BDA">
            <w:pPr>
              <w:spacing w:before="20" w:after="20"/>
              <w:jc w:val="center"/>
              <w:rPr>
                <w:rFonts w:ascii="Arial Narrow" w:hAnsi="Arial Narrow"/>
                <w:b/>
                <w:sz w:val="16"/>
                <w:szCs w:val="16"/>
              </w:rPr>
            </w:pPr>
            <w:r>
              <w:rPr>
                <w:rFonts w:ascii="Arial Narrow" w:hAnsi="Arial Narrow"/>
                <w:b/>
                <w:sz w:val="16"/>
                <w:szCs w:val="16"/>
              </w:rPr>
              <w:t>2017</w:t>
            </w:r>
          </w:p>
        </w:tc>
        <w:tc>
          <w:tcPr>
            <w:tcW w:w="1276" w:type="dxa"/>
            <w:tcBorders>
              <w:top w:val="single" w:sz="4" w:space="0" w:color="auto"/>
              <w:left w:val="nil"/>
              <w:bottom w:val="single" w:sz="4" w:space="0" w:color="auto"/>
              <w:right w:val="single" w:sz="4" w:space="0" w:color="auto"/>
            </w:tcBorders>
            <w:shd w:val="clear" w:color="auto" w:fill="auto"/>
          </w:tcPr>
          <w:p w:rsidR="00CB1BDA" w:rsidRPr="00CB1BDA" w:rsidRDefault="00CB1BDA" w:rsidP="00CB1BDA">
            <w:pPr>
              <w:spacing w:before="20" w:after="20"/>
              <w:jc w:val="center"/>
              <w:rPr>
                <w:rFonts w:ascii="Arial Narrow" w:hAnsi="Arial Narrow"/>
                <w:b/>
                <w:sz w:val="16"/>
                <w:szCs w:val="16"/>
              </w:rPr>
            </w:pPr>
            <w:r>
              <w:rPr>
                <w:rFonts w:ascii="Arial Narrow" w:hAnsi="Arial Narrow"/>
                <w:b/>
                <w:sz w:val="16"/>
                <w:szCs w:val="16"/>
              </w:rPr>
              <w:t>2018</w:t>
            </w:r>
          </w:p>
        </w:tc>
      </w:tr>
      <w:tr w:rsidR="00CB1BDA" w:rsidRPr="006B2DB8" w:rsidTr="00CB1BDA">
        <w:trPr>
          <w:cantSplit/>
          <w:jc w:val="center"/>
        </w:trPr>
        <w:tc>
          <w:tcPr>
            <w:tcW w:w="6019" w:type="dxa"/>
            <w:vMerge/>
            <w:tcBorders>
              <w:top w:val="nil"/>
              <w:left w:val="single" w:sz="4" w:space="0" w:color="auto"/>
              <w:bottom w:val="single" w:sz="4" w:space="0" w:color="auto"/>
              <w:right w:val="single" w:sz="4" w:space="0" w:color="auto"/>
            </w:tcBorders>
            <w:shd w:val="clear" w:color="auto" w:fill="auto"/>
            <w:vAlign w:val="center"/>
          </w:tcPr>
          <w:p w:rsidR="00CB1BDA" w:rsidRPr="006B2DB8" w:rsidRDefault="00CB1BDA" w:rsidP="00CB1BDA">
            <w:pPr>
              <w:spacing w:before="20" w:after="20"/>
              <w:jc w:val="center"/>
              <w:rPr>
                <w:rFonts w:ascii="Arial Narrow" w:hAnsi="Arial Narrow"/>
                <w:b/>
                <w:sz w:val="16"/>
                <w:szCs w:val="16"/>
              </w:rPr>
            </w:pPr>
          </w:p>
        </w:tc>
        <w:tc>
          <w:tcPr>
            <w:tcW w:w="1213" w:type="dxa"/>
            <w:tcBorders>
              <w:top w:val="nil"/>
              <w:left w:val="nil"/>
              <w:bottom w:val="single" w:sz="4" w:space="0" w:color="auto"/>
              <w:right w:val="nil"/>
            </w:tcBorders>
            <w:shd w:val="clear" w:color="auto" w:fill="auto"/>
            <w:vAlign w:val="center"/>
          </w:tcPr>
          <w:p w:rsidR="00CB1BDA" w:rsidRPr="006B2DB8" w:rsidRDefault="00CB1BDA" w:rsidP="00CB1BDA">
            <w:pPr>
              <w:spacing w:before="20" w:after="20"/>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nil"/>
              <w:left w:val="nil"/>
              <w:bottom w:val="single" w:sz="4" w:space="0" w:color="auto"/>
              <w:right w:val="single" w:sz="4" w:space="0" w:color="auto"/>
            </w:tcBorders>
            <w:shd w:val="clear" w:color="auto" w:fill="auto"/>
            <w:vAlign w:val="center"/>
          </w:tcPr>
          <w:p w:rsidR="00CB1BDA" w:rsidRPr="006B2DB8" w:rsidRDefault="00CB1BDA" w:rsidP="00CB1BDA">
            <w:pPr>
              <w:spacing w:before="20" w:after="20"/>
              <w:jc w:val="center"/>
              <w:rPr>
                <w:rFonts w:ascii="Arial Narrow" w:hAnsi="Arial Narrow"/>
                <w:b/>
                <w:sz w:val="16"/>
                <w:szCs w:val="16"/>
              </w:rPr>
            </w:pPr>
            <w:r w:rsidRPr="006B2DB8">
              <w:rPr>
                <w:rFonts w:ascii="Arial Narrow" w:hAnsi="Arial Narrow"/>
                <w:b/>
                <w:sz w:val="16"/>
                <w:szCs w:val="16"/>
              </w:rPr>
              <w:t>Προβλέψεις</w:t>
            </w:r>
          </w:p>
        </w:tc>
      </w:tr>
      <w:tr w:rsidR="00CB1BDA" w:rsidRPr="00256726" w:rsidTr="00CB1BDA">
        <w:trPr>
          <w:cantSplit/>
          <w:jc w:val="center"/>
        </w:trPr>
        <w:tc>
          <w:tcPr>
            <w:tcW w:w="6019" w:type="dxa"/>
            <w:tcBorders>
              <w:top w:val="single" w:sz="4" w:space="0" w:color="auto"/>
              <w:left w:val="single" w:sz="4" w:space="0" w:color="auto"/>
              <w:bottom w:val="nil"/>
              <w:right w:val="single" w:sz="4" w:space="0" w:color="auto"/>
            </w:tcBorders>
            <w:shd w:val="clear" w:color="auto" w:fill="auto"/>
            <w:vAlign w:val="center"/>
          </w:tcPr>
          <w:p w:rsidR="00CB1BDA" w:rsidRPr="00256726" w:rsidRDefault="00CB1BDA" w:rsidP="00CB1BDA">
            <w:pPr>
              <w:spacing w:before="20" w:after="20"/>
              <w:jc w:val="center"/>
              <w:rPr>
                <w:rFonts w:ascii="Arial Narrow" w:hAnsi="Arial Narrow"/>
                <w:b/>
                <w:sz w:val="6"/>
                <w:szCs w:val="16"/>
              </w:rPr>
            </w:pPr>
          </w:p>
        </w:tc>
        <w:tc>
          <w:tcPr>
            <w:tcW w:w="1213" w:type="dxa"/>
            <w:tcBorders>
              <w:top w:val="single" w:sz="4" w:space="0" w:color="auto"/>
              <w:left w:val="nil"/>
              <w:bottom w:val="nil"/>
              <w:right w:val="nil"/>
            </w:tcBorders>
            <w:shd w:val="clear" w:color="auto" w:fill="auto"/>
            <w:vAlign w:val="center"/>
          </w:tcPr>
          <w:p w:rsidR="00CB1BDA" w:rsidRPr="00256726" w:rsidRDefault="00CB1BDA" w:rsidP="00CB1BDA">
            <w:pPr>
              <w:spacing w:before="20" w:after="20"/>
              <w:jc w:val="center"/>
              <w:rPr>
                <w:rFonts w:ascii="Arial Narrow" w:hAnsi="Arial Narrow"/>
                <w:b/>
                <w:sz w:val="6"/>
                <w:szCs w:val="16"/>
              </w:rPr>
            </w:pPr>
          </w:p>
        </w:tc>
        <w:tc>
          <w:tcPr>
            <w:tcW w:w="1276" w:type="dxa"/>
            <w:tcBorders>
              <w:top w:val="single" w:sz="4" w:space="0" w:color="auto"/>
              <w:left w:val="nil"/>
              <w:bottom w:val="nil"/>
              <w:right w:val="single" w:sz="4" w:space="0" w:color="auto"/>
            </w:tcBorders>
            <w:shd w:val="clear" w:color="auto" w:fill="auto"/>
            <w:vAlign w:val="center"/>
          </w:tcPr>
          <w:p w:rsidR="00CB1BDA" w:rsidRPr="00256726" w:rsidRDefault="00CB1BDA" w:rsidP="00CB1BDA">
            <w:pPr>
              <w:spacing w:before="20" w:after="20"/>
              <w:jc w:val="center"/>
              <w:rPr>
                <w:rFonts w:ascii="Arial Narrow" w:hAnsi="Arial Narrow"/>
                <w:b/>
                <w:sz w:val="6"/>
                <w:szCs w:val="16"/>
              </w:rPr>
            </w:pPr>
          </w:p>
        </w:tc>
      </w:tr>
      <w:tr w:rsidR="002F39BB" w:rsidRPr="006B2DB8" w:rsidTr="007237BB">
        <w:trPr>
          <w:cantSplit/>
          <w:trHeight w:val="340"/>
          <w:jc w:val="center"/>
        </w:trPr>
        <w:tc>
          <w:tcPr>
            <w:tcW w:w="6019" w:type="dxa"/>
            <w:tcBorders>
              <w:top w:val="nil"/>
              <w:left w:val="single" w:sz="4" w:space="0" w:color="auto"/>
              <w:bottom w:val="nil"/>
              <w:right w:val="nil"/>
            </w:tcBorders>
            <w:shd w:val="clear" w:color="auto" w:fill="A6A6A6"/>
          </w:tcPr>
          <w:p w:rsidR="002F39BB" w:rsidRPr="006B2DB8" w:rsidRDefault="002F39BB" w:rsidP="00CB1BDA">
            <w:pPr>
              <w:spacing w:before="20" w:after="20"/>
              <w:ind w:left="258" w:hanging="258"/>
              <w:jc w:val="both"/>
              <w:rPr>
                <w:rFonts w:ascii="Arial Narrow" w:hAnsi="Arial Narrow"/>
                <w:b/>
                <w:sz w:val="16"/>
                <w:szCs w:val="16"/>
              </w:rPr>
            </w:pPr>
            <w:r>
              <w:rPr>
                <w:rFonts w:ascii="Arial Narrow" w:hAnsi="Arial Narrow"/>
                <w:b/>
                <w:sz w:val="16"/>
                <w:szCs w:val="16"/>
              </w:rPr>
              <w:t>Α.</w:t>
            </w:r>
            <w:r>
              <w:rPr>
                <w:rFonts w:ascii="Arial Narrow" w:hAnsi="Arial Narrow"/>
                <w:b/>
                <w:sz w:val="16"/>
                <w:szCs w:val="16"/>
              </w:rPr>
              <w:tab/>
              <w:t>ΟΤΑ Α΄</w:t>
            </w:r>
            <w:r w:rsidR="00BE6422">
              <w:rPr>
                <w:rFonts w:ascii="Arial Narrow" w:hAnsi="Arial Narrow"/>
                <w:b/>
                <w:sz w:val="16"/>
                <w:szCs w:val="16"/>
              </w:rPr>
              <w:t xml:space="preserve"> </w:t>
            </w:r>
            <w:r>
              <w:rPr>
                <w:rFonts w:ascii="Arial Narrow" w:hAnsi="Arial Narrow"/>
                <w:b/>
                <w:sz w:val="16"/>
                <w:szCs w:val="16"/>
              </w:rPr>
              <w:t>βαθμού – Δήμοι (Ι + ΙΙ)</w:t>
            </w:r>
          </w:p>
        </w:tc>
        <w:tc>
          <w:tcPr>
            <w:tcW w:w="1213" w:type="dxa"/>
            <w:tcBorders>
              <w:top w:val="nil"/>
              <w:left w:val="nil"/>
              <w:bottom w:val="nil"/>
              <w:right w:val="nil"/>
            </w:tcBorders>
            <w:shd w:val="clear" w:color="auto" w:fill="A6A6A6"/>
            <w:vAlign w:val="center"/>
          </w:tcPr>
          <w:p w:rsidR="002F39BB" w:rsidRPr="002F39BB" w:rsidRDefault="002F39BB" w:rsidP="002F39BB">
            <w:pPr>
              <w:ind w:right="337"/>
              <w:jc w:val="right"/>
              <w:rPr>
                <w:rFonts w:ascii="Arial Narrow" w:hAnsi="Arial Narrow"/>
                <w:b/>
                <w:bCs/>
                <w:sz w:val="16"/>
                <w:szCs w:val="16"/>
              </w:rPr>
            </w:pPr>
            <w:r w:rsidRPr="002F39BB">
              <w:rPr>
                <w:rFonts w:ascii="Arial Narrow" w:hAnsi="Arial Narrow"/>
                <w:b/>
                <w:bCs/>
                <w:sz w:val="16"/>
                <w:szCs w:val="16"/>
              </w:rPr>
              <w:t>2.333</w:t>
            </w:r>
          </w:p>
        </w:tc>
        <w:tc>
          <w:tcPr>
            <w:tcW w:w="1276" w:type="dxa"/>
            <w:tcBorders>
              <w:top w:val="nil"/>
              <w:left w:val="nil"/>
              <w:bottom w:val="nil"/>
              <w:right w:val="single" w:sz="4" w:space="0" w:color="auto"/>
            </w:tcBorders>
            <w:shd w:val="clear" w:color="auto" w:fill="A6A6A6"/>
            <w:vAlign w:val="center"/>
          </w:tcPr>
          <w:p w:rsidR="002F39BB" w:rsidRPr="002F39BB" w:rsidRDefault="002F39BB" w:rsidP="002F39BB">
            <w:pPr>
              <w:ind w:right="337"/>
              <w:jc w:val="right"/>
              <w:rPr>
                <w:rFonts w:ascii="Arial Narrow" w:hAnsi="Arial Narrow"/>
                <w:b/>
                <w:bCs/>
                <w:sz w:val="16"/>
                <w:szCs w:val="16"/>
              </w:rPr>
            </w:pPr>
            <w:r w:rsidRPr="002F39BB">
              <w:rPr>
                <w:rFonts w:ascii="Arial Narrow" w:hAnsi="Arial Narrow"/>
                <w:b/>
                <w:bCs/>
                <w:sz w:val="16"/>
                <w:szCs w:val="16"/>
              </w:rPr>
              <w:t>2.441</w:t>
            </w:r>
          </w:p>
        </w:tc>
      </w:tr>
      <w:tr w:rsidR="002F39BB" w:rsidRPr="006B2DB8" w:rsidTr="007237BB">
        <w:trPr>
          <w:cantSplit/>
          <w:trHeight w:val="340"/>
          <w:jc w:val="center"/>
        </w:trPr>
        <w:tc>
          <w:tcPr>
            <w:tcW w:w="6019" w:type="dxa"/>
            <w:tcBorders>
              <w:top w:val="nil"/>
              <w:left w:val="single" w:sz="4" w:space="0" w:color="auto"/>
              <w:bottom w:val="nil"/>
              <w:right w:val="nil"/>
            </w:tcBorders>
            <w:shd w:val="clear" w:color="auto" w:fill="D9D9D9" w:themeFill="background1" w:themeFillShade="D9"/>
          </w:tcPr>
          <w:p w:rsidR="002F39BB" w:rsidRPr="006B2DB8" w:rsidRDefault="002F39BB" w:rsidP="00CB1BDA">
            <w:pPr>
              <w:tabs>
                <w:tab w:val="left" w:pos="258"/>
              </w:tabs>
              <w:spacing w:before="20" w:after="20"/>
              <w:ind w:left="476" w:hanging="476"/>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ab/>
              <w:t xml:space="preserve">Ι. </w:t>
            </w:r>
            <w:r w:rsidRPr="00301426">
              <w:rPr>
                <w:rFonts w:ascii="Arial Narrow" w:hAnsi="Arial Narrow"/>
                <w:b/>
                <w:sz w:val="16"/>
                <w:szCs w:val="16"/>
              </w:rPr>
              <w:tab/>
            </w:r>
            <w:r w:rsidRPr="006B2DB8">
              <w:rPr>
                <w:rFonts w:ascii="Arial Narrow" w:hAnsi="Arial Narrow"/>
                <w:b/>
                <w:sz w:val="16"/>
                <w:szCs w:val="16"/>
              </w:rPr>
              <w:t>ΚΑΠ Δήμων</w:t>
            </w:r>
            <w:r>
              <w:rPr>
                <w:rFonts w:ascii="Arial Narrow" w:hAnsi="Arial Narrow"/>
                <w:b/>
                <w:sz w:val="16"/>
                <w:szCs w:val="16"/>
              </w:rPr>
              <w:t xml:space="preserve"> (α+β + γ)</w:t>
            </w:r>
          </w:p>
        </w:tc>
        <w:tc>
          <w:tcPr>
            <w:tcW w:w="1213" w:type="dxa"/>
            <w:tcBorders>
              <w:top w:val="nil"/>
              <w:left w:val="nil"/>
              <w:bottom w:val="nil"/>
              <w:right w:val="nil"/>
            </w:tcBorders>
            <w:shd w:val="clear" w:color="auto" w:fill="D9D9D9" w:themeFill="background1" w:themeFillShade="D9"/>
            <w:vAlign w:val="center"/>
          </w:tcPr>
          <w:p w:rsidR="002F39BB" w:rsidRPr="002F39BB" w:rsidRDefault="002F39BB" w:rsidP="002F39BB">
            <w:pPr>
              <w:ind w:right="337"/>
              <w:jc w:val="right"/>
              <w:rPr>
                <w:rFonts w:ascii="Arial Narrow" w:hAnsi="Arial Narrow"/>
                <w:bCs/>
                <w:sz w:val="16"/>
                <w:szCs w:val="16"/>
              </w:rPr>
            </w:pPr>
            <w:r w:rsidRPr="002F39BB">
              <w:rPr>
                <w:rFonts w:ascii="Arial Narrow" w:hAnsi="Arial Narrow"/>
                <w:bCs/>
                <w:sz w:val="16"/>
                <w:szCs w:val="16"/>
              </w:rPr>
              <w:t>2.311</w:t>
            </w:r>
          </w:p>
        </w:tc>
        <w:tc>
          <w:tcPr>
            <w:tcW w:w="1276" w:type="dxa"/>
            <w:tcBorders>
              <w:top w:val="nil"/>
              <w:left w:val="nil"/>
              <w:bottom w:val="nil"/>
              <w:right w:val="single" w:sz="4" w:space="0" w:color="auto"/>
            </w:tcBorders>
            <w:shd w:val="clear" w:color="auto" w:fill="D9D9D9" w:themeFill="background1" w:themeFillShade="D9"/>
            <w:vAlign w:val="center"/>
          </w:tcPr>
          <w:p w:rsidR="002F39BB" w:rsidRPr="002F39BB" w:rsidRDefault="002F39BB" w:rsidP="002F39BB">
            <w:pPr>
              <w:ind w:right="337"/>
              <w:jc w:val="right"/>
              <w:rPr>
                <w:rFonts w:ascii="Arial Narrow" w:hAnsi="Arial Narrow"/>
                <w:bCs/>
                <w:sz w:val="16"/>
                <w:szCs w:val="16"/>
              </w:rPr>
            </w:pPr>
            <w:r w:rsidRPr="002F39BB">
              <w:rPr>
                <w:rFonts w:ascii="Arial Narrow" w:hAnsi="Arial Narrow"/>
                <w:bCs/>
                <w:sz w:val="16"/>
                <w:szCs w:val="16"/>
              </w:rPr>
              <w:t>2.402</w:t>
            </w:r>
          </w:p>
        </w:tc>
      </w:tr>
      <w:tr w:rsidR="002F39BB" w:rsidRPr="006B2DB8" w:rsidTr="007237BB">
        <w:trPr>
          <w:cantSplit/>
          <w:trHeight w:val="340"/>
          <w:jc w:val="center"/>
        </w:trPr>
        <w:tc>
          <w:tcPr>
            <w:tcW w:w="6019" w:type="dxa"/>
            <w:tcBorders>
              <w:top w:val="nil"/>
              <w:left w:val="single" w:sz="4" w:space="0" w:color="auto"/>
              <w:bottom w:val="nil"/>
              <w:right w:val="nil"/>
            </w:tcBorders>
            <w:shd w:val="clear" w:color="auto" w:fill="auto"/>
          </w:tcPr>
          <w:p w:rsidR="002F39BB" w:rsidRPr="006B2DB8" w:rsidRDefault="002F39BB" w:rsidP="00CB1BDA">
            <w:pPr>
              <w:tabs>
                <w:tab w:val="left" w:pos="258"/>
              </w:tabs>
              <w:spacing w:before="20" w:after="20"/>
              <w:ind w:left="477" w:hanging="477"/>
              <w:jc w:val="both"/>
              <w:rPr>
                <w:rFonts w:ascii="Arial Narrow" w:hAnsi="Arial Narrow"/>
                <w:sz w:val="16"/>
                <w:szCs w:val="16"/>
              </w:rPr>
            </w:pPr>
            <w:r w:rsidRPr="00EB2253">
              <w:rPr>
                <w:rFonts w:ascii="Arial Narrow" w:hAnsi="Arial Narrow"/>
                <w:sz w:val="16"/>
                <w:szCs w:val="16"/>
              </w:rPr>
              <w:tab/>
            </w:r>
            <w:r>
              <w:rPr>
                <w:rFonts w:ascii="Arial Narrow" w:hAnsi="Arial Narrow"/>
                <w:sz w:val="16"/>
                <w:szCs w:val="16"/>
              </w:rPr>
              <w:t>α.</w:t>
            </w:r>
            <w:r>
              <w:rPr>
                <w:rFonts w:ascii="Arial Narrow" w:hAnsi="Arial Narrow"/>
                <w:sz w:val="16"/>
                <w:szCs w:val="16"/>
              </w:rPr>
              <w:tab/>
            </w:r>
            <w:r w:rsidRPr="006B2DB8">
              <w:rPr>
                <w:rFonts w:ascii="Arial Narrow" w:hAnsi="Arial Narrow"/>
                <w:sz w:val="16"/>
                <w:szCs w:val="16"/>
              </w:rPr>
              <w:t>Απόδοση στους Δήμους ποσοστού επί του φόρου προστιθέμενης αξίας</w:t>
            </w:r>
          </w:p>
        </w:tc>
        <w:tc>
          <w:tcPr>
            <w:tcW w:w="1213" w:type="dxa"/>
            <w:tcBorders>
              <w:top w:val="nil"/>
              <w:left w:val="nil"/>
              <w:bottom w:val="nil"/>
              <w:right w:val="nil"/>
            </w:tcBorders>
            <w:shd w:val="clear" w:color="auto" w:fill="auto"/>
            <w:vAlign w:val="center"/>
          </w:tcPr>
          <w:p w:rsidR="002F39BB" w:rsidRPr="002F39BB" w:rsidRDefault="002F39BB" w:rsidP="002F39BB">
            <w:pPr>
              <w:ind w:right="337"/>
              <w:jc w:val="right"/>
              <w:rPr>
                <w:rFonts w:ascii="Arial Narrow" w:hAnsi="Arial Narrow"/>
                <w:iCs/>
                <w:sz w:val="16"/>
                <w:szCs w:val="16"/>
              </w:rPr>
            </w:pPr>
            <w:r w:rsidRPr="002F39BB">
              <w:rPr>
                <w:rFonts w:ascii="Arial Narrow" w:hAnsi="Arial Narrow"/>
                <w:iCs/>
                <w:sz w:val="16"/>
                <w:szCs w:val="16"/>
              </w:rPr>
              <w:t>900</w:t>
            </w:r>
          </w:p>
        </w:tc>
        <w:tc>
          <w:tcPr>
            <w:tcW w:w="1276" w:type="dxa"/>
            <w:tcBorders>
              <w:top w:val="nil"/>
              <w:left w:val="nil"/>
              <w:bottom w:val="nil"/>
              <w:right w:val="single" w:sz="4" w:space="0" w:color="auto"/>
            </w:tcBorders>
            <w:shd w:val="clear" w:color="auto" w:fill="auto"/>
            <w:vAlign w:val="center"/>
          </w:tcPr>
          <w:p w:rsidR="002F39BB" w:rsidRPr="002F39BB" w:rsidRDefault="002F39BB" w:rsidP="002F39BB">
            <w:pPr>
              <w:ind w:right="337"/>
              <w:jc w:val="right"/>
              <w:rPr>
                <w:rFonts w:ascii="Arial Narrow" w:hAnsi="Arial Narrow"/>
                <w:iCs/>
                <w:sz w:val="16"/>
                <w:szCs w:val="16"/>
              </w:rPr>
            </w:pPr>
            <w:r w:rsidRPr="002F39BB">
              <w:rPr>
                <w:rFonts w:ascii="Arial Narrow" w:hAnsi="Arial Narrow"/>
                <w:iCs/>
                <w:sz w:val="16"/>
                <w:szCs w:val="16"/>
              </w:rPr>
              <w:t>1.000</w:t>
            </w:r>
          </w:p>
        </w:tc>
      </w:tr>
      <w:tr w:rsidR="002F39BB" w:rsidRPr="006B2DB8" w:rsidTr="007237BB">
        <w:trPr>
          <w:cantSplit/>
          <w:trHeight w:val="340"/>
          <w:jc w:val="center"/>
        </w:trPr>
        <w:tc>
          <w:tcPr>
            <w:tcW w:w="6019" w:type="dxa"/>
            <w:tcBorders>
              <w:top w:val="nil"/>
              <w:left w:val="single" w:sz="4" w:space="0" w:color="auto"/>
              <w:bottom w:val="nil"/>
              <w:right w:val="nil"/>
            </w:tcBorders>
            <w:shd w:val="clear" w:color="auto" w:fill="auto"/>
          </w:tcPr>
          <w:p w:rsidR="002F39BB" w:rsidRPr="006B2DB8" w:rsidRDefault="002F39BB" w:rsidP="00CB1BDA">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β.</w:t>
            </w:r>
            <w:r>
              <w:rPr>
                <w:rFonts w:ascii="Arial Narrow" w:hAnsi="Arial Narrow"/>
                <w:sz w:val="16"/>
                <w:szCs w:val="16"/>
              </w:rPr>
              <w:tab/>
            </w:r>
            <w:r w:rsidRPr="006B2DB8">
              <w:rPr>
                <w:rFonts w:ascii="Arial Narrow" w:hAnsi="Arial Narrow"/>
                <w:sz w:val="16"/>
                <w:szCs w:val="16"/>
              </w:rPr>
              <w:t>Απόδοση στους Δήμους ποσοστού επί των καθαρών συνολικών ετήσιων εισπράξεων του φόρου εισοδήματος φυσικών και νομικών προσώπων</w:t>
            </w:r>
          </w:p>
        </w:tc>
        <w:tc>
          <w:tcPr>
            <w:tcW w:w="1213" w:type="dxa"/>
            <w:tcBorders>
              <w:top w:val="nil"/>
              <w:left w:val="nil"/>
              <w:bottom w:val="nil"/>
              <w:right w:val="nil"/>
            </w:tcBorders>
            <w:shd w:val="clear" w:color="auto" w:fill="auto"/>
            <w:vAlign w:val="center"/>
          </w:tcPr>
          <w:p w:rsidR="002F39BB" w:rsidRPr="002F39BB" w:rsidRDefault="002F39BB" w:rsidP="002F39BB">
            <w:pPr>
              <w:ind w:right="337"/>
              <w:jc w:val="right"/>
              <w:rPr>
                <w:rFonts w:ascii="Arial Narrow" w:hAnsi="Arial Narrow"/>
                <w:iCs/>
                <w:sz w:val="16"/>
                <w:szCs w:val="16"/>
              </w:rPr>
            </w:pPr>
            <w:r w:rsidRPr="002F39BB">
              <w:rPr>
                <w:rFonts w:ascii="Arial Narrow" w:hAnsi="Arial Narrow"/>
                <w:iCs/>
                <w:sz w:val="16"/>
                <w:szCs w:val="16"/>
              </w:rPr>
              <w:t>1.252</w:t>
            </w:r>
          </w:p>
        </w:tc>
        <w:tc>
          <w:tcPr>
            <w:tcW w:w="1276" w:type="dxa"/>
            <w:tcBorders>
              <w:top w:val="nil"/>
              <w:left w:val="nil"/>
              <w:bottom w:val="nil"/>
              <w:right w:val="single" w:sz="4" w:space="0" w:color="auto"/>
            </w:tcBorders>
            <w:shd w:val="clear" w:color="auto" w:fill="auto"/>
            <w:vAlign w:val="center"/>
          </w:tcPr>
          <w:p w:rsidR="002F39BB" w:rsidRPr="002F39BB" w:rsidRDefault="002F39BB" w:rsidP="002F39BB">
            <w:pPr>
              <w:ind w:right="337"/>
              <w:jc w:val="right"/>
              <w:rPr>
                <w:rFonts w:ascii="Arial Narrow" w:hAnsi="Arial Narrow"/>
                <w:iCs/>
                <w:sz w:val="16"/>
                <w:szCs w:val="16"/>
              </w:rPr>
            </w:pPr>
            <w:r w:rsidRPr="002F39BB">
              <w:rPr>
                <w:rFonts w:ascii="Arial Narrow" w:hAnsi="Arial Narrow"/>
                <w:iCs/>
                <w:sz w:val="16"/>
                <w:szCs w:val="16"/>
              </w:rPr>
              <w:t>1.235</w:t>
            </w:r>
          </w:p>
        </w:tc>
      </w:tr>
      <w:tr w:rsidR="002F39BB" w:rsidRPr="006B2DB8" w:rsidTr="007237BB">
        <w:trPr>
          <w:cantSplit/>
          <w:trHeight w:val="340"/>
          <w:jc w:val="center"/>
        </w:trPr>
        <w:tc>
          <w:tcPr>
            <w:tcW w:w="6019" w:type="dxa"/>
            <w:tcBorders>
              <w:top w:val="nil"/>
              <w:left w:val="single" w:sz="4" w:space="0" w:color="auto"/>
              <w:bottom w:val="nil"/>
              <w:right w:val="nil"/>
            </w:tcBorders>
            <w:shd w:val="clear" w:color="auto" w:fill="auto"/>
          </w:tcPr>
          <w:p w:rsidR="002F39BB" w:rsidRPr="006B2DB8" w:rsidRDefault="002F39BB" w:rsidP="00CB1BDA">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γ.</w:t>
            </w:r>
            <w:r>
              <w:rPr>
                <w:rFonts w:ascii="Arial Narrow" w:hAnsi="Arial Narrow"/>
                <w:sz w:val="16"/>
                <w:szCs w:val="16"/>
              </w:rPr>
              <w:tab/>
            </w:r>
            <w:r w:rsidRPr="006B2DB8">
              <w:rPr>
                <w:rFonts w:ascii="Arial Narrow" w:hAnsi="Arial Narrow"/>
                <w:sz w:val="16"/>
                <w:szCs w:val="16"/>
              </w:rPr>
              <w:t>Απόδοση στου</w:t>
            </w:r>
            <w:r>
              <w:rPr>
                <w:rFonts w:ascii="Arial Narrow" w:hAnsi="Arial Narrow"/>
                <w:sz w:val="16"/>
                <w:szCs w:val="16"/>
              </w:rPr>
              <w:t>ς Δήμους ποσοστού επί του ΕΝΦΙΑ</w:t>
            </w:r>
          </w:p>
        </w:tc>
        <w:tc>
          <w:tcPr>
            <w:tcW w:w="1213" w:type="dxa"/>
            <w:tcBorders>
              <w:top w:val="nil"/>
              <w:left w:val="nil"/>
              <w:bottom w:val="nil"/>
              <w:right w:val="nil"/>
            </w:tcBorders>
            <w:shd w:val="clear" w:color="auto" w:fill="auto"/>
            <w:vAlign w:val="center"/>
          </w:tcPr>
          <w:p w:rsidR="002F39BB" w:rsidRPr="002F39BB" w:rsidRDefault="002F39BB" w:rsidP="002F39BB">
            <w:pPr>
              <w:ind w:right="337"/>
              <w:jc w:val="right"/>
              <w:rPr>
                <w:rFonts w:ascii="Arial Narrow" w:hAnsi="Arial Narrow"/>
                <w:iCs/>
                <w:sz w:val="16"/>
                <w:szCs w:val="16"/>
              </w:rPr>
            </w:pPr>
            <w:r w:rsidRPr="002F39BB">
              <w:rPr>
                <w:rFonts w:ascii="Arial Narrow" w:hAnsi="Arial Narrow"/>
                <w:iCs/>
                <w:sz w:val="16"/>
                <w:szCs w:val="16"/>
              </w:rPr>
              <w:t>159</w:t>
            </w:r>
          </w:p>
        </w:tc>
        <w:tc>
          <w:tcPr>
            <w:tcW w:w="1276" w:type="dxa"/>
            <w:tcBorders>
              <w:top w:val="nil"/>
              <w:left w:val="nil"/>
              <w:bottom w:val="nil"/>
              <w:right w:val="single" w:sz="4" w:space="0" w:color="auto"/>
            </w:tcBorders>
            <w:shd w:val="clear" w:color="auto" w:fill="auto"/>
            <w:vAlign w:val="center"/>
          </w:tcPr>
          <w:p w:rsidR="002F39BB" w:rsidRPr="002F39BB" w:rsidRDefault="002F39BB" w:rsidP="002F39BB">
            <w:pPr>
              <w:ind w:right="337"/>
              <w:jc w:val="right"/>
              <w:rPr>
                <w:rFonts w:ascii="Arial Narrow" w:hAnsi="Arial Narrow"/>
                <w:iCs/>
                <w:sz w:val="16"/>
                <w:szCs w:val="16"/>
              </w:rPr>
            </w:pPr>
            <w:r w:rsidRPr="002F39BB">
              <w:rPr>
                <w:rFonts w:ascii="Arial Narrow" w:hAnsi="Arial Narrow"/>
                <w:iCs/>
                <w:sz w:val="16"/>
                <w:szCs w:val="16"/>
              </w:rPr>
              <w:t>167</w:t>
            </w:r>
          </w:p>
        </w:tc>
      </w:tr>
      <w:tr w:rsidR="002F39BB" w:rsidRPr="006B2DB8" w:rsidTr="007237BB">
        <w:trPr>
          <w:cantSplit/>
          <w:trHeight w:val="340"/>
          <w:jc w:val="center"/>
        </w:trPr>
        <w:tc>
          <w:tcPr>
            <w:tcW w:w="6019" w:type="dxa"/>
            <w:tcBorders>
              <w:top w:val="nil"/>
              <w:left w:val="single" w:sz="4" w:space="0" w:color="auto"/>
              <w:bottom w:val="nil"/>
              <w:right w:val="nil"/>
            </w:tcBorders>
            <w:shd w:val="clear" w:color="auto" w:fill="D9D9D9" w:themeFill="background1" w:themeFillShade="D9"/>
          </w:tcPr>
          <w:p w:rsidR="002F39BB" w:rsidRPr="006B2DB8" w:rsidRDefault="002F39BB" w:rsidP="00CB1BDA">
            <w:pPr>
              <w:tabs>
                <w:tab w:val="left" w:pos="258"/>
              </w:tabs>
              <w:spacing w:before="20" w:after="20"/>
              <w:ind w:left="476" w:hanging="476"/>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ab/>
              <w:t>ΙΙ.</w:t>
            </w:r>
            <w:r>
              <w:rPr>
                <w:rFonts w:ascii="Arial Narrow" w:hAnsi="Arial Narrow"/>
                <w:b/>
                <w:sz w:val="16"/>
                <w:szCs w:val="16"/>
              </w:rPr>
              <w:tab/>
            </w:r>
            <w:r w:rsidRPr="006B2DB8">
              <w:rPr>
                <w:rFonts w:ascii="Arial Narrow" w:hAnsi="Arial Narrow"/>
                <w:b/>
                <w:sz w:val="16"/>
                <w:szCs w:val="16"/>
              </w:rPr>
              <w:t>Ειδική επιχορήγηση σε ΟΤΑ α΄ βαθμού</w:t>
            </w:r>
          </w:p>
        </w:tc>
        <w:tc>
          <w:tcPr>
            <w:tcW w:w="1213" w:type="dxa"/>
            <w:tcBorders>
              <w:top w:val="nil"/>
              <w:left w:val="nil"/>
              <w:bottom w:val="nil"/>
              <w:right w:val="nil"/>
            </w:tcBorders>
            <w:shd w:val="clear" w:color="auto" w:fill="D9D9D9" w:themeFill="background1" w:themeFillShade="D9"/>
            <w:vAlign w:val="center"/>
          </w:tcPr>
          <w:p w:rsidR="002F39BB" w:rsidRPr="002F39BB" w:rsidRDefault="002F39BB" w:rsidP="002F39BB">
            <w:pPr>
              <w:ind w:right="337"/>
              <w:jc w:val="right"/>
              <w:rPr>
                <w:rFonts w:ascii="Arial Narrow" w:hAnsi="Arial Narrow"/>
                <w:bCs/>
                <w:sz w:val="16"/>
                <w:szCs w:val="16"/>
              </w:rPr>
            </w:pPr>
            <w:r w:rsidRPr="002F39BB">
              <w:rPr>
                <w:rFonts w:ascii="Arial Narrow" w:hAnsi="Arial Narrow"/>
                <w:bCs/>
                <w:sz w:val="16"/>
                <w:szCs w:val="16"/>
              </w:rPr>
              <w:t>22</w:t>
            </w:r>
          </w:p>
        </w:tc>
        <w:tc>
          <w:tcPr>
            <w:tcW w:w="1276" w:type="dxa"/>
            <w:tcBorders>
              <w:top w:val="nil"/>
              <w:left w:val="nil"/>
              <w:bottom w:val="nil"/>
              <w:right w:val="single" w:sz="4" w:space="0" w:color="auto"/>
            </w:tcBorders>
            <w:shd w:val="clear" w:color="auto" w:fill="D9D9D9" w:themeFill="background1" w:themeFillShade="D9"/>
            <w:vAlign w:val="center"/>
          </w:tcPr>
          <w:p w:rsidR="002F39BB" w:rsidRPr="002F39BB" w:rsidRDefault="002F39BB" w:rsidP="002F39BB">
            <w:pPr>
              <w:ind w:right="337"/>
              <w:jc w:val="right"/>
              <w:rPr>
                <w:rFonts w:ascii="Arial Narrow" w:hAnsi="Arial Narrow"/>
                <w:bCs/>
                <w:sz w:val="16"/>
                <w:szCs w:val="16"/>
              </w:rPr>
            </w:pPr>
            <w:r w:rsidRPr="002F39BB">
              <w:rPr>
                <w:rFonts w:ascii="Arial Narrow" w:hAnsi="Arial Narrow"/>
                <w:bCs/>
                <w:sz w:val="16"/>
                <w:szCs w:val="16"/>
              </w:rPr>
              <w:t>39</w:t>
            </w:r>
          </w:p>
        </w:tc>
      </w:tr>
      <w:tr w:rsidR="002F39BB" w:rsidRPr="006B2DB8" w:rsidTr="007237BB">
        <w:trPr>
          <w:cantSplit/>
          <w:trHeight w:val="340"/>
          <w:jc w:val="center"/>
        </w:trPr>
        <w:tc>
          <w:tcPr>
            <w:tcW w:w="6019" w:type="dxa"/>
            <w:tcBorders>
              <w:top w:val="nil"/>
              <w:left w:val="single" w:sz="4" w:space="0" w:color="auto"/>
              <w:bottom w:val="nil"/>
              <w:right w:val="nil"/>
            </w:tcBorders>
            <w:shd w:val="clear" w:color="auto" w:fill="A6A6A6"/>
          </w:tcPr>
          <w:p w:rsidR="002F39BB" w:rsidRPr="006B2DB8" w:rsidRDefault="0012422B" w:rsidP="00CB1BDA">
            <w:pPr>
              <w:spacing w:before="20" w:after="20"/>
              <w:ind w:left="258" w:hanging="258"/>
              <w:jc w:val="both"/>
              <w:rPr>
                <w:rFonts w:ascii="Arial Narrow" w:hAnsi="Arial Narrow"/>
                <w:b/>
                <w:sz w:val="16"/>
                <w:szCs w:val="16"/>
              </w:rPr>
            </w:pPr>
            <w:r>
              <w:rPr>
                <w:rFonts w:ascii="Arial Narrow" w:hAnsi="Arial Narrow"/>
                <w:b/>
                <w:sz w:val="16"/>
                <w:szCs w:val="16"/>
              </w:rPr>
              <w:t>Β.</w:t>
            </w:r>
            <w:r>
              <w:rPr>
                <w:rFonts w:ascii="Arial Narrow" w:hAnsi="Arial Narrow"/>
                <w:b/>
                <w:sz w:val="16"/>
                <w:szCs w:val="16"/>
              </w:rPr>
              <w:tab/>
              <w:t>ΟΤΑ Β</w:t>
            </w:r>
            <w:r w:rsidR="002F39BB">
              <w:rPr>
                <w:rFonts w:ascii="Arial Narrow" w:hAnsi="Arial Narrow"/>
                <w:b/>
                <w:sz w:val="16"/>
                <w:szCs w:val="16"/>
              </w:rPr>
              <w:t>΄βαθμού – Περιφέρειες</w:t>
            </w:r>
          </w:p>
        </w:tc>
        <w:tc>
          <w:tcPr>
            <w:tcW w:w="1213" w:type="dxa"/>
            <w:tcBorders>
              <w:top w:val="nil"/>
              <w:left w:val="nil"/>
              <w:bottom w:val="nil"/>
              <w:right w:val="nil"/>
            </w:tcBorders>
            <w:shd w:val="clear" w:color="auto" w:fill="A6A6A6"/>
            <w:vAlign w:val="center"/>
          </w:tcPr>
          <w:p w:rsidR="002F39BB" w:rsidRPr="002F39BB" w:rsidRDefault="002F39BB" w:rsidP="002F39BB">
            <w:pPr>
              <w:ind w:right="337"/>
              <w:jc w:val="right"/>
              <w:rPr>
                <w:rFonts w:ascii="Arial Narrow" w:hAnsi="Arial Narrow"/>
                <w:b/>
                <w:bCs/>
                <w:sz w:val="16"/>
                <w:szCs w:val="16"/>
              </w:rPr>
            </w:pPr>
            <w:r w:rsidRPr="002F39BB">
              <w:rPr>
                <w:rFonts w:ascii="Arial Narrow" w:hAnsi="Arial Narrow"/>
                <w:b/>
                <w:bCs/>
                <w:sz w:val="16"/>
                <w:szCs w:val="16"/>
              </w:rPr>
              <w:t>671</w:t>
            </w:r>
          </w:p>
        </w:tc>
        <w:tc>
          <w:tcPr>
            <w:tcW w:w="1276" w:type="dxa"/>
            <w:tcBorders>
              <w:top w:val="nil"/>
              <w:left w:val="nil"/>
              <w:bottom w:val="nil"/>
              <w:right w:val="single" w:sz="4" w:space="0" w:color="auto"/>
            </w:tcBorders>
            <w:shd w:val="clear" w:color="auto" w:fill="A6A6A6"/>
            <w:vAlign w:val="center"/>
          </w:tcPr>
          <w:p w:rsidR="002F39BB" w:rsidRPr="002F39BB" w:rsidRDefault="002F39BB" w:rsidP="002F39BB">
            <w:pPr>
              <w:ind w:right="337"/>
              <w:jc w:val="right"/>
              <w:rPr>
                <w:rFonts w:ascii="Arial Narrow" w:hAnsi="Arial Narrow"/>
                <w:b/>
                <w:bCs/>
                <w:sz w:val="16"/>
                <w:szCs w:val="16"/>
              </w:rPr>
            </w:pPr>
            <w:r w:rsidRPr="002F39BB">
              <w:rPr>
                <w:rFonts w:ascii="Arial Narrow" w:hAnsi="Arial Narrow"/>
                <w:b/>
                <w:bCs/>
                <w:sz w:val="16"/>
                <w:szCs w:val="16"/>
              </w:rPr>
              <w:t>738</w:t>
            </w:r>
          </w:p>
        </w:tc>
      </w:tr>
      <w:tr w:rsidR="002F39BB" w:rsidRPr="006B2DB8" w:rsidTr="007237BB">
        <w:trPr>
          <w:cantSplit/>
          <w:trHeight w:val="340"/>
          <w:jc w:val="center"/>
        </w:trPr>
        <w:tc>
          <w:tcPr>
            <w:tcW w:w="6019" w:type="dxa"/>
            <w:tcBorders>
              <w:top w:val="nil"/>
              <w:left w:val="single" w:sz="4" w:space="0" w:color="auto"/>
              <w:bottom w:val="nil"/>
              <w:right w:val="nil"/>
            </w:tcBorders>
            <w:shd w:val="clear" w:color="auto" w:fill="D9D9D9" w:themeFill="background1" w:themeFillShade="D9"/>
          </w:tcPr>
          <w:p w:rsidR="002F39BB" w:rsidRPr="006B2DB8" w:rsidRDefault="002F39BB" w:rsidP="00CB1BDA">
            <w:pPr>
              <w:tabs>
                <w:tab w:val="left" w:pos="258"/>
              </w:tabs>
              <w:spacing w:before="20" w:after="20"/>
              <w:ind w:left="476" w:hanging="476"/>
              <w:jc w:val="both"/>
              <w:rPr>
                <w:rFonts w:ascii="Arial Narrow" w:hAnsi="Arial Narrow"/>
                <w:b/>
                <w:sz w:val="16"/>
                <w:szCs w:val="16"/>
              </w:rPr>
            </w:pPr>
            <w:r w:rsidRPr="00301426">
              <w:rPr>
                <w:rFonts w:ascii="Arial Narrow" w:hAnsi="Arial Narrow"/>
                <w:b/>
                <w:sz w:val="16"/>
                <w:szCs w:val="16"/>
              </w:rPr>
              <w:t xml:space="preserve"> </w:t>
            </w:r>
            <w:r>
              <w:rPr>
                <w:rFonts w:ascii="Arial Narrow" w:hAnsi="Arial Narrow"/>
                <w:b/>
                <w:sz w:val="16"/>
                <w:szCs w:val="16"/>
              </w:rPr>
              <w:tab/>
              <w:t xml:space="preserve">Ι. </w:t>
            </w:r>
            <w:r w:rsidRPr="00301426">
              <w:rPr>
                <w:rFonts w:ascii="Arial Narrow" w:hAnsi="Arial Narrow"/>
                <w:b/>
                <w:sz w:val="16"/>
                <w:szCs w:val="16"/>
              </w:rPr>
              <w:tab/>
            </w:r>
            <w:r w:rsidRPr="006B2DB8">
              <w:rPr>
                <w:rFonts w:ascii="Arial Narrow" w:hAnsi="Arial Narrow"/>
                <w:b/>
                <w:sz w:val="16"/>
                <w:szCs w:val="16"/>
              </w:rPr>
              <w:t xml:space="preserve">ΚΑΠ </w:t>
            </w:r>
            <w:r>
              <w:rPr>
                <w:rFonts w:ascii="Arial Narrow" w:hAnsi="Arial Narrow"/>
                <w:b/>
                <w:sz w:val="16"/>
                <w:szCs w:val="16"/>
              </w:rPr>
              <w:t>Περιφερειών (α+β)</w:t>
            </w:r>
          </w:p>
        </w:tc>
        <w:tc>
          <w:tcPr>
            <w:tcW w:w="1213" w:type="dxa"/>
            <w:tcBorders>
              <w:top w:val="nil"/>
              <w:left w:val="nil"/>
              <w:bottom w:val="nil"/>
              <w:right w:val="nil"/>
            </w:tcBorders>
            <w:shd w:val="clear" w:color="auto" w:fill="D9D9D9" w:themeFill="background1" w:themeFillShade="D9"/>
            <w:vAlign w:val="center"/>
          </w:tcPr>
          <w:p w:rsidR="002F39BB" w:rsidRPr="002F39BB" w:rsidRDefault="002F39BB" w:rsidP="002F39BB">
            <w:pPr>
              <w:ind w:right="337"/>
              <w:jc w:val="right"/>
              <w:rPr>
                <w:rFonts w:ascii="Arial Narrow" w:hAnsi="Arial Narrow"/>
                <w:bCs/>
                <w:sz w:val="16"/>
                <w:szCs w:val="16"/>
              </w:rPr>
            </w:pPr>
            <w:r w:rsidRPr="002F39BB">
              <w:rPr>
                <w:rFonts w:ascii="Arial Narrow" w:hAnsi="Arial Narrow"/>
                <w:bCs/>
                <w:sz w:val="16"/>
                <w:szCs w:val="16"/>
              </w:rPr>
              <w:t>671</w:t>
            </w:r>
          </w:p>
        </w:tc>
        <w:tc>
          <w:tcPr>
            <w:tcW w:w="1276" w:type="dxa"/>
            <w:tcBorders>
              <w:top w:val="nil"/>
              <w:left w:val="nil"/>
              <w:bottom w:val="nil"/>
              <w:right w:val="single" w:sz="4" w:space="0" w:color="auto"/>
            </w:tcBorders>
            <w:shd w:val="clear" w:color="auto" w:fill="D9D9D9" w:themeFill="background1" w:themeFillShade="D9"/>
            <w:vAlign w:val="center"/>
          </w:tcPr>
          <w:p w:rsidR="002F39BB" w:rsidRPr="002F39BB" w:rsidRDefault="002F39BB" w:rsidP="002F39BB">
            <w:pPr>
              <w:ind w:right="337"/>
              <w:jc w:val="right"/>
              <w:rPr>
                <w:rFonts w:ascii="Arial Narrow" w:hAnsi="Arial Narrow"/>
                <w:bCs/>
                <w:sz w:val="16"/>
                <w:szCs w:val="16"/>
              </w:rPr>
            </w:pPr>
            <w:r w:rsidRPr="002F39BB">
              <w:rPr>
                <w:rFonts w:ascii="Arial Narrow" w:hAnsi="Arial Narrow"/>
                <w:bCs/>
                <w:sz w:val="16"/>
                <w:szCs w:val="16"/>
              </w:rPr>
              <w:t>738</w:t>
            </w:r>
          </w:p>
        </w:tc>
      </w:tr>
      <w:tr w:rsidR="002F39BB" w:rsidRPr="006B2DB8" w:rsidTr="007237BB">
        <w:trPr>
          <w:cantSplit/>
          <w:trHeight w:val="340"/>
          <w:jc w:val="center"/>
        </w:trPr>
        <w:tc>
          <w:tcPr>
            <w:tcW w:w="6019" w:type="dxa"/>
            <w:tcBorders>
              <w:top w:val="nil"/>
              <w:left w:val="single" w:sz="4" w:space="0" w:color="auto"/>
              <w:bottom w:val="nil"/>
              <w:right w:val="nil"/>
            </w:tcBorders>
            <w:shd w:val="clear" w:color="auto" w:fill="auto"/>
          </w:tcPr>
          <w:p w:rsidR="002F39BB" w:rsidRPr="006B2DB8" w:rsidRDefault="002F39BB" w:rsidP="00CB1BDA">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α.</w:t>
            </w:r>
            <w:r>
              <w:rPr>
                <w:rFonts w:ascii="Arial Narrow" w:hAnsi="Arial Narrow"/>
                <w:sz w:val="16"/>
                <w:szCs w:val="16"/>
              </w:rPr>
              <w:tab/>
            </w:r>
            <w:r w:rsidRPr="006B2DB8">
              <w:rPr>
                <w:rFonts w:ascii="Arial Narrow" w:hAnsi="Arial Narrow"/>
                <w:sz w:val="16"/>
                <w:szCs w:val="16"/>
              </w:rPr>
              <w:t xml:space="preserve">Απόδοση </w:t>
            </w:r>
            <w:r>
              <w:rPr>
                <w:rFonts w:ascii="Arial Narrow" w:hAnsi="Arial Narrow"/>
                <w:sz w:val="16"/>
                <w:szCs w:val="16"/>
              </w:rPr>
              <w:t>στις Περιφέρειες</w:t>
            </w:r>
            <w:r w:rsidRPr="006B2DB8">
              <w:rPr>
                <w:rFonts w:ascii="Arial Narrow" w:hAnsi="Arial Narrow"/>
                <w:sz w:val="16"/>
                <w:szCs w:val="16"/>
              </w:rPr>
              <w:t xml:space="preserve"> ποσοστού επί των καθαρών συνολικών ετήσιων εισπράξεων του φόρου εισοδήματος φυσικών και νομικών προσώπων</w:t>
            </w:r>
          </w:p>
        </w:tc>
        <w:tc>
          <w:tcPr>
            <w:tcW w:w="1213" w:type="dxa"/>
            <w:tcBorders>
              <w:top w:val="nil"/>
              <w:left w:val="nil"/>
              <w:bottom w:val="nil"/>
              <w:right w:val="nil"/>
            </w:tcBorders>
            <w:shd w:val="clear" w:color="auto" w:fill="auto"/>
            <w:vAlign w:val="center"/>
          </w:tcPr>
          <w:p w:rsidR="002F39BB" w:rsidRPr="002F39BB" w:rsidRDefault="002F39BB" w:rsidP="002F39BB">
            <w:pPr>
              <w:ind w:right="337"/>
              <w:jc w:val="right"/>
              <w:rPr>
                <w:rFonts w:ascii="Arial Narrow" w:hAnsi="Arial Narrow"/>
                <w:iCs/>
                <w:sz w:val="16"/>
                <w:szCs w:val="16"/>
              </w:rPr>
            </w:pPr>
            <w:r w:rsidRPr="002F39BB">
              <w:rPr>
                <w:rFonts w:ascii="Arial Narrow" w:hAnsi="Arial Narrow"/>
                <w:iCs/>
                <w:sz w:val="16"/>
                <w:szCs w:val="16"/>
              </w:rPr>
              <w:t>318</w:t>
            </w:r>
          </w:p>
        </w:tc>
        <w:tc>
          <w:tcPr>
            <w:tcW w:w="1276" w:type="dxa"/>
            <w:tcBorders>
              <w:top w:val="nil"/>
              <w:left w:val="nil"/>
              <w:bottom w:val="nil"/>
              <w:right w:val="single" w:sz="4" w:space="0" w:color="auto"/>
            </w:tcBorders>
            <w:shd w:val="clear" w:color="auto" w:fill="auto"/>
            <w:vAlign w:val="center"/>
          </w:tcPr>
          <w:p w:rsidR="002F39BB" w:rsidRPr="002F39BB" w:rsidRDefault="002F39BB" w:rsidP="002F39BB">
            <w:pPr>
              <w:ind w:right="337"/>
              <w:jc w:val="right"/>
              <w:rPr>
                <w:rFonts w:ascii="Arial Narrow" w:hAnsi="Arial Narrow"/>
                <w:iCs/>
                <w:sz w:val="16"/>
                <w:szCs w:val="16"/>
              </w:rPr>
            </w:pPr>
            <w:r w:rsidRPr="002F39BB">
              <w:rPr>
                <w:rFonts w:ascii="Arial Narrow" w:hAnsi="Arial Narrow"/>
                <w:iCs/>
                <w:sz w:val="16"/>
                <w:szCs w:val="16"/>
              </w:rPr>
              <w:t>328</w:t>
            </w:r>
          </w:p>
        </w:tc>
      </w:tr>
      <w:tr w:rsidR="002F39BB" w:rsidRPr="006B2DB8" w:rsidTr="007237BB">
        <w:trPr>
          <w:cantSplit/>
          <w:trHeight w:val="340"/>
          <w:jc w:val="center"/>
        </w:trPr>
        <w:tc>
          <w:tcPr>
            <w:tcW w:w="6019" w:type="dxa"/>
            <w:tcBorders>
              <w:top w:val="nil"/>
              <w:left w:val="single" w:sz="4" w:space="0" w:color="auto"/>
              <w:bottom w:val="nil"/>
              <w:right w:val="nil"/>
            </w:tcBorders>
            <w:shd w:val="clear" w:color="auto" w:fill="auto"/>
          </w:tcPr>
          <w:p w:rsidR="002F39BB" w:rsidRPr="006B2DB8" w:rsidRDefault="002F39BB" w:rsidP="00CB1BDA">
            <w:pPr>
              <w:tabs>
                <w:tab w:val="left" w:pos="258"/>
              </w:tabs>
              <w:spacing w:before="20" w:after="20"/>
              <w:ind w:left="477" w:hanging="477"/>
              <w:jc w:val="both"/>
              <w:rPr>
                <w:rFonts w:ascii="Arial Narrow" w:hAnsi="Arial Narrow"/>
                <w:sz w:val="16"/>
                <w:szCs w:val="16"/>
              </w:rPr>
            </w:pPr>
            <w:r w:rsidRPr="00EB2253">
              <w:rPr>
                <w:rFonts w:ascii="Arial Narrow" w:hAnsi="Arial Narrow"/>
                <w:sz w:val="16"/>
                <w:szCs w:val="16"/>
              </w:rPr>
              <w:tab/>
            </w:r>
            <w:r>
              <w:rPr>
                <w:rFonts w:ascii="Arial Narrow" w:hAnsi="Arial Narrow"/>
                <w:sz w:val="16"/>
                <w:szCs w:val="16"/>
              </w:rPr>
              <w:t>α.</w:t>
            </w:r>
            <w:r>
              <w:rPr>
                <w:rFonts w:ascii="Arial Narrow" w:hAnsi="Arial Narrow"/>
                <w:sz w:val="16"/>
                <w:szCs w:val="16"/>
              </w:rPr>
              <w:tab/>
            </w:r>
            <w:r w:rsidRPr="006B2DB8">
              <w:rPr>
                <w:rFonts w:ascii="Arial Narrow" w:hAnsi="Arial Narrow"/>
                <w:sz w:val="16"/>
                <w:szCs w:val="16"/>
              </w:rPr>
              <w:t xml:space="preserve">Απόδοση </w:t>
            </w:r>
            <w:r>
              <w:rPr>
                <w:rFonts w:ascii="Arial Narrow" w:hAnsi="Arial Narrow"/>
                <w:sz w:val="16"/>
                <w:szCs w:val="16"/>
              </w:rPr>
              <w:t>στις Περιφέρειες</w:t>
            </w:r>
            <w:r w:rsidRPr="006B2DB8">
              <w:rPr>
                <w:rFonts w:ascii="Arial Narrow" w:hAnsi="Arial Narrow"/>
                <w:sz w:val="16"/>
                <w:szCs w:val="16"/>
              </w:rPr>
              <w:t xml:space="preserve"> ποσοστού επί του φόρου προστιθέμενης αξίας</w:t>
            </w:r>
          </w:p>
        </w:tc>
        <w:tc>
          <w:tcPr>
            <w:tcW w:w="1213" w:type="dxa"/>
            <w:tcBorders>
              <w:top w:val="nil"/>
              <w:left w:val="nil"/>
              <w:bottom w:val="nil"/>
              <w:right w:val="nil"/>
            </w:tcBorders>
            <w:shd w:val="clear" w:color="auto" w:fill="auto"/>
            <w:vAlign w:val="center"/>
          </w:tcPr>
          <w:p w:rsidR="002F39BB" w:rsidRPr="002F39BB" w:rsidRDefault="002F39BB" w:rsidP="002F39BB">
            <w:pPr>
              <w:ind w:right="337"/>
              <w:jc w:val="right"/>
              <w:rPr>
                <w:rFonts w:ascii="Arial Narrow" w:hAnsi="Arial Narrow"/>
                <w:iCs/>
                <w:sz w:val="16"/>
                <w:szCs w:val="16"/>
              </w:rPr>
            </w:pPr>
            <w:r w:rsidRPr="002F39BB">
              <w:rPr>
                <w:rFonts w:ascii="Arial Narrow" w:hAnsi="Arial Narrow"/>
                <w:iCs/>
                <w:sz w:val="16"/>
                <w:szCs w:val="16"/>
              </w:rPr>
              <w:t>353</w:t>
            </w:r>
          </w:p>
        </w:tc>
        <w:tc>
          <w:tcPr>
            <w:tcW w:w="1276" w:type="dxa"/>
            <w:tcBorders>
              <w:top w:val="nil"/>
              <w:left w:val="nil"/>
              <w:bottom w:val="nil"/>
              <w:right w:val="single" w:sz="4" w:space="0" w:color="auto"/>
            </w:tcBorders>
            <w:shd w:val="clear" w:color="auto" w:fill="auto"/>
            <w:vAlign w:val="center"/>
          </w:tcPr>
          <w:p w:rsidR="002F39BB" w:rsidRPr="002F39BB" w:rsidRDefault="002F39BB" w:rsidP="002F39BB">
            <w:pPr>
              <w:ind w:right="337"/>
              <w:jc w:val="right"/>
              <w:rPr>
                <w:rFonts w:ascii="Arial Narrow" w:hAnsi="Arial Narrow"/>
                <w:iCs/>
                <w:sz w:val="16"/>
                <w:szCs w:val="16"/>
              </w:rPr>
            </w:pPr>
            <w:r w:rsidRPr="002F39BB">
              <w:rPr>
                <w:rFonts w:ascii="Arial Narrow" w:hAnsi="Arial Narrow"/>
                <w:iCs/>
                <w:sz w:val="16"/>
                <w:szCs w:val="16"/>
              </w:rPr>
              <w:t>410</w:t>
            </w:r>
          </w:p>
        </w:tc>
      </w:tr>
      <w:tr w:rsidR="002F39BB" w:rsidRPr="006B2DB8" w:rsidTr="007237BB">
        <w:trPr>
          <w:cantSplit/>
          <w:trHeight w:val="340"/>
          <w:jc w:val="center"/>
        </w:trPr>
        <w:tc>
          <w:tcPr>
            <w:tcW w:w="6019" w:type="dxa"/>
            <w:tcBorders>
              <w:top w:val="nil"/>
              <w:left w:val="single" w:sz="4" w:space="0" w:color="auto"/>
              <w:bottom w:val="nil"/>
              <w:right w:val="nil"/>
            </w:tcBorders>
            <w:shd w:val="clear" w:color="auto" w:fill="A6A6A6"/>
          </w:tcPr>
          <w:p w:rsidR="002F39BB" w:rsidRPr="006B2DB8" w:rsidRDefault="002F39BB" w:rsidP="00CB1BDA">
            <w:pPr>
              <w:spacing w:before="20" w:after="20"/>
              <w:ind w:left="258" w:hanging="258"/>
              <w:jc w:val="both"/>
              <w:rPr>
                <w:rFonts w:ascii="Arial Narrow" w:hAnsi="Arial Narrow"/>
                <w:b/>
                <w:sz w:val="16"/>
                <w:szCs w:val="16"/>
              </w:rPr>
            </w:pPr>
            <w:r>
              <w:rPr>
                <w:rFonts w:ascii="Arial Narrow" w:hAnsi="Arial Narrow"/>
                <w:b/>
                <w:sz w:val="16"/>
                <w:szCs w:val="16"/>
              </w:rPr>
              <w:t>Γ.</w:t>
            </w:r>
            <w:r>
              <w:rPr>
                <w:rFonts w:ascii="Arial Narrow" w:hAnsi="Arial Narrow"/>
                <w:b/>
                <w:sz w:val="16"/>
                <w:szCs w:val="16"/>
              </w:rPr>
              <w:tab/>
              <w:t>ΚΑΠ Α΄ και Β΄ βαθμού (Α.Ι + Β.Ι)</w:t>
            </w:r>
          </w:p>
        </w:tc>
        <w:tc>
          <w:tcPr>
            <w:tcW w:w="1213" w:type="dxa"/>
            <w:tcBorders>
              <w:top w:val="nil"/>
              <w:left w:val="nil"/>
              <w:bottom w:val="nil"/>
              <w:right w:val="nil"/>
            </w:tcBorders>
            <w:shd w:val="clear" w:color="auto" w:fill="A6A6A6"/>
            <w:vAlign w:val="center"/>
          </w:tcPr>
          <w:p w:rsidR="002F39BB" w:rsidRPr="002F39BB" w:rsidRDefault="002F39BB" w:rsidP="002F39BB">
            <w:pPr>
              <w:ind w:right="337"/>
              <w:jc w:val="right"/>
              <w:rPr>
                <w:rFonts w:ascii="Arial Narrow" w:hAnsi="Arial Narrow"/>
                <w:b/>
                <w:bCs/>
                <w:sz w:val="16"/>
                <w:szCs w:val="16"/>
              </w:rPr>
            </w:pPr>
            <w:r w:rsidRPr="002F39BB">
              <w:rPr>
                <w:rFonts w:ascii="Arial Narrow" w:hAnsi="Arial Narrow"/>
                <w:b/>
                <w:bCs/>
                <w:sz w:val="16"/>
                <w:szCs w:val="16"/>
              </w:rPr>
              <w:t>2.982</w:t>
            </w:r>
          </w:p>
        </w:tc>
        <w:tc>
          <w:tcPr>
            <w:tcW w:w="1276" w:type="dxa"/>
            <w:tcBorders>
              <w:top w:val="nil"/>
              <w:left w:val="nil"/>
              <w:bottom w:val="nil"/>
              <w:right w:val="single" w:sz="4" w:space="0" w:color="auto"/>
            </w:tcBorders>
            <w:shd w:val="clear" w:color="auto" w:fill="A6A6A6"/>
            <w:vAlign w:val="center"/>
          </w:tcPr>
          <w:p w:rsidR="002F39BB" w:rsidRPr="002F39BB" w:rsidRDefault="002F39BB" w:rsidP="002F39BB">
            <w:pPr>
              <w:ind w:right="337"/>
              <w:jc w:val="right"/>
              <w:rPr>
                <w:rFonts w:ascii="Arial Narrow" w:hAnsi="Arial Narrow"/>
                <w:b/>
                <w:bCs/>
                <w:sz w:val="16"/>
                <w:szCs w:val="16"/>
              </w:rPr>
            </w:pPr>
            <w:r w:rsidRPr="002F39BB">
              <w:rPr>
                <w:rFonts w:ascii="Arial Narrow" w:hAnsi="Arial Narrow"/>
                <w:b/>
                <w:bCs/>
                <w:sz w:val="16"/>
                <w:szCs w:val="16"/>
              </w:rPr>
              <w:t>3.140</w:t>
            </w:r>
          </w:p>
        </w:tc>
      </w:tr>
      <w:tr w:rsidR="002F39BB" w:rsidRPr="006B2DB8" w:rsidTr="007237BB">
        <w:trPr>
          <w:cantSplit/>
          <w:trHeight w:val="340"/>
          <w:jc w:val="center"/>
        </w:trPr>
        <w:tc>
          <w:tcPr>
            <w:tcW w:w="6019" w:type="dxa"/>
            <w:tcBorders>
              <w:top w:val="nil"/>
              <w:left w:val="single" w:sz="4" w:space="0" w:color="auto"/>
              <w:bottom w:val="single" w:sz="4" w:space="0" w:color="auto"/>
              <w:right w:val="nil"/>
            </w:tcBorders>
            <w:shd w:val="clear" w:color="auto" w:fill="A6A6A6"/>
          </w:tcPr>
          <w:p w:rsidR="002F39BB" w:rsidRPr="006B2DB8" w:rsidRDefault="002F39BB" w:rsidP="00CB1BDA">
            <w:pPr>
              <w:spacing w:before="20" w:after="20"/>
              <w:ind w:left="258" w:hanging="258"/>
              <w:jc w:val="both"/>
              <w:rPr>
                <w:rFonts w:ascii="Arial Narrow" w:hAnsi="Arial Narrow"/>
                <w:b/>
                <w:sz w:val="16"/>
                <w:szCs w:val="16"/>
              </w:rPr>
            </w:pPr>
            <w:r>
              <w:rPr>
                <w:rFonts w:ascii="Arial Narrow" w:hAnsi="Arial Narrow"/>
                <w:b/>
                <w:sz w:val="16"/>
                <w:szCs w:val="16"/>
              </w:rPr>
              <w:t>Δ.</w:t>
            </w:r>
            <w:r>
              <w:rPr>
                <w:rFonts w:ascii="Arial Narrow" w:hAnsi="Arial Narrow"/>
                <w:b/>
                <w:sz w:val="16"/>
                <w:szCs w:val="16"/>
              </w:rPr>
              <w:tab/>
              <w:t>Σύνολο μεταβιβάσεων από τον Τακτικό Προϋπολογισμό του Υπ. Εσωτερικών (Α + Β)</w:t>
            </w:r>
          </w:p>
        </w:tc>
        <w:tc>
          <w:tcPr>
            <w:tcW w:w="1213" w:type="dxa"/>
            <w:tcBorders>
              <w:top w:val="nil"/>
              <w:left w:val="nil"/>
              <w:bottom w:val="single" w:sz="4" w:space="0" w:color="auto"/>
              <w:right w:val="nil"/>
            </w:tcBorders>
            <w:shd w:val="clear" w:color="auto" w:fill="A6A6A6"/>
            <w:vAlign w:val="center"/>
          </w:tcPr>
          <w:p w:rsidR="002F39BB" w:rsidRPr="002F39BB" w:rsidRDefault="002F39BB" w:rsidP="002F39BB">
            <w:pPr>
              <w:ind w:right="337"/>
              <w:jc w:val="right"/>
              <w:rPr>
                <w:rFonts w:ascii="Arial Narrow" w:hAnsi="Arial Narrow"/>
                <w:b/>
                <w:bCs/>
                <w:sz w:val="16"/>
                <w:szCs w:val="16"/>
              </w:rPr>
            </w:pPr>
            <w:r w:rsidRPr="002F39BB">
              <w:rPr>
                <w:rFonts w:ascii="Arial Narrow" w:hAnsi="Arial Narrow"/>
                <w:b/>
                <w:bCs/>
                <w:sz w:val="16"/>
                <w:szCs w:val="16"/>
              </w:rPr>
              <w:t>3.004</w:t>
            </w:r>
          </w:p>
        </w:tc>
        <w:tc>
          <w:tcPr>
            <w:tcW w:w="1276" w:type="dxa"/>
            <w:tcBorders>
              <w:top w:val="nil"/>
              <w:left w:val="nil"/>
              <w:bottom w:val="single" w:sz="4" w:space="0" w:color="auto"/>
              <w:right w:val="single" w:sz="4" w:space="0" w:color="auto"/>
            </w:tcBorders>
            <w:shd w:val="clear" w:color="auto" w:fill="A6A6A6"/>
            <w:vAlign w:val="center"/>
          </w:tcPr>
          <w:p w:rsidR="002F39BB" w:rsidRPr="002F39BB" w:rsidRDefault="002F39BB" w:rsidP="002F39BB">
            <w:pPr>
              <w:ind w:right="337"/>
              <w:jc w:val="right"/>
              <w:rPr>
                <w:rFonts w:ascii="Arial Narrow" w:hAnsi="Arial Narrow"/>
                <w:b/>
                <w:bCs/>
                <w:sz w:val="16"/>
                <w:szCs w:val="16"/>
              </w:rPr>
            </w:pPr>
            <w:r w:rsidRPr="002F39BB">
              <w:rPr>
                <w:rFonts w:ascii="Arial Narrow" w:hAnsi="Arial Narrow"/>
                <w:b/>
                <w:bCs/>
                <w:sz w:val="16"/>
                <w:szCs w:val="16"/>
              </w:rPr>
              <w:t>3.179</w:t>
            </w:r>
          </w:p>
        </w:tc>
      </w:tr>
    </w:tbl>
    <w:p w:rsidR="00A11BA3" w:rsidRDefault="00A11BA3" w:rsidP="007C34C9">
      <w:pPr>
        <w:jc w:val="both"/>
        <w:rPr>
          <w:bCs/>
          <w:sz w:val="22"/>
          <w:szCs w:val="22"/>
        </w:rPr>
      </w:pPr>
    </w:p>
    <w:p w:rsidR="00A11BA3" w:rsidRDefault="00A11BA3" w:rsidP="007C34C9">
      <w:pPr>
        <w:jc w:val="both"/>
        <w:rPr>
          <w:bCs/>
          <w:sz w:val="22"/>
          <w:szCs w:val="22"/>
        </w:rPr>
      </w:pPr>
    </w:p>
    <w:p w:rsidR="00A11BA3" w:rsidRDefault="00A11BA3" w:rsidP="007C34C9">
      <w:pPr>
        <w:jc w:val="both"/>
        <w:rPr>
          <w:bCs/>
          <w:sz w:val="22"/>
          <w:szCs w:val="22"/>
        </w:rPr>
      </w:pPr>
    </w:p>
    <w:p w:rsidR="004D29C6" w:rsidRDefault="004D29C6" w:rsidP="007C34C9">
      <w:pPr>
        <w:jc w:val="both"/>
        <w:rPr>
          <w:bCs/>
          <w:sz w:val="22"/>
          <w:szCs w:val="22"/>
        </w:rPr>
      </w:pPr>
    </w:p>
    <w:p w:rsidR="00002F45" w:rsidRPr="006B2DB8" w:rsidRDefault="00002F45" w:rsidP="00002F45">
      <w:pPr>
        <w:jc w:val="both"/>
        <w:rPr>
          <w:rFonts w:ascii="Arial Narrow" w:hAnsi="Arial Narrow"/>
          <w:b/>
          <w:bCs/>
          <w:color w:val="000080"/>
        </w:rPr>
      </w:pPr>
      <w:r>
        <w:rPr>
          <w:rFonts w:ascii="Arial Narrow" w:hAnsi="Arial Narrow"/>
          <w:b/>
          <w:bCs/>
          <w:color w:val="000080"/>
        </w:rPr>
        <w:t>Ενοποιημένος Προϋπολογισμός ΟΤΑ</w:t>
      </w:r>
    </w:p>
    <w:p w:rsidR="00002F45" w:rsidRPr="006B2DB8" w:rsidRDefault="00002F45" w:rsidP="00002F45">
      <w:pPr>
        <w:jc w:val="both"/>
        <w:rPr>
          <w:sz w:val="22"/>
          <w:szCs w:val="22"/>
        </w:rPr>
      </w:pPr>
    </w:p>
    <w:p w:rsidR="00002F45" w:rsidRPr="00002F45" w:rsidRDefault="004D29C6" w:rsidP="00002F45">
      <w:pPr>
        <w:jc w:val="both"/>
        <w:rPr>
          <w:sz w:val="22"/>
          <w:szCs w:val="22"/>
        </w:rPr>
      </w:pPr>
      <w:r>
        <w:rPr>
          <w:sz w:val="22"/>
          <w:szCs w:val="22"/>
        </w:rPr>
        <w:t>Ο ενοποιημένος π</w:t>
      </w:r>
      <w:r w:rsidR="00002F45" w:rsidRPr="00002F45">
        <w:rPr>
          <w:sz w:val="22"/>
          <w:szCs w:val="22"/>
        </w:rPr>
        <w:t>ροϋπο</w:t>
      </w:r>
      <w:bookmarkStart w:id="30" w:name="_GoBack"/>
      <w:r w:rsidR="00002F45" w:rsidRPr="00002F45">
        <w:rPr>
          <w:sz w:val="22"/>
          <w:szCs w:val="22"/>
        </w:rPr>
        <w:t xml:space="preserve">λογισμός των ΟΤΑ περιλαμβάνει τους ΟΤΑ </w:t>
      </w:r>
      <w:r>
        <w:rPr>
          <w:sz w:val="22"/>
          <w:szCs w:val="22"/>
        </w:rPr>
        <w:t>α’ και β’ βαθμού, καθώς και τα νομικά π</w:t>
      </w:r>
      <w:r w:rsidR="00002F45" w:rsidRPr="00002F45">
        <w:rPr>
          <w:sz w:val="22"/>
          <w:szCs w:val="22"/>
        </w:rPr>
        <w:t xml:space="preserve">ρόσωπα αυτών που ανήκουν στους φορείς της Γενικής Κυβέρνησης. Το ισοζύγιο κατά </w:t>
      </w:r>
      <w:r w:rsidR="00002F45" w:rsidRPr="00002F45">
        <w:rPr>
          <w:sz w:val="22"/>
          <w:szCs w:val="22"/>
          <w:lang w:val="en-US"/>
        </w:rPr>
        <w:t>ESA</w:t>
      </w:r>
      <w:r>
        <w:rPr>
          <w:sz w:val="22"/>
          <w:szCs w:val="22"/>
        </w:rPr>
        <w:t xml:space="preserve"> του ενοποιημένου π</w:t>
      </w:r>
      <w:r w:rsidR="00002F45" w:rsidRPr="00002F45">
        <w:rPr>
          <w:sz w:val="22"/>
          <w:szCs w:val="22"/>
        </w:rPr>
        <w:t>ροϋπολογισμού των ΟΤΑ προκύπτει από τον συνυπολογισμό του ταμειακού ισ</w:t>
      </w:r>
      <w:r w:rsidR="00002F45" w:rsidRPr="00002F45">
        <w:rPr>
          <w:sz w:val="22"/>
          <w:szCs w:val="22"/>
        </w:rPr>
        <w:t>ο</w:t>
      </w:r>
      <w:r w:rsidR="00002F45" w:rsidRPr="00002F45">
        <w:rPr>
          <w:sz w:val="22"/>
          <w:szCs w:val="22"/>
        </w:rPr>
        <w:t xml:space="preserve">ζυγίου των </w:t>
      </w:r>
      <w:r>
        <w:rPr>
          <w:sz w:val="22"/>
          <w:szCs w:val="22"/>
        </w:rPr>
        <w:t>Δήμων, των Περιφερειών και των νομικών π</w:t>
      </w:r>
      <w:r w:rsidR="00002F45" w:rsidRPr="00002F45">
        <w:rPr>
          <w:sz w:val="22"/>
          <w:szCs w:val="22"/>
        </w:rPr>
        <w:t>ροσώπων και από την μεταβολή των ανεξ</w:t>
      </w:r>
      <w:r w:rsidR="00002F45" w:rsidRPr="00002F45">
        <w:rPr>
          <w:sz w:val="22"/>
          <w:szCs w:val="22"/>
        </w:rPr>
        <w:t>ό</w:t>
      </w:r>
      <w:r w:rsidR="00002F45" w:rsidRPr="00002F45">
        <w:rPr>
          <w:sz w:val="22"/>
          <w:szCs w:val="22"/>
        </w:rPr>
        <w:t xml:space="preserve">φλητων υποχρεώσεών τους προς τρίτους. </w:t>
      </w:r>
    </w:p>
    <w:p w:rsidR="00002F45" w:rsidRDefault="00002F45" w:rsidP="00002F45">
      <w:pPr>
        <w:jc w:val="both"/>
        <w:rPr>
          <w:sz w:val="22"/>
          <w:szCs w:val="22"/>
        </w:rPr>
      </w:pPr>
    </w:p>
    <w:p w:rsidR="00002F45" w:rsidRPr="00002F45" w:rsidRDefault="00002F45" w:rsidP="00002F45">
      <w:pPr>
        <w:jc w:val="both"/>
        <w:rPr>
          <w:sz w:val="22"/>
          <w:szCs w:val="22"/>
        </w:rPr>
      </w:pPr>
      <w:r w:rsidRPr="00002F45">
        <w:rPr>
          <w:sz w:val="22"/>
          <w:szCs w:val="22"/>
        </w:rPr>
        <w:t xml:space="preserve">Το </w:t>
      </w:r>
      <w:r w:rsidR="004D29C6">
        <w:rPr>
          <w:sz w:val="22"/>
          <w:szCs w:val="22"/>
        </w:rPr>
        <w:t>ταμειακό ισοζύγιο του ενοποιημένου π</w:t>
      </w:r>
      <w:r w:rsidRPr="00002F45">
        <w:rPr>
          <w:sz w:val="22"/>
          <w:szCs w:val="22"/>
        </w:rPr>
        <w:t>ροϋπολογισμού των ΟΤΑ διαρθρώνεται σε έσοδα και έξ</w:t>
      </w:r>
      <w:r w:rsidRPr="00002F45">
        <w:rPr>
          <w:sz w:val="22"/>
          <w:szCs w:val="22"/>
        </w:rPr>
        <w:t>ο</w:t>
      </w:r>
      <w:r w:rsidRPr="00002F45">
        <w:rPr>
          <w:sz w:val="22"/>
          <w:szCs w:val="22"/>
        </w:rPr>
        <w:t xml:space="preserve">δα. Τα έσοδα διακρίνονται σε τακτικά και έκτακτα, εκ των οποίων τις κυριότερες πηγές αποτελούν οι Κεντρικοί Αυτοτελείς Πόροι (ΚΑΠ), οι οποίοι αποδίδονται μέσω του Τακτικού Προϋπολογισμού του Υπουργείου Εσωτερικών, οι επιχορηγήσεις του Προγράμματος Δημοσίων Επενδύσεων (ΠΔΕ) και τα λοιπά ίδια έσοδα. Αντίστοιχα, τα έξοδα διακρίνονται σε αμοιβές προσωπικού, προνοιακά επιδόματα, δαπάνες για επενδύσεις και λοιπές δαπάνες. </w:t>
      </w:r>
    </w:p>
    <w:p w:rsidR="00002F45" w:rsidRPr="00301426" w:rsidRDefault="00002F45" w:rsidP="00002F45">
      <w:pPr>
        <w:jc w:val="both"/>
        <w:rPr>
          <w:b/>
          <w:bCs/>
          <w:sz w:val="22"/>
          <w:szCs w:val="22"/>
        </w:rPr>
      </w:pPr>
    </w:p>
    <w:p w:rsidR="00002F45" w:rsidRPr="008F0AC8" w:rsidRDefault="00002F45" w:rsidP="00002F45">
      <w:pPr>
        <w:jc w:val="both"/>
        <w:rPr>
          <w:rFonts w:ascii="Arial Narrow" w:hAnsi="Arial Narrow"/>
          <w:b/>
          <w:bCs/>
          <w:sz w:val="22"/>
          <w:szCs w:val="22"/>
        </w:rPr>
      </w:pPr>
      <w:r>
        <w:rPr>
          <w:rFonts w:ascii="Arial Narrow" w:hAnsi="Arial Narrow"/>
          <w:b/>
          <w:bCs/>
          <w:sz w:val="22"/>
          <w:szCs w:val="22"/>
        </w:rPr>
        <w:t>Εκτιμήσεις 2017</w:t>
      </w:r>
      <w:r w:rsidRPr="008F0AC8">
        <w:rPr>
          <w:rFonts w:ascii="Arial Narrow" w:hAnsi="Arial Narrow"/>
          <w:b/>
          <w:bCs/>
          <w:sz w:val="22"/>
          <w:szCs w:val="22"/>
        </w:rPr>
        <w:t xml:space="preserve"> </w:t>
      </w:r>
    </w:p>
    <w:p w:rsidR="002E1B83" w:rsidRDefault="002E1B83">
      <w:pPr>
        <w:rPr>
          <w:bCs/>
          <w:sz w:val="22"/>
          <w:szCs w:val="22"/>
        </w:rPr>
      </w:pPr>
    </w:p>
    <w:p w:rsidR="002E1B83" w:rsidRPr="002E1B83" w:rsidRDefault="00E34F74" w:rsidP="002E1B83">
      <w:pPr>
        <w:jc w:val="both"/>
        <w:rPr>
          <w:bCs/>
          <w:sz w:val="22"/>
          <w:szCs w:val="22"/>
        </w:rPr>
      </w:pPr>
      <w:r>
        <w:rPr>
          <w:bCs/>
          <w:sz w:val="22"/>
          <w:szCs w:val="22"/>
        </w:rPr>
        <w:t>Τ</w:t>
      </w:r>
      <w:r w:rsidR="002E1B83" w:rsidRPr="002E1B83">
        <w:rPr>
          <w:bCs/>
          <w:sz w:val="22"/>
          <w:szCs w:val="22"/>
        </w:rPr>
        <w:t>ο</w:t>
      </w:r>
      <w:r w:rsidR="002E1B83">
        <w:rPr>
          <w:bCs/>
          <w:sz w:val="22"/>
          <w:szCs w:val="22"/>
        </w:rPr>
        <w:t xml:space="preserve"> ι</w:t>
      </w:r>
      <w:r w:rsidR="002E1B83" w:rsidRPr="002E1B83">
        <w:rPr>
          <w:bCs/>
          <w:sz w:val="22"/>
          <w:szCs w:val="22"/>
        </w:rPr>
        <w:t xml:space="preserve">σοζύγιο </w:t>
      </w:r>
      <w:r w:rsidR="004D29C6">
        <w:rPr>
          <w:bCs/>
          <w:sz w:val="22"/>
          <w:szCs w:val="22"/>
        </w:rPr>
        <w:t>του ενοποιημένου π</w:t>
      </w:r>
      <w:r w:rsidR="002E1B83" w:rsidRPr="002E1B83">
        <w:rPr>
          <w:bCs/>
          <w:sz w:val="22"/>
          <w:szCs w:val="22"/>
        </w:rPr>
        <w:t>ροϋπολογισμού των ΟΤΑ</w:t>
      </w:r>
      <w:r>
        <w:rPr>
          <w:bCs/>
          <w:sz w:val="22"/>
          <w:szCs w:val="22"/>
        </w:rPr>
        <w:t>,</w:t>
      </w:r>
      <w:r w:rsidR="002E1B83" w:rsidRPr="002E1B83">
        <w:rPr>
          <w:bCs/>
          <w:sz w:val="22"/>
          <w:szCs w:val="22"/>
        </w:rPr>
        <w:t xml:space="preserve"> </w:t>
      </w:r>
      <w:r>
        <w:rPr>
          <w:bCs/>
          <w:sz w:val="22"/>
          <w:szCs w:val="22"/>
        </w:rPr>
        <w:t xml:space="preserve">σε δημοσιονομική βάση, </w:t>
      </w:r>
      <w:r w:rsidR="002E1B83" w:rsidRPr="002E1B83">
        <w:rPr>
          <w:bCs/>
          <w:sz w:val="22"/>
          <w:szCs w:val="22"/>
        </w:rPr>
        <w:t>σύμφωνα με τις εκτιμήσεις</w:t>
      </w:r>
      <w:r>
        <w:rPr>
          <w:bCs/>
          <w:sz w:val="22"/>
          <w:szCs w:val="22"/>
        </w:rPr>
        <w:t>,</w:t>
      </w:r>
      <w:r w:rsidR="002E1B83" w:rsidRPr="002E1B83">
        <w:rPr>
          <w:bCs/>
          <w:sz w:val="22"/>
          <w:szCs w:val="22"/>
        </w:rPr>
        <w:t xml:space="preserve"> αναμένεται να διαμορφωθεί στα 171 εκατ. ευρώ, μειωμένο κατά 29 εκατ. ευρώ σε σχέση με </w:t>
      </w:r>
      <w:r w:rsidR="004D29C6">
        <w:rPr>
          <w:bCs/>
          <w:sz w:val="22"/>
          <w:szCs w:val="22"/>
        </w:rPr>
        <w:t>το στόχο του</w:t>
      </w:r>
      <w:r w:rsidR="002E1B83" w:rsidRPr="002E1B83">
        <w:rPr>
          <w:bCs/>
          <w:sz w:val="22"/>
          <w:szCs w:val="22"/>
        </w:rPr>
        <w:t xml:space="preserve"> ΜΠΔΣ 2018-2021. Η μείωση αυτή οφείλεται κυρίως </w:t>
      </w:r>
      <w:r w:rsidR="003237FC">
        <w:rPr>
          <w:bCs/>
          <w:sz w:val="22"/>
          <w:szCs w:val="22"/>
        </w:rPr>
        <w:t xml:space="preserve">στα μειωμένα λοιπά έσοδα, </w:t>
      </w:r>
      <w:r w:rsidR="00412E61">
        <w:rPr>
          <w:bCs/>
          <w:sz w:val="22"/>
          <w:szCs w:val="22"/>
        </w:rPr>
        <w:t>σ</w:t>
      </w:r>
      <w:r w:rsidR="003237FC">
        <w:rPr>
          <w:bCs/>
          <w:sz w:val="22"/>
          <w:szCs w:val="22"/>
        </w:rPr>
        <w:t>τις αυξημένες αμοιβές προσωπικού και τις λοιπές δαπάνες. Θα πρέπει να επισημανθεί επίσης ότι υπήρξε ένταξη νέων νομικών προσώπων στο Μητρώο Φορέων Γενικής Κυβέρνησης από την ΕΛΣΤΑΤ στο 2017, γεγονός που επηρεάζει το αποτέλεσμα, ειδικά ως προς τις αμοιβές.</w:t>
      </w:r>
      <w:r w:rsidR="008967F1">
        <w:rPr>
          <w:bCs/>
          <w:sz w:val="22"/>
          <w:szCs w:val="22"/>
        </w:rPr>
        <w:t xml:space="preserve"> </w:t>
      </w:r>
    </w:p>
    <w:p w:rsidR="0086304C" w:rsidRDefault="0086304C">
      <w:pPr>
        <w:rPr>
          <w:bCs/>
          <w:sz w:val="22"/>
          <w:szCs w:val="22"/>
        </w:rPr>
      </w:pPr>
    </w:p>
    <w:p w:rsidR="0086304C" w:rsidRDefault="0086304C" w:rsidP="0086304C">
      <w:pPr>
        <w:jc w:val="both"/>
        <w:rPr>
          <w:rFonts w:ascii="Arial Narrow" w:hAnsi="Arial Narrow"/>
          <w:b/>
          <w:bCs/>
          <w:sz w:val="22"/>
          <w:szCs w:val="22"/>
        </w:rPr>
      </w:pPr>
      <w:r>
        <w:rPr>
          <w:rFonts w:ascii="Arial Narrow" w:hAnsi="Arial Narrow"/>
          <w:b/>
          <w:bCs/>
          <w:sz w:val="22"/>
          <w:szCs w:val="22"/>
        </w:rPr>
        <w:t>Προβλέψεις 2018</w:t>
      </w:r>
    </w:p>
    <w:p w:rsidR="0086304C" w:rsidRDefault="0086304C" w:rsidP="0086304C">
      <w:pPr>
        <w:jc w:val="both"/>
        <w:rPr>
          <w:bCs/>
          <w:sz w:val="22"/>
          <w:szCs w:val="22"/>
        </w:rPr>
      </w:pPr>
    </w:p>
    <w:p w:rsidR="0086304C" w:rsidRDefault="0086304C" w:rsidP="0086304C">
      <w:pPr>
        <w:jc w:val="both"/>
        <w:rPr>
          <w:bCs/>
          <w:sz w:val="22"/>
          <w:szCs w:val="22"/>
        </w:rPr>
      </w:pPr>
      <w:r w:rsidRPr="0086304C">
        <w:rPr>
          <w:bCs/>
          <w:sz w:val="22"/>
          <w:szCs w:val="22"/>
        </w:rPr>
        <w:t>Το ισοζύγιο</w:t>
      </w:r>
      <w:r w:rsidR="000D6FF5">
        <w:rPr>
          <w:bCs/>
          <w:sz w:val="22"/>
          <w:szCs w:val="22"/>
        </w:rPr>
        <w:t>, σε δημοσιονομική βάση,</w:t>
      </w:r>
      <w:r w:rsidRPr="0086304C">
        <w:rPr>
          <w:bCs/>
          <w:sz w:val="22"/>
          <w:szCs w:val="22"/>
        </w:rPr>
        <w:t xml:space="preserve"> του ενοποιημένου προϋπολογισμού των ΟΤΑ </w:t>
      </w:r>
      <w:r w:rsidR="000D6FF5">
        <w:rPr>
          <w:bCs/>
          <w:sz w:val="22"/>
          <w:szCs w:val="22"/>
        </w:rPr>
        <w:t>προβλέπεται</w:t>
      </w:r>
      <w:r w:rsidRPr="0086304C">
        <w:rPr>
          <w:bCs/>
          <w:sz w:val="22"/>
          <w:szCs w:val="22"/>
        </w:rPr>
        <w:t xml:space="preserve"> να διαμορφωθεί στα 342 εκατ. ευρώ το 2018</w:t>
      </w:r>
      <w:r w:rsidR="000D6FF5">
        <w:rPr>
          <w:bCs/>
          <w:sz w:val="22"/>
          <w:szCs w:val="22"/>
        </w:rPr>
        <w:t>,</w:t>
      </w:r>
      <w:r w:rsidR="00392557">
        <w:rPr>
          <w:bCs/>
          <w:sz w:val="22"/>
          <w:szCs w:val="22"/>
        </w:rPr>
        <w:t xml:space="preserve"> μειωμένο κατά 56</w:t>
      </w:r>
      <w:r w:rsidRPr="0086304C">
        <w:rPr>
          <w:bCs/>
          <w:sz w:val="22"/>
          <w:szCs w:val="22"/>
        </w:rPr>
        <w:t xml:space="preserve"> εκατ. ευρώ σε σχέση με τ</w:t>
      </w:r>
      <w:r w:rsidR="000D6FF5">
        <w:rPr>
          <w:bCs/>
          <w:sz w:val="22"/>
          <w:szCs w:val="22"/>
        </w:rPr>
        <w:t>ο</w:t>
      </w:r>
      <w:r w:rsidRPr="0086304C">
        <w:rPr>
          <w:bCs/>
          <w:sz w:val="22"/>
          <w:szCs w:val="22"/>
        </w:rPr>
        <w:t xml:space="preserve"> ΜΠΔΣ 2018-2021.</w:t>
      </w:r>
      <w:r w:rsidR="008967F1">
        <w:rPr>
          <w:bCs/>
          <w:sz w:val="22"/>
          <w:szCs w:val="22"/>
        </w:rPr>
        <w:t xml:space="preserve"> </w:t>
      </w:r>
      <w:r w:rsidRPr="0086304C">
        <w:rPr>
          <w:bCs/>
          <w:sz w:val="22"/>
          <w:szCs w:val="22"/>
        </w:rPr>
        <w:t xml:space="preserve">Η μείωση αυτή οφείλεται κυρίως στις μειωμένες μεταβιβάσεις </w:t>
      </w:r>
      <w:r w:rsidR="00646E12">
        <w:rPr>
          <w:bCs/>
          <w:sz w:val="22"/>
          <w:szCs w:val="22"/>
        </w:rPr>
        <w:t>από τον Τακτικό Προϋπολογ</w:t>
      </w:r>
      <w:r w:rsidR="00646E12">
        <w:rPr>
          <w:bCs/>
          <w:sz w:val="22"/>
          <w:szCs w:val="22"/>
        </w:rPr>
        <w:t>ι</w:t>
      </w:r>
      <w:r w:rsidR="00646E12">
        <w:rPr>
          <w:bCs/>
          <w:sz w:val="22"/>
          <w:szCs w:val="22"/>
        </w:rPr>
        <w:t>σμό, στα μειωμένα λοιπά έσοδα και στις αυξημένες αμοιβές προσωπικού</w:t>
      </w:r>
      <w:r w:rsidR="00412E61">
        <w:rPr>
          <w:bCs/>
          <w:sz w:val="22"/>
          <w:szCs w:val="22"/>
        </w:rPr>
        <w:t>,</w:t>
      </w:r>
      <w:r w:rsidR="00646E12">
        <w:rPr>
          <w:bCs/>
          <w:sz w:val="22"/>
          <w:szCs w:val="22"/>
        </w:rPr>
        <w:t xml:space="preserve">  λόγω των νέων προσλήψ</w:t>
      </w:r>
      <w:r w:rsidR="00646E12">
        <w:rPr>
          <w:bCs/>
          <w:sz w:val="22"/>
          <w:szCs w:val="22"/>
        </w:rPr>
        <w:t>ε</w:t>
      </w:r>
      <w:r w:rsidR="00646E12">
        <w:rPr>
          <w:bCs/>
          <w:sz w:val="22"/>
          <w:szCs w:val="22"/>
        </w:rPr>
        <w:t>ων, του κόστους μισθοδοσίας του προσωπικού καθαριότητας των σχολικών μονάδων, καθώς και της ένταξης νομικών προσώπων των ΟΤΑ στο μητρώο φορέων Γενικής Κυβέρνησης.</w:t>
      </w:r>
    </w:p>
    <w:p w:rsidR="000D6FF5" w:rsidRDefault="000D6FF5" w:rsidP="0086304C">
      <w:pPr>
        <w:jc w:val="both"/>
        <w:rPr>
          <w:bCs/>
          <w:sz w:val="22"/>
          <w:szCs w:val="22"/>
        </w:rPr>
      </w:pPr>
    </w:p>
    <w:p w:rsidR="000D6FF5" w:rsidRPr="0086304C" w:rsidRDefault="000D6FF5" w:rsidP="0086304C">
      <w:pPr>
        <w:jc w:val="both"/>
        <w:rPr>
          <w:bCs/>
          <w:sz w:val="22"/>
          <w:szCs w:val="22"/>
        </w:rPr>
      </w:pPr>
    </w:p>
    <w:p w:rsidR="0086304C" w:rsidRDefault="0086304C" w:rsidP="0086304C">
      <w:pPr>
        <w:jc w:val="both"/>
        <w:rPr>
          <w:rFonts w:ascii="Arial Narrow" w:hAnsi="Arial Narrow"/>
          <w:b/>
          <w:bCs/>
          <w:sz w:val="22"/>
          <w:szCs w:val="22"/>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5957"/>
        <w:gridCol w:w="1213"/>
        <w:gridCol w:w="1276"/>
      </w:tblGrid>
      <w:tr w:rsidR="008B79B5" w:rsidRPr="006B2DB8" w:rsidTr="00BE3746">
        <w:trPr>
          <w:cantSplit/>
          <w:jc w:val="center"/>
        </w:trPr>
        <w:tc>
          <w:tcPr>
            <w:tcW w:w="8446" w:type="dxa"/>
            <w:gridSpan w:val="3"/>
            <w:tcBorders>
              <w:top w:val="single" w:sz="6" w:space="0" w:color="auto"/>
              <w:left w:val="single" w:sz="4" w:space="0" w:color="auto"/>
              <w:bottom w:val="nil"/>
              <w:right w:val="single" w:sz="6" w:space="0" w:color="auto"/>
            </w:tcBorders>
            <w:shd w:val="clear" w:color="auto" w:fill="404040" w:themeFill="text1" w:themeFillTint="BF"/>
            <w:vAlign w:val="center"/>
          </w:tcPr>
          <w:p w:rsidR="008B79B5" w:rsidRPr="00301426" w:rsidRDefault="00446090" w:rsidP="008B79B5">
            <w:pPr>
              <w:spacing w:before="20"/>
              <w:jc w:val="center"/>
              <w:rPr>
                <w:rFonts w:ascii="Arial Narrow" w:hAnsi="Arial Narrow"/>
                <w:b/>
                <w:color w:val="FFFFFF"/>
              </w:rPr>
            </w:pPr>
            <w:r>
              <w:rPr>
                <w:rFonts w:ascii="Arial Narrow" w:hAnsi="Arial Narrow"/>
                <w:b/>
                <w:color w:val="FFFFFF" w:themeColor="background1"/>
              </w:rPr>
              <w:t>Πίνακας 3.24</w:t>
            </w:r>
            <w:r w:rsidR="008B79B5" w:rsidRPr="006B2DB8">
              <w:rPr>
                <w:rFonts w:ascii="Arial Narrow" w:hAnsi="Arial Narrow"/>
                <w:b/>
                <w:color w:val="FFFFFF" w:themeColor="background1"/>
              </w:rPr>
              <w:t xml:space="preserve"> </w:t>
            </w:r>
            <w:r w:rsidR="008B79B5">
              <w:rPr>
                <w:rFonts w:ascii="Arial Narrow" w:hAnsi="Arial Narrow"/>
                <w:b/>
                <w:color w:val="FFFFFF" w:themeColor="background1"/>
              </w:rPr>
              <w:t>Μεταβιβάσεις από τον Τακτικό Προϋπολογ</w:t>
            </w:r>
            <w:bookmarkEnd w:id="30"/>
            <w:r w:rsidR="008B79B5">
              <w:rPr>
                <w:rFonts w:ascii="Arial Narrow" w:hAnsi="Arial Narrow"/>
                <w:b/>
                <w:color w:val="FFFFFF" w:themeColor="background1"/>
              </w:rPr>
              <w:t>ισμό στους ΟΤΑ</w:t>
            </w:r>
          </w:p>
          <w:p w:rsidR="008B79B5" w:rsidRPr="006B2DB8" w:rsidRDefault="008B79B5" w:rsidP="003625C5">
            <w:pPr>
              <w:jc w:val="center"/>
              <w:rPr>
                <w:rFonts w:ascii="Arial Narrow" w:hAnsi="Arial Narrow"/>
                <w:b/>
                <w:color w:val="FFFFFF"/>
              </w:rPr>
            </w:pPr>
            <w:r w:rsidRPr="006B2DB8">
              <w:rPr>
                <w:rFonts w:ascii="Arial Narrow" w:hAnsi="Arial Narrow"/>
                <w:b/>
                <w:color w:val="FFFFFF"/>
              </w:rPr>
              <w:t>(σε εκατ. ευρώ)</w:t>
            </w:r>
          </w:p>
        </w:tc>
      </w:tr>
      <w:tr w:rsidR="008B79B5" w:rsidRPr="006B2DB8" w:rsidTr="00BE3746">
        <w:trPr>
          <w:cantSplit/>
          <w:jc w:val="center"/>
        </w:trPr>
        <w:tc>
          <w:tcPr>
            <w:tcW w:w="8446" w:type="dxa"/>
            <w:gridSpan w:val="3"/>
            <w:tcBorders>
              <w:top w:val="nil"/>
              <w:left w:val="single" w:sz="4" w:space="0" w:color="auto"/>
              <w:bottom w:val="single" w:sz="4" w:space="0" w:color="auto"/>
              <w:right w:val="single" w:sz="6" w:space="0" w:color="auto"/>
            </w:tcBorders>
            <w:shd w:val="clear" w:color="auto" w:fill="auto"/>
            <w:vAlign w:val="center"/>
          </w:tcPr>
          <w:p w:rsidR="008B79B5" w:rsidRPr="006B2DB8" w:rsidRDefault="008B79B5" w:rsidP="003625C5">
            <w:pPr>
              <w:jc w:val="both"/>
              <w:rPr>
                <w:rFonts w:ascii="Arial Narrow" w:hAnsi="Arial Narrow"/>
                <w:b/>
                <w:sz w:val="12"/>
                <w:szCs w:val="16"/>
              </w:rPr>
            </w:pPr>
          </w:p>
        </w:tc>
      </w:tr>
      <w:tr w:rsidR="008B79B5" w:rsidRPr="006B2DB8" w:rsidTr="00BE3746">
        <w:trPr>
          <w:cantSplit/>
          <w:jc w:val="center"/>
        </w:trPr>
        <w:tc>
          <w:tcPr>
            <w:tcW w:w="5957" w:type="dxa"/>
            <w:vMerge w:val="restart"/>
            <w:tcBorders>
              <w:top w:val="single" w:sz="4" w:space="0" w:color="auto"/>
              <w:left w:val="single" w:sz="4" w:space="0" w:color="auto"/>
              <w:bottom w:val="nil"/>
              <w:right w:val="single" w:sz="4" w:space="0" w:color="auto"/>
            </w:tcBorders>
            <w:shd w:val="clear" w:color="auto" w:fill="auto"/>
            <w:vAlign w:val="center"/>
          </w:tcPr>
          <w:p w:rsidR="008B79B5" w:rsidRPr="006B2DB8" w:rsidRDefault="008B79B5" w:rsidP="003625C5">
            <w:pPr>
              <w:spacing w:before="20" w:after="20"/>
              <w:jc w:val="center"/>
              <w:rPr>
                <w:rFonts w:ascii="Arial Narrow" w:hAnsi="Arial Narrow"/>
                <w:b/>
                <w:sz w:val="16"/>
                <w:szCs w:val="16"/>
              </w:rPr>
            </w:pPr>
            <w:r w:rsidRPr="006B2DB8">
              <w:rPr>
                <w:rFonts w:ascii="Arial Narrow" w:hAnsi="Arial Narrow"/>
                <w:b/>
                <w:sz w:val="16"/>
                <w:szCs w:val="16"/>
              </w:rPr>
              <w:t>Κατηγορία</w:t>
            </w:r>
          </w:p>
        </w:tc>
        <w:tc>
          <w:tcPr>
            <w:tcW w:w="1213" w:type="dxa"/>
            <w:tcBorders>
              <w:top w:val="single" w:sz="4" w:space="0" w:color="auto"/>
              <w:left w:val="nil"/>
              <w:bottom w:val="single" w:sz="4" w:space="0" w:color="auto"/>
              <w:right w:val="nil"/>
            </w:tcBorders>
            <w:shd w:val="clear" w:color="auto" w:fill="auto"/>
          </w:tcPr>
          <w:p w:rsidR="008B79B5" w:rsidRPr="006B2DB8" w:rsidRDefault="008B79B5" w:rsidP="003625C5">
            <w:pPr>
              <w:spacing w:before="20" w:after="20"/>
              <w:jc w:val="center"/>
              <w:rPr>
                <w:rFonts w:ascii="Arial Narrow" w:hAnsi="Arial Narrow"/>
                <w:b/>
                <w:sz w:val="16"/>
                <w:szCs w:val="16"/>
              </w:rPr>
            </w:pPr>
            <w:r>
              <w:rPr>
                <w:rFonts w:ascii="Arial Narrow" w:hAnsi="Arial Narrow"/>
                <w:b/>
                <w:sz w:val="16"/>
                <w:szCs w:val="16"/>
              </w:rPr>
              <w:t>2017</w:t>
            </w:r>
          </w:p>
        </w:tc>
        <w:tc>
          <w:tcPr>
            <w:tcW w:w="1276" w:type="dxa"/>
            <w:tcBorders>
              <w:top w:val="single" w:sz="4" w:space="0" w:color="auto"/>
              <w:left w:val="nil"/>
              <w:bottom w:val="single" w:sz="4" w:space="0" w:color="auto"/>
              <w:right w:val="single" w:sz="4" w:space="0" w:color="auto"/>
            </w:tcBorders>
            <w:shd w:val="clear" w:color="auto" w:fill="auto"/>
          </w:tcPr>
          <w:p w:rsidR="008B79B5" w:rsidRPr="006B2DB8" w:rsidRDefault="008B79B5" w:rsidP="003625C5">
            <w:pPr>
              <w:spacing w:before="20" w:after="20"/>
              <w:jc w:val="center"/>
              <w:rPr>
                <w:rFonts w:ascii="Arial Narrow" w:hAnsi="Arial Narrow"/>
                <w:b/>
                <w:sz w:val="16"/>
                <w:szCs w:val="16"/>
              </w:rPr>
            </w:pPr>
            <w:r>
              <w:rPr>
                <w:rFonts w:ascii="Arial Narrow" w:hAnsi="Arial Narrow"/>
                <w:b/>
                <w:sz w:val="16"/>
                <w:szCs w:val="16"/>
              </w:rPr>
              <w:t>2018</w:t>
            </w:r>
          </w:p>
        </w:tc>
      </w:tr>
      <w:tr w:rsidR="008B79B5" w:rsidRPr="006B2DB8" w:rsidTr="00BE3746">
        <w:trPr>
          <w:cantSplit/>
          <w:jc w:val="center"/>
        </w:trPr>
        <w:tc>
          <w:tcPr>
            <w:tcW w:w="5957" w:type="dxa"/>
            <w:vMerge/>
            <w:tcBorders>
              <w:top w:val="nil"/>
              <w:left w:val="single" w:sz="4" w:space="0" w:color="auto"/>
              <w:bottom w:val="single" w:sz="4" w:space="0" w:color="auto"/>
              <w:right w:val="single" w:sz="4" w:space="0" w:color="auto"/>
            </w:tcBorders>
            <w:shd w:val="clear" w:color="auto" w:fill="auto"/>
            <w:vAlign w:val="center"/>
          </w:tcPr>
          <w:p w:rsidR="008B79B5" w:rsidRPr="006B2DB8" w:rsidRDefault="008B79B5" w:rsidP="003625C5">
            <w:pPr>
              <w:spacing w:before="20" w:after="20"/>
              <w:jc w:val="center"/>
              <w:rPr>
                <w:rFonts w:ascii="Arial Narrow" w:hAnsi="Arial Narrow"/>
                <w:b/>
                <w:sz w:val="16"/>
                <w:szCs w:val="16"/>
              </w:rPr>
            </w:pPr>
          </w:p>
        </w:tc>
        <w:tc>
          <w:tcPr>
            <w:tcW w:w="1213" w:type="dxa"/>
            <w:tcBorders>
              <w:top w:val="nil"/>
              <w:left w:val="nil"/>
              <w:bottom w:val="single" w:sz="4" w:space="0" w:color="auto"/>
              <w:right w:val="nil"/>
            </w:tcBorders>
            <w:shd w:val="clear" w:color="auto" w:fill="auto"/>
            <w:vAlign w:val="center"/>
          </w:tcPr>
          <w:p w:rsidR="008B79B5" w:rsidRPr="006B2DB8" w:rsidRDefault="008B79B5" w:rsidP="003625C5">
            <w:pPr>
              <w:spacing w:before="20" w:after="20"/>
              <w:jc w:val="center"/>
              <w:rPr>
                <w:rFonts w:ascii="Arial Narrow" w:hAnsi="Arial Narrow"/>
                <w:b/>
                <w:sz w:val="16"/>
                <w:szCs w:val="16"/>
              </w:rPr>
            </w:pPr>
            <w:r w:rsidRPr="006B2DB8">
              <w:rPr>
                <w:rFonts w:ascii="Arial Narrow" w:hAnsi="Arial Narrow"/>
                <w:b/>
                <w:sz w:val="16"/>
                <w:szCs w:val="16"/>
              </w:rPr>
              <w:t>Εκτιμήσεις</w:t>
            </w:r>
          </w:p>
        </w:tc>
        <w:tc>
          <w:tcPr>
            <w:tcW w:w="1276" w:type="dxa"/>
            <w:tcBorders>
              <w:top w:val="nil"/>
              <w:left w:val="nil"/>
              <w:bottom w:val="single" w:sz="4" w:space="0" w:color="auto"/>
              <w:right w:val="single" w:sz="4" w:space="0" w:color="auto"/>
            </w:tcBorders>
            <w:shd w:val="clear" w:color="auto" w:fill="auto"/>
            <w:vAlign w:val="center"/>
          </w:tcPr>
          <w:p w:rsidR="008B79B5" w:rsidRPr="006B2DB8" w:rsidRDefault="008B79B5" w:rsidP="003625C5">
            <w:pPr>
              <w:spacing w:before="20" w:after="20"/>
              <w:jc w:val="center"/>
              <w:rPr>
                <w:rFonts w:ascii="Arial Narrow" w:hAnsi="Arial Narrow"/>
                <w:b/>
                <w:sz w:val="16"/>
                <w:szCs w:val="16"/>
              </w:rPr>
            </w:pPr>
            <w:r w:rsidRPr="006B2DB8">
              <w:rPr>
                <w:rFonts w:ascii="Arial Narrow" w:hAnsi="Arial Narrow"/>
                <w:b/>
                <w:sz w:val="16"/>
                <w:szCs w:val="16"/>
              </w:rPr>
              <w:t>Προβλέψεις</w:t>
            </w:r>
          </w:p>
        </w:tc>
      </w:tr>
      <w:tr w:rsidR="008B79B5" w:rsidRPr="006B2DB8" w:rsidTr="00BE3746">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single" w:sz="4" w:space="0" w:color="auto"/>
              <w:left w:val="single" w:sz="4" w:space="0" w:color="auto"/>
              <w:bottom w:val="nil"/>
              <w:right w:val="nil"/>
            </w:tcBorders>
            <w:shd w:val="clear" w:color="auto" w:fill="auto"/>
          </w:tcPr>
          <w:p w:rsidR="008B79B5" w:rsidRPr="006B2DB8" w:rsidRDefault="008B79B5" w:rsidP="003625C5">
            <w:pPr>
              <w:spacing w:before="20" w:after="20"/>
              <w:jc w:val="both"/>
              <w:rPr>
                <w:rFonts w:ascii="Arial Narrow" w:hAnsi="Arial Narrow"/>
                <w:b/>
                <w:sz w:val="12"/>
                <w:szCs w:val="16"/>
              </w:rPr>
            </w:pPr>
          </w:p>
        </w:tc>
        <w:tc>
          <w:tcPr>
            <w:tcW w:w="1213" w:type="dxa"/>
            <w:tcBorders>
              <w:top w:val="single" w:sz="4" w:space="0" w:color="auto"/>
              <w:left w:val="nil"/>
              <w:bottom w:val="nil"/>
              <w:right w:val="nil"/>
            </w:tcBorders>
            <w:shd w:val="clear" w:color="auto" w:fill="auto"/>
          </w:tcPr>
          <w:p w:rsidR="008B79B5" w:rsidRPr="006B2DB8" w:rsidRDefault="008B79B5" w:rsidP="003625C5">
            <w:pPr>
              <w:tabs>
                <w:tab w:val="decimal" w:pos="1232"/>
              </w:tabs>
              <w:spacing w:before="20" w:after="20"/>
              <w:jc w:val="both"/>
              <w:rPr>
                <w:rFonts w:ascii="Arial Narrow" w:hAnsi="Arial Narrow"/>
                <w:sz w:val="12"/>
                <w:szCs w:val="16"/>
              </w:rPr>
            </w:pPr>
          </w:p>
        </w:tc>
        <w:tc>
          <w:tcPr>
            <w:tcW w:w="1276" w:type="dxa"/>
            <w:tcBorders>
              <w:top w:val="single" w:sz="4" w:space="0" w:color="auto"/>
              <w:left w:val="nil"/>
              <w:bottom w:val="nil"/>
              <w:right w:val="single" w:sz="4" w:space="0" w:color="auto"/>
            </w:tcBorders>
            <w:shd w:val="clear" w:color="auto" w:fill="auto"/>
          </w:tcPr>
          <w:p w:rsidR="008B79B5" w:rsidRPr="006B2DB8" w:rsidRDefault="008B79B5" w:rsidP="003625C5">
            <w:pPr>
              <w:tabs>
                <w:tab w:val="decimal" w:pos="1232"/>
              </w:tabs>
              <w:spacing w:before="20" w:after="20"/>
              <w:jc w:val="both"/>
              <w:rPr>
                <w:rFonts w:ascii="Arial Narrow" w:hAnsi="Arial Narrow"/>
                <w:sz w:val="12"/>
                <w:szCs w:val="16"/>
              </w:rPr>
            </w:pPr>
          </w:p>
        </w:tc>
      </w:tr>
      <w:tr w:rsidR="004370E6" w:rsidRPr="006B2DB8" w:rsidTr="00BE3746">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6A6A6"/>
          </w:tcPr>
          <w:p w:rsidR="004370E6" w:rsidRPr="00301426" w:rsidRDefault="004370E6" w:rsidP="008B79B5">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Pr>
                <w:rFonts w:ascii="Arial Narrow" w:hAnsi="Arial Narrow"/>
                <w:b/>
                <w:sz w:val="16"/>
                <w:szCs w:val="16"/>
                <w:lang w:val="en-GB"/>
              </w:rPr>
              <w:t>I</w:t>
            </w:r>
            <w:r w:rsidRPr="00301426">
              <w:rPr>
                <w:rFonts w:ascii="Arial Narrow" w:hAnsi="Arial Narrow"/>
                <w:b/>
                <w:sz w:val="16"/>
                <w:szCs w:val="16"/>
              </w:rPr>
              <w:t>.</w:t>
            </w:r>
            <w:r w:rsidRPr="00301426">
              <w:rPr>
                <w:rFonts w:ascii="Arial Narrow" w:hAnsi="Arial Narrow"/>
                <w:b/>
                <w:sz w:val="16"/>
                <w:szCs w:val="16"/>
              </w:rPr>
              <w:tab/>
            </w:r>
            <w:r w:rsidRPr="006B2DB8">
              <w:rPr>
                <w:rFonts w:ascii="Arial Narrow" w:hAnsi="Arial Narrow"/>
                <w:b/>
                <w:sz w:val="16"/>
                <w:szCs w:val="16"/>
              </w:rPr>
              <w:t xml:space="preserve">Κεντρικοί Αυτοτελείς </w:t>
            </w:r>
            <w:r w:rsidRPr="00301426">
              <w:rPr>
                <w:rFonts w:ascii="Arial Narrow" w:hAnsi="Arial Narrow"/>
                <w:b/>
                <w:sz w:val="16"/>
                <w:szCs w:val="16"/>
              </w:rPr>
              <w:t>Πόροι</w:t>
            </w:r>
            <w:r w:rsidRPr="006B2DB8">
              <w:rPr>
                <w:rFonts w:ascii="Arial Narrow" w:hAnsi="Arial Narrow"/>
                <w:b/>
                <w:sz w:val="16"/>
                <w:szCs w:val="16"/>
              </w:rPr>
              <w:t xml:space="preserve"> (ΚΑΠ) </w:t>
            </w:r>
          </w:p>
        </w:tc>
        <w:tc>
          <w:tcPr>
            <w:tcW w:w="1213" w:type="dxa"/>
            <w:tcBorders>
              <w:top w:val="nil"/>
              <w:left w:val="nil"/>
              <w:bottom w:val="nil"/>
              <w:right w:val="nil"/>
            </w:tcBorders>
            <w:shd w:val="clear" w:color="auto" w:fill="A6A6A6"/>
            <w:vAlign w:val="center"/>
          </w:tcPr>
          <w:p w:rsidR="004370E6" w:rsidRPr="004370E6" w:rsidRDefault="004370E6" w:rsidP="004370E6">
            <w:pPr>
              <w:ind w:right="337"/>
              <w:jc w:val="right"/>
              <w:rPr>
                <w:rFonts w:ascii="Arial Narrow" w:hAnsi="Arial Narrow"/>
                <w:b/>
                <w:bCs/>
                <w:sz w:val="16"/>
                <w:szCs w:val="16"/>
              </w:rPr>
            </w:pPr>
            <w:r w:rsidRPr="004370E6">
              <w:rPr>
                <w:rFonts w:ascii="Arial Narrow" w:hAnsi="Arial Narrow"/>
                <w:b/>
                <w:bCs/>
                <w:sz w:val="16"/>
                <w:szCs w:val="16"/>
              </w:rPr>
              <w:t>2.982</w:t>
            </w:r>
          </w:p>
        </w:tc>
        <w:tc>
          <w:tcPr>
            <w:tcW w:w="1276" w:type="dxa"/>
            <w:tcBorders>
              <w:top w:val="nil"/>
              <w:left w:val="nil"/>
              <w:bottom w:val="nil"/>
              <w:right w:val="single" w:sz="4" w:space="0" w:color="auto"/>
            </w:tcBorders>
            <w:shd w:val="clear" w:color="auto" w:fill="A6A6A6"/>
            <w:vAlign w:val="center"/>
          </w:tcPr>
          <w:p w:rsidR="004370E6" w:rsidRPr="004370E6" w:rsidRDefault="004370E6" w:rsidP="004370E6">
            <w:pPr>
              <w:ind w:right="337"/>
              <w:jc w:val="right"/>
              <w:rPr>
                <w:rFonts w:ascii="Arial Narrow" w:hAnsi="Arial Narrow"/>
                <w:b/>
                <w:bCs/>
                <w:sz w:val="16"/>
                <w:szCs w:val="16"/>
              </w:rPr>
            </w:pPr>
            <w:r w:rsidRPr="004370E6">
              <w:rPr>
                <w:rFonts w:ascii="Arial Narrow" w:hAnsi="Arial Narrow"/>
                <w:b/>
                <w:bCs/>
                <w:sz w:val="16"/>
                <w:szCs w:val="16"/>
              </w:rPr>
              <w:t>3.140</w:t>
            </w:r>
          </w:p>
        </w:tc>
      </w:tr>
      <w:tr w:rsidR="004370E6" w:rsidRPr="006B2DB8" w:rsidTr="00BE3746">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tcPr>
          <w:p w:rsidR="004370E6" w:rsidRPr="006B2DB8" w:rsidRDefault="004370E6" w:rsidP="008B79B5">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α</w:t>
            </w:r>
            <w:r w:rsidRPr="00301426">
              <w:rPr>
                <w:rFonts w:ascii="Arial Narrow" w:hAnsi="Arial Narrow"/>
                <w:sz w:val="16"/>
                <w:szCs w:val="16"/>
              </w:rPr>
              <w:t>.</w:t>
            </w:r>
            <w:r w:rsidRPr="00301426">
              <w:rPr>
                <w:rFonts w:ascii="Arial Narrow" w:hAnsi="Arial Narrow"/>
                <w:sz w:val="16"/>
                <w:szCs w:val="16"/>
              </w:rPr>
              <w:tab/>
            </w:r>
            <w:r>
              <w:rPr>
                <w:rFonts w:ascii="Arial Narrow" w:hAnsi="Arial Narrow"/>
                <w:sz w:val="16"/>
                <w:szCs w:val="16"/>
              </w:rPr>
              <w:t>ΚΑΠ Δήμων</w:t>
            </w:r>
          </w:p>
        </w:tc>
        <w:tc>
          <w:tcPr>
            <w:tcW w:w="1213" w:type="dxa"/>
            <w:tcBorders>
              <w:top w:val="nil"/>
              <w:left w:val="nil"/>
              <w:bottom w:val="nil"/>
              <w:right w:val="nil"/>
            </w:tcBorders>
            <w:shd w:val="clear" w:color="auto" w:fill="auto"/>
            <w:vAlign w:val="center"/>
          </w:tcPr>
          <w:p w:rsidR="004370E6" w:rsidRPr="004370E6" w:rsidRDefault="004370E6" w:rsidP="004370E6">
            <w:pPr>
              <w:ind w:right="337"/>
              <w:jc w:val="right"/>
              <w:rPr>
                <w:rFonts w:ascii="Arial Narrow" w:hAnsi="Arial Narrow"/>
                <w:sz w:val="16"/>
                <w:szCs w:val="16"/>
              </w:rPr>
            </w:pPr>
            <w:r w:rsidRPr="004370E6">
              <w:rPr>
                <w:rFonts w:ascii="Arial Narrow" w:hAnsi="Arial Narrow"/>
                <w:sz w:val="16"/>
                <w:szCs w:val="16"/>
              </w:rPr>
              <w:t>2.311</w:t>
            </w:r>
          </w:p>
        </w:tc>
        <w:tc>
          <w:tcPr>
            <w:tcW w:w="1276" w:type="dxa"/>
            <w:tcBorders>
              <w:top w:val="nil"/>
              <w:left w:val="nil"/>
              <w:bottom w:val="nil"/>
              <w:right w:val="single" w:sz="4" w:space="0" w:color="auto"/>
            </w:tcBorders>
            <w:shd w:val="clear" w:color="auto" w:fill="auto"/>
            <w:vAlign w:val="center"/>
          </w:tcPr>
          <w:p w:rsidR="004370E6" w:rsidRPr="004370E6" w:rsidRDefault="004370E6" w:rsidP="004370E6">
            <w:pPr>
              <w:ind w:right="337"/>
              <w:jc w:val="right"/>
              <w:rPr>
                <w:rFonts w:ascii="Arial Narrow" w:hAnsi="Arial Narrow"/>
                <w:sz w:val="16"/>
                <w:szCs w:val="16"/>
              </w:rPr>
            </w:pPr>
            <w:r w:rsidRPr="004370E6">
              <w:rPr>
                <w:rFonts w:ascii="Arial Narrow" w:hAnsi="Arial Narrow"/>
                <w:sz w:val="16"/>
                <w:szCs w:val="16"/>
              </w:rPr>
              <w:t>2.402</w:t>
            </w:r>
          </w:p>
        </w:tc>
      </w:tr>
      <w:tr w:rsidR="004370E6" w:rsidRPr="006B2DB8" w:rsidTr="00BE3746">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tcPr>
          <w:p w:rsidR="004370E6" w:rsidRPr="006B2DB8" w:rsidRDefault="004370E6" w:rsidP="008B79B5">
            <w:pPr>
              <w:tabs>
                <w:tab w:val="left" w:pos="258"/>
              </w:tabs>
              <w:spacing w:before="20" w:after="20"/>
              <w:ind w:left="477" w:hanging="477"/>
              <w:jc w:val="both"/>
              <w:rPr>
                <w:rFonts w:ascii="Arial Narrow" w:hAnsi="Arial Narrow"/>
                <w:sz w:val="16"/>
                <w:szCs w:val="16"/>
              </w:rPr>
            </w:pPr>
            <w:r w:rsidRPr="006B2DB8">
              <w:rPr>
                <w:rFonts w:ascii="Arial Narrow" w:hAnsi="Arial Narrow"/>
                <w:sz w:val="16"/>
                <w:szCs w:val="16"/>
              </w:rPr>
              <w:tab/>
            </w:r>
            <w:r>
              <w:rPr>
                <w:rFonts w:ascii="Arial Narrow" w:hAnsi="Arial Narrow"/>
                <w:sz w:val="16"/>
                <w:szCs w:val="16"/>
              </w:rPr>
              <w:t>β</w:t>
            </w:r>
            <w:r w:rsidRPr="00301426">
              <w:rPr>
                <w:rFonts w:ascii="Arial Narrow" w:hAnsi="Arial Narrow"/>
                <w:sz w:val="16"/>
                <w:szCs w:val="16"/>
              </w:rPr>
              <w:t>.</w:t>
            </w:r>
            <w:r w:rsidRPr="00301426">
              <w:rPr>
                <w:rFonts w:ascii="Arial Narrow" w:hAnsi="Arial Narrow"/>
                <w:sz w:val="16"/>
                <w:szCs w:val="16"/>
              </w:rPr>
              <w:tab/>
            </w:r>
            <w:r>
              <w:rPr>
                <w:rFonts w:ascii="Arial Narrow" w:hAnsi="Arial Narrow"/>
                <w:sz w:val="16"/>
                <w:szCs w:val="16"/>
              </w:rPr>
              <w:t xml:space="preserve">ΚΑΠ </w:t>
            </w:r>
            <w:r w:rsidRPr="006B2DB8">
              <w:rPr>
                <w:rFonts w:ascii="Arial Narrow" w:hAnsi="Arial Narrow"/>
                <w:sz w:val="16"/>
                <w:szCs w:val="16"/>
              </w:rPr>
              <w:t>Περιφ</w:t>
            </w:r>
            <w:r>
              <w:rPr>
                <w:rFonts w:ascii="Arial Narrow" w:hAnsi="Arial Narrow"/>
                <w:sz w:val="16"/>
                <w:szCs w:val="16"/>
              </w:rPr>
              <w:t>ερειών</w:t>
            </w:r>
          </w:p>
        </w:tc>
        <w:tc>
          <w:tcPr>
            <w:tcW w:w="1213" w:type="dxa"/>
            <w:tcBorders>
              <w:top w:val="nil"/>
              <w:left w:val="nil"/>
              <w:bottom w:val="nil"/>
              <w:right w:val="nil"/>
            </w:tcBorders>
            <w:shd w:val="clear" w:color="auto" w:fill="auto"/>
            <w:vAlign w:val="center"/>
          </w:tcPr>
          <w:p w:rsidR="004370E6" w:rsidRPr="004370E6" w:rsidRDefault="004370E6" w:rsidP="004370E6">
            <w:pPr>
              <w:ind w:right="337"/>
              <w:jc w:val="right"/>
              <w:rPr>
                <w:rFonts w:ascii="Arial Narrow" w:hAnsi="Arial Narrow"/>
                <w:sz w:val="16"/>
                <w:szCs w:val="16"/>
              </w:rPr>
            </w:pPr>
            <w:r w:rsidRPr="004370E6">
              <w:rPr>
                <w:rFonts w:ascii="Arial Narrow" w:hAnsi="Arial Narrow"/>
                <w:sz w:val="16"/>
                <w:szCs w:val="16"/>
              </w:rPr>
              <w:t>671</w:t>
            </w:r>
          </w:p>
        </w:tc>
        <w:tc>
          <w:tcPr>
            <w:tcW w:w="1276" w:type="dxa"/>
            <w:tcBorders>
              <w:top w:val="nil"/>
              <w:left w:val="nil"/>
              <w:bottom w:val="nil"/>
              <w:right w:val="single" w:sz="4" w:space="0" w:color="auto"/>
            </w:tcBorders>
            <w:shd w:val="clear" w:color="auto" w:fill="auto"/>
            <w:vAlign w:val="center"/>
          </w:tcPr>
          <w:p w:rsidR="004370E6" w:rsidRPr="004370E6" w:rsidRDefault="004370E6" w:rsidP="004370E6">
            <w:pPr>
              <w:ind w:right="337"/>
              <w:jc w:val="right"/>
              <w:rPr>
                <w:rFonts w:ascii="Arial Narrow" w:hAnsi="Arial Narrow"/>
                <w:sz w:val="16"/>
                <w:szCs w:val="16"/>
              </w:rPr>
            </w:pPr>
            <w:r w:rsidRPr="004370E6">
              <w:rPr>
                <w:rFonts w:ascii="Arial Narrow" w:hAnsi="Arial Narrow"/>
                <w:sz w:val="16"/>
                <w:szCs w:val="16"/>
              </w:rPr>
              <w:t>738</w:t>
            </w:r>
          </w:p>
        </w:tc>
      </w:tr>
      <w:tr w:rsidR="004370E6" w:rsidRPr="006B2DB8" w:rsidTr="00BE3746">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6A6A6"/>
            <w:vAlign w:val="center"/>
          </w:tcPr>
          <w:p w:rsidR="004370E6" w:rsidRPr="006B2DB8" w:rsidRDefault="004370E6" w:rsidP="008B79B5">
            <w:pPr>
              <w:spacing w:before="20" w:after="20"/>
              <w:ind w:left="258" w:hanging="258"/>
              <w:jc w:val="both"/>
              <w:rPr>
                <w:rFonts w:ascii="Arial Narrow" w:hAnsi="Arial Narrow"/>
                <w:b/>
                <w:sz w:val="16"/>
                <w:szCs w:val="16"/>
              </w:rPr>
            </w:pPr>
            <w:r w:rsidRPr="006B2DB8">
              <w:rPr>
                <w:rFonts w:ascii="Arial Narrow" w:hAnsi="Arial Narrow"/>
                <w:b/>
                <w:sz w:val="16"/>
                <w:szCs w:val="16"/>
              </w:rPr>
              <w:t xml:space="preserve"> </w:t>
            </w:r>
            <w:r>
              <w:rPr>
                <w:rFonts w:ascii="Arial Narrow" w:hAnsi="Arial Narrow"/>
                <w:b/>
                <w:sz w:val="16"/>
                <w:szCs w:val="16"/>
                <w:lang w:val="en-GB"/>
              </w:rPr>
              <w:t>II</w:t>
            </w:r>
            <w:r w:rsidRPr="00301426">
              <w:rPr>
                <w:rFonts w:ascii="Arial Narrow" w:hAnsi="Arial Narrow"/>
                <w:b/>
                <w:sz w:val="16"/>
                <w:szCs w:val="16"/>
              </w:rPr>
              <w:t>.</w:t>
            </w:r>
            <w:r w:rsidRPr="00301426">
              <w:rPr>
                <w:rFonts w:ascii="Arial Narrow" w:hAnsi="Arial Narrow"/>
                <w:b/>
                <w:sz w:val="16"/>
                <w:szCs w:val="16"/>
              </w:rPr>
              <w:tab/>
              <w:t>Επιχορήγηση</w:t>
            </w:r>
            <w:r w:rsidRPr="006B2DB8">
              <w:rPr>
                <w:rFonts w:ascii="Arial Narrow" w:hAnsi="Arial Narrow"/>
                <w:b/>
                <w:sz w:val="16"/>
                <w:szCs w:val="16"/>
              </w:rPr>
              <w:t xml:space="preserve"> σε ΟΤΑ </w:t>
            </w:r>
          </w:p>
        </w:tc>
        <w:tc>
          <w:tcPr>
            <w:tcW w:w="1213" w:type="dxa"/>
            <w:tcBorders>
              <w:top w:val="nil"/>
              <w:left w:val="nil"/>
              <w:bottom w:val="nil"/>
              <w:right w:val="nil"/>
            </w:tcBorders>
            <w:shd w:val="clear" w:color="auto" w:fill="A6A6A6"/>
            <w:vAlign w:val="bottom"/>
          </w:tcPr>
          <w:p w:rsidR="004370E6" w:rsidRPr="004370E6" w:rsidRDefault="004370E6" w:rsidP="004370E6">
            <w:pPr>
              <w:ind w:right="337"/>
              <w:jc w:val="right"/>
              <w:rPr>
                <w:rFonts w:ascii="Arial Narrow" w:hAnsi="Arial Narrow"/>
                <w:b/>
                <w:bCs/>
                <w:sz w:val="16"/>
                <w:szCs w:val="16"/>
              </w:rPr>
            </w:pPr>
            <w:r w:rsidRPr="004370E6">
              <w:rPr>
                <w:rFonts w:ascii="Arial Narrow" w:hAnsi="Arial Narrow"/>
                <w:b/>
                <w:bCs/>
                <w:sz w:val="16"/>
                <w:szCs w:val="16"/>
              </w:rPr>
              <w:t>38</w:t>
            </w:r>
          </w:p>
        </w:tc>
        <w:tc>
          <w:tcPr>
            <w:tcW w:w="1276" w:type="dxa"/>
            <w:tcBorders>
              <w:top w:val="nil"/>
              <w:left w:val="nil"/>
              <w:bottom w:val="nil"/>
              <w:right w:val="single" w:sz="4" w:space="0" w:color="auto"/>
            </w:tcBorders>
            <w:shd w:val="clear" w:color="auto" w:fill="A6A6A6"/>
            <w:vAlign w:val="bottom"/>
          </w:tcPr>
          <w:p w:rsidR="004370E6" w:rsidRPr="004370E6" w:rsidRDefault="004370E6" w:rsidP="004370E6">
            <w:pPr>
              <w:ind w:right="337"/>
              <w:jc w:val="right"/>
              <w:rPr>
                <w:rFonts w:ascii="Arial Narrow" w:hAnsi="Arial Narrow"/>
                <w:b/>
                <w:bCs/>
                <w:sz w:val="16"/>
                <w:szCs w:val="16"/>
              </w:rPr>
            </w:pPr>
            <w:r w:rsidRPr="004370E6">
              <w:rPr>
                <w:rFonts w:ascii="Arial Narrow" w:hAnsi="Arial Narrow"/>
                <w:b/>
                <w:bCs/>
                <w:sz w:val="16"/>
                <w:szCs w:val="16"/>
              </w:rPr>
              <w:t>53</w:t>
            </w:r>
          </w:p>
        </w:tc>
      </w:tr>
      <w:tr w:rsidR="004370E6" w:rsidRPr="006B2DB8" w:rsidTr="00BE3746">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tcPr>
          <w:p w:rsidR="004370E6" w:rsidRPr="006B2DB8" w:rsidRDefault="004370E6" w:rsidP="008B79B5">
            <w:pPr>
              <w:tabs>
                <w:tab w:val="left" w:pos="258"/>
              </w:tabs>
              <w:spacing w:before="20" w:after="20"/>
              <w:ind w:left="477" w:hanging="477"/>
              <w:jc w:val="both"/>
              <w:rPr>
                <w:rFonts w:ascii="Arial Narrow" w:hAnsi="Arial Narrow"/>
                <w:sz w:val="16"/>
                <w:szCs w:val="16"/>
              </w:rPr>
            </w:pPr>
            <w:r w:rsidRPr="00301426">
              <w:rPr>
                <w:rFonts w:ascii="Arial Narrow" w:hAnsi="Arial Narrow"/>
                <w:sz w:val="16"/>
                <w:szCs w:val="16"/>
              </w:rPr>
              <w:tab/>
            </w:r>
            <w:r>
              <w:rPr>
                <w:rFonts w:ascii="Arial Narrow" w:hAnsi="Arial Narrow"/>
                <w:sz w:val="16"/>
                <w:szCs w:val="16"/>
              </w:rPr>
              <w:t>α</w:t>
            </w:r>
            <w:r w:rsidRPr="00301426">
              <w:rPr>
                <w:rFonts w:ascii="Arial Narrow" w:hAnsi="Arial Narrow"/>
                <w:sz w:val="16"/>
                <w:szCs w:val="16"/>
              </w:rPr>
              <w:t>.</w:t>
            </w:r>
            <w:r w:rsidRPr="00301426">
              <w:rPr>
                <w:rFonts w:ascii="Arial Narrow" w:hAnsi="Arial Narrow"/>
                <w:sz w:val="16"/>
                <w:szCs w:val="16"/>
              </w:rPr>
              <w:tab/>
            </w:r>
            <w:r>
              <w:rPr>
                <w:rFonts w:ascii="Arial Narrow" w:hAnsi="Arial Narrow"/>
                <w:sz w:val="16"/>
                <w:szCs w:val="16"/>
              </w:rPr>
              <w:t>Ειδική επιχορήγηση σε Δήμους</w:t>
            </w:r>
          </w:p>
        </w:tc>
        <w:tc>
          <w:tcPr>
            <w:tcW w:w="1213" w:type="dxa"/>
            <w:tcBorders>
              <w:top w:val="nil"/>
              <w:left w:val="nil"/>
              <w:bottom w:val="nil"/>
              <w:right w:val="nil"/>
            </w:tcBorders>
            <w:shd w:val="clear" w:color="auto" w:fill="auto"/>
            <w:vAlign w:val="center"/>
          </w:tcPr>
          <w:p w:rsidR="004370E6" w:rsidRPr="004370E6" w:rsidRDefault="004370E6" w:rsidP="004370E6">
            <w:pPr>
              <w:ind w:right="337"/>
              <w:jc w:val="right"/>
              <w:rPr>
                <w:rFonts w:ascii="Arial Narrow" w:hAnsi="Arial Narrow"/>
                <w:sz w:val="16"/>
                <w:szCs w:val="16"/>
              </w:rPr>
            </w:pPr>
            <w:r w:rsidRPr="004370E6">
              <w:rPr>
                <w:rFonts w:ascii="Arial Narrow" w:hAnsi="Arial Narrow"/>
                <w:sz w:val="16"/>
                <w:szCs w:val="16"/>
              </w:rPr>
              <w:t>2</w:t>
            </w:r>
            <w:r w:rsidR="00891963">
              <w:rPr>
                <w:rFonts w:ascii="Arial Narrow" w:hAnsi="Arial Narrow"/>
                <w:sz w:val="16"/>
                <w:szCs w:val="16"/>
              </w:rPr>
              <w:t>2</w:t>
            </w:r>
          </w:p>
        </w:tc>
        <w:tc>
          <w:tcPr>
            <w:tcW w:w="1276" w:type="dxa"/>
            <w:tcBorders>
              <w:top w:val="nil"/>
              <w:left w:val="nil"/>
              <w:bottom w:val="nil"/>
              <w:right w:val="single" w:sz="4" w:space="0" w:color="auto"/>
            </w:tcBorders>
            <w:shd w:val="clear" w:color="auto" w:fill="auto"/>
            <w:vAlign w:val="center"/>
          </w:tcPr>
          <w:p w:rsidR="004370E6" w:rsidRPr="004370E6" w:rsidRDefault="004370E6" w:rsidP="004370E6">
            <w:pPr>
              <w:ind w:right="337"/>
              <w:jc w:val="right"/>
              <w:rPr>
                <w:rFonts w:ascii="Arial Narrow" w:hAnsi="Arial Narrow"/>
                <w:sz w:val="16"/>
                <w:szCs w:val="16"/>
              </w:rPr>
            </w:pPr>
            <w:r w:rsidRPr="004370E6">
              <w:rPr>
                <w:rFonts w:ascii="Arial Narrow" w:hAnsi="Arial Narrow"/>
                <w:sz w:val="16"/>
                <w:szCs w:val="16"/>
              </w:rPr>
              <w:t>39</w:t>
            </w:r>
          </w:p>
        </w:tc>
      </w:tr>
      <w:tr w:rsidR="004370E6" w:rsidRPr="006B2DB8" w:rsidTr="00BE3746">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nil"/>
              <w:right w:val="nil"/>
            </w:tcBorders>
            <w:shd w:val="clear" w:color="auto" w:fill="auto"/>
          </w:tcPr>
          <w:p w:rsidR="004370E6" w:rsidRPr="006B2DB8" w:rsidRDefault="004370E6" w:rsidP="008B79B5">
            <w:pPr>
              <w:tabs>
                <w:tab w:val="left" w:pos="258"/>
              </w:tabs>
              <w:spacing w:before="20" w:after="20"/>
              <w:ind w:left="477" w:hanging="477"/>
              <w:jc w:val="both"/>
              <w:rPr>
                <w:rFonts w:ascii="Arial Narrow" w:hAnsi="Arial Narrow"/>
                <w:sz w:val="16"/>
                <w:szCs w:val="16"/>
              </w:rPr>
            </w:pPr>
            <w:r w:rsidRPr="006B2DB8">
              <w:rPr>
                <w:rFonts w:ascii="Arial Narrow" w:hAnsi="Arial Narrow"/>
                <w:sz w:val="16"/>
                <w:szCs w:val="16"/>
              </w:rPr>
              <w:tab/>
            </w:r>
            <w:r>
              <w:rPr>
                <w:rFonts w:ascii="Arial Narrow" w:hAnsi="Arial Narrow"/>
                <w:sz w:val="16"/>
                <w:szCs w:val="16"/>
              </w:rPr>
              <w:t>β</w:t>
            </w:r>
            <w:r w:rsidRPr="00301426">
              <w:rPr>
                <w:rFonts w:ascii="Arial Narrow" w:hAnsi="Arial Narrow"/>
                <w:sz w:val="16"/>
                <w:szCs w:val="16"/>
              </w:rPr>
              <w:t>.</w:t>
            </w:r>
            <w:r w:rsidRPr="00301426">
              <w:rPr>
                <w:rFonts w:ascii="Arial Narrow" w:hAnsi="Arial Narrow"/>
                <w:sz w:val="16"/>
                <w:szCs w:val="16"/>
              </w:rPr>
              <w:tab/>
            </w:r>
            <w:r>
              <w:rPr>
                <w:rFonts w:ascii="Arial Narrow" w:hAnsi="Arial Narrow"/>
                <w:sz w:val="16"/>
                <w:szCs w:val="16"/>
              </w:rPr>
              <w:t>Λοιπές επιχορήγησεις</w:t>
            </w:r>
          </w:p>
        </w:tc>
        <w:tc>
          <w:tcPr>
            <w:tcW w:w="1213" w:type="dxa"/>
            <w:tcBorders>
              <w:top w:val="nil"/>
              <w:left w:val="nil"/>
              <w:bottom w:val="nil"/>
              <w:right w:val="nil"/>
            </w:tcBorders>
            <w:shd w:val="clear" w:color="auto" w:fill="auto"/>
            <w:vAlign w:val="center"/>
          </w:tcPr>
          <w:p w:rsidR="004370E6" w:rsidRPr="004370E6" w:rsidRDefault="004370E6" w:rsidP="004370E6">
            <w:pPr>
              <w:ind w:right="337"/>
              <w:jc w:val="right"/>
              <w:rPr>
                <w:rFonts w:ascii="Arial Narrow" w:hAnsi="Arial Narrow"/>
                <w:sz w:val="16"/>
                <w:szCs w:val="16"/>
              </w:rPr>
            </w:pPr>
            <w:r w:rsidRPr="004370E6">
              <w:rPr>
                <w:rFonts w:ascii="Arial Narrow" w:hAnsi="Arial Narrow"/>
                <w:sz w:val="16"/>
                <w:szCs w:val="16"/>
              </w:rPr>
              <w:t>17</w:t>
            </w:r>
          </w:p>
        </w:tc>
        <w:tc>
          <w:tcPr>
            <w:tcW w:w="1276" w:type="dxa"/>
            <w:tcBorders>
              <w:top w:val="nil"/>
              <w:left w:val="nil"/>
              <w:bottom w:val="nil"/>
              <w:right w:val="single" w:sz="4" w:space="0" w:color="auto"/>
            </w:tcBorders>
            <w:shd w:val="clear" w:color="auto" w:fill="auto"/>
            <w:vAlign w:val="center"/>
          </w:tcPr>
          <w:p w:rsidR="004370E6" w:rsidRPr="004370E6" w:rsidRDefault="004370E6" w:rsidP="004370E6">
            <w:pPr>
              <w:ind w:right="337"/>
              <w:jc w:val="right"/>
              <w:rPr>
                <w:rFonts w:ascii="Arial Narrow" w:hAnsi="Arial Narrow"/>
                <w:sz w:val="16"/>
                <w:szCs w:val="16"/>
              </w:rPr>
            </w:pPr>
            <w:r w:rsidRPr="004370E6">
              <w:rPr>
                <w:rFonts w:ascii="Arial Narrow" w:hAnsi="Arial Narrow"/>
                <w:sz w:val="16"/>
                <w:szCs w:val="16"/>
              </w:rPr>
              <w:t>14</w:t>
            </w:r>
          </w:p>
        </w:tc>
      </w:tr>
      <w:tr w:rsidR="004370E6" w:rsidRPr="006B2DB8" w:rsidTr="00BE3746">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5957" w:type="dxa"/>
            <w:tcBorders>
              <w:top w:val="nil"/>
              <w:left w:val="single" w:sz="4" w:space="0" w:color="auto"/>
              <w:bottom w:val="single" w:sz="4" w:space="0" w:color="auto"/>
              <w:right w:val="nil"/>
            </w:tcBorders>
            <w:shd w:val="clear" w:color="auto" w:fill="A6A6A6"/>
            <w:vAlign w:val="center"/>
          </w:tcPr>
          <w:p w:rsidR="004370E6" w:rsidRPr="008B79B5" w:rsidRDefault="004370E6" w:rsidP="003625C5">
            <w:pPr>
              <w:spacing w:before="20" w:after="20"/>
              <w:ind w:left="258" w:hanging="258"/>
              <w:jc w:val="both"/>
              <w:rPr>
                <w:rFonts w:ascii="Arial Narrow" w:hAnsi="Arial Narrow"/>
                <w:b/>
                <w:sz w:val="16"/>
                <w:szCs w:val="16"/>
              </w:rPr>
            </w:pPr>
            <w:r>
              <w:rPr>
                <w:rFonts w:ascii="Arial Narrow" w:hAnsi="Arial Narrow"/>
                <w:b/>
                <w:sz w:val="16"/>
                <w:szCs w:val="16"/>
              </w:rPr>
              <w:t>Σύνολο μεταβιβάσεων από τον Τακτικό Προϋπολογισμό στους ΟΤΑ</w:t>
            </w:r>
          </w:p>
        </w:tc>
        <w:tc>
          <w:tcPr>
            <w:tcW w:w="1213" w:type="dxa"/>
            <w:tcBorders>
              <w:top w:val="nil"/>
              <w:left w:val="nil"/>
              <w:bottom w:val="single" w:sz="4" w:space="0" w:color="auto"/>
              <w:right w:val="nil"/>
            </w:tcBorders>
            <w:shd w:val="clear" w:color="auto" w:fill="A6A6A6"/>
            <w:vAlign w:val="center"/>
          </w:tcPr>
          <w:p w:rsidR="004370E6" w:rsidRPr="004370E6" w:rsidRDefault="004370E6" w:rsidP="004370E6">
            <w:pPr>
              <w:ind w:right="337"/>
              <w:jc w:val="right"/>
              <w:rPr>
                <w:rFonts w:ascii="Arial Narrow" w:hAnsi="Arial Narrow"/>
                <w:b/>
                <w:bCs/>
                <w:sz w:val="16"/>
                <w:szCs w:val="16"/>
              </w:rPr>
            </w:pPr>
            <w:r w:rsidRPr="004370E6">
              <w:rPr>
                <w:rFonts w:ascii="Arial Narrow" w:hAnsi="Arial Narrow"/>
                <w:b/>
                <w:bCs/>
                <w:sz w:val="16"/>
                <w:szCs w:val="16"/>
              </w:rPr>
              <w:t>3.020</w:t>
            </w:r>
          </w:p>
        </w:tc>
        <w:tc>
          <w:tcPr>
            <w:tcW w:w="1276" w:type="dxa"/>
            <w:tcBorders>
              <w:top w:val="nil"/>
              <w:left w:val="nil"/>
              <w:bottom w:val="single" w:sz="4" w:space="0" w:color="auto"/>
              <w:right w:val="single" w:sz="4" w:space="0" w:color="auto"/>
            </w:tcBorders>
            <w:shd w:val="clear" w:color="auto" w:fill="A6A6A6"/>
            <w:vAlign w:val="center"/>
          </w:tcPr>
          <w:p w:rsidR="004370E6" w:rsidRPr="004370E6" w:rsidRDefault="004370E6" w:rsidP="004370E6">
            <w:pPr>
              <w:ind w:right="337"/>
              <w:jc w:val="right"/>
              <w:rPr>
                <w:rFonts w:ascii="Arial Narrow" w:hAnsi="Arial Narrow"/>
                <w:b/>
                <w:bCs/>
                <w:sz w:val="16"/>
                <w:szCs w:val="16"/>
              </w:rPr>
            </w:pPr>
            <w:r w:rsidRPr="004370E6">
              <w:rPr>
                <w:rFonts w:ascii="Arial Narrow" w:hAnsi="Arial Narrow"/>
                <w:b/>
                <w:bCs/>
                <w:sz w:val="16"/>
                <w:szCs w:val="16"/>
              </w:rPr>
              <w:t>3.193</w:t>
            </w:r>
          </w:p>
        </w:tc>
      </w:tr>
    </w:tbl>
    <w:p w:rsidR="008B5CB0" w:rsidRDefault="008B5CB0" w:rsidP="0086304C">
      <w:pPr>
        <w:jc w:val="both"/>
        <w:rPr>
          <w:rFonts w:ascii="Arial Narrow" w:hAnsi="Arial Narrow"/>
          <w:b/>
          <w:bCs/>
          <w:sz w:val="22"/>
          <w:szCs w:val="22"/>
        </w:rPr>
      </w:pPr>
    </w:p>
    <w:p w:rsidR="008B5CB0" w:rsidRPr="008B5CB0" w:rsidRDefault="008B5CB0" w:rsidP="0086304C">
      <w:pPr>
        <w:jc w:val="both"/>
        <w:rPr>
          <w:rFonts w:ascii="Arial Narrow" w:hAnsi="Arial Narrow"/>
          <w:b/>
          <w:bCs/>
          <w:sz w:val="22"/>
          <w:szCs w:val="22"/>
        </w:rPr>
      </w:pPr>
    </w:p>
    <w:p w:rsidR="000D6FF5" w:rsidRDefault="000D6FF5" w:rsidP="0086304C">
      <w:pPr>
        <w:jc w:val="both"/>
        <w:rPr>
          <w:rFonts w:ascii="Arial Narrow" w:hAnsi="Arial Narrow"/>
          <w:b/>
          <w:bCs/>
          <w:sz w:val="22"/>
          <w:szCs w:val="22"/>
        </w:rPr>
      </w:pPr>
    </w:p>
    <w:p w:rsidR="008B5CB0" w:rsidRDefault="008B5CB0" w:rsidP="0086304C">
      <w:pPr>
        <w:jc w:val="both"/>
        <w:rPr>
          <w:rFonts w:ascii="Arial Narrow" w:hAnsi="Arial Narrow"/>
          <w:b/>
          <w:bCs/>
          <w:sz w:val="22"/>
          <w:szCs w:val="22"/>
        </w:rPr>
      </w:pPr>
    </w:p>
    <w:p w:rsidR="008B5CB0" w:rsidRDefault="008B5CB0" w:rsidP="0086304C">
      <w:pPr>
        <w:jc w:val="both"/>
        <w:rPr>
          <w:rFonts w:ascii="Arial Narrow" w:hAnsi="Arial Narrow"/>
          <w:b/>
          <w:bCs/>
          <w:sz w:val="22"/>
          <w:szCs w:val="22"/>
        </w:rPr>
      </w:pPr>
    </w:p>
    <w:p w:rsidR="000D6FF5" w:rsidRDefault="000D6FF5" w:rsidP="0086304C">
      <w:pPr>
        <w:jc w:val="both"/>
        <w:rPr>
          <w:rFonts w:ascii="Arial Narrow" w:hAnsi="Arial Narrow"/>
          <w:b/>
          <w:bCs/>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312"/>
        <w:gridCol w:w="4678"/>
        <w:gridCol w:w="992"/>
        <w:gridCol w:w="992"/>
        <w:gridCol w:w="867"/>
        <w:gridCol w:w="976"/>
      </w:tblGrid>
      <w:tr w:rsidR="00BE3746" w:rsidRPr="006B2DB8" w:rsidTr="00B01F9F">
        <w:trPr>
          <w:cantSplit/>
          <w:jc w:val="center"/>
        </w:trPr>
        <w:tc>
          <w:tcPr>
            <w:tcW w:w="8817" w:type="dxa"/>
            <w:gridSpan w:val="6"/>
            <w:tcBorders>
              <w:top w:val="single" w:sz="4" w:space="0" w:color="auto"/>
              <w:left w:val="single" w:sz="4" w:space="0" w:color="auto"/>
              <w:right w:val="single" w:sz="4" w:space="0" w:color="auto"/>
            </w:tcBorders>
            <w:shd w:val="clear" w:color="auto" w:fill="404040" w:themeFill="text1" w:themeFillTint="BF"/>
            <w:vAlign w:val="center"/>
          </w:tcPr>
          <w:p w:rsidR="00BE3746" w:rsidRPr="006B2DB8" w:rsidRDefault="00446090" w:rsidP="003625C5">
            <w:pPr>
              <w:spacing w:before="120"/>
              <w:jc w:val="center"/>
              <w:rPr>
                <w:rFonts w:ascii="Arial Narrow" w:hAnsi="Arial Narrow"/>
                <w:b/>
                <w:color w:val="FFFFFF"/>
              </w:rPr>
            </w:pPr>
            <w:r>
              <w:rPr>
                <w:rFonts w:ascii="Arial Narrow" w:hAnsi="Arial Narrow"/>
                <w:b/>
                <w:color w:val="FFFFFF"/>
              </w:rPr>
              <w:lastRenderedPageBreak/>
              <w:t>Πίνακας 3.25</w:t>
            </w:r>
            <w:r w:rsidR="00BE3746" w:rsidRPr="006B2DB8">
              <w:rPr>
                <w:rFonts w:ascii="Arial Narrow" w:hAnsi="Arial Narrow"/>
                <w:b/>
                <w:color w:val="FFFFFF"/>
              </w:rPr>
              <w:t xml:space="preserve">  Ενοποιημένος προϋπολογισμός ΟΤΑ</w:t>
            </w:r>
          </w:p>
          <w:p w:rsidR="00BE3746" w:rsidRPr="006B2DB8" w:rsidRDefault="00BE3746" w:rsidP="003625C5">
            <w:pPr>
              <w:spacing w:after="60"/>
              <w:jc w:val="center"/>
              <w:rPr>
                <w:rFonts w:ascii="Arial Narrow" w:hAnsi="Arial Narrow"/>
                <w:b/>
                <w:color w:val="FFFFFF"/>
              </w:rPr>
            </w:pPr>
            <w:r w:rsidRPr="006B2DB8">
              <w:rPr>
                <w:rFonts w:ascii="Arial Narrow" w:hAnsi="Arial Narrow"/>
                <w:b/>
                <w:color w:val="FFFFFF"/>
              </w:rPr>
              <w:t>(σε εκατ. ευρώ)</w:t>
            </w:r>
          </w:p>
        </w:tc>
      </w:tr>
      <w:tr w:rsidR="00BE3746" w:rsidRPr="006B2DB8" w:rsidTr="00B01F9F">
        <w:trPr>
          <w:cantSplit/>
          <w:jc w:val="center"/>
        </w:trPr>
        <w:tc>
          <w:tcPr>
            <w:tcW w:w="8817" w:type="dxa"/>
            <w:gridSpan w:val="6"/>
            <w:tcBorders>
              <w:left w:val="single" w:sz="4" w:space="0" w:color="auto"/>
              <w:bottom w:val="single" w:sz="4" w:space="0" w:color="auto"/>
              <w:right w:val="single" w:sz="4" w:space="0" w:color="auto"/>
            </w:tcBorders>
            <w:shd w:val="clear" w:color="auto" w:fill="auto"/>
            <w:vAlign w:val="center"/>
          </w:tcPr>
          <w:p w:rsidR="00BE3746" w:rsidRPr="006B2DB8" w:rsidRDefault="00BE3746" w:rsidP="003625C5">
            <w:pPr>
              <w:jc w:val="center"/>
              <w:rPr>
                <w:rFonts w:ascii="Arial Narrow" w:hAnsi="Arial Narrow"/>
                <w:b/>
                <w:color w:val="FFFFFF"/>
                <w:sz w:val="14"/>
              </w:rPr>
            </w:pPr>
          </w:p>
        </w:tc>
      </w:tr>
      <w:tr w:rsidR="00B01F9F" w:rsidRPr="006B2DB8" w:rsidTr="00B01F9F">
        <w:trPr>
          <w:cantSplit/>
          <w:trHeight w:val="260"/>
          <w:jc w:val="center"/>
        </w:trPr>
        <w:tc>
          <w:tcPr>
            <w:tcW w:w="4990" w:type="dxa"/>
            <w:gridSpan w:val="2"/>
            <w:vMerge w:val="restart"/>
            <w:tcBorders>
              <w:top w:val="single" w:sz="4" w:space="0" w:color="auto"/>
              <w:left w:val="single" w:sz="4" w:space="0" w:color="auto"/>
              <w:bottom w:val="single" w:sz="4" w:space="0" w:color="auto"/>
              <w:right w:val="single" w:sz="4" w:space="0" w:color="auto"/>
            </w:tcBorders>
            <w:vAlign w:val="center"/>
          </w:tcPr>
          <w:p w:rsidR="00B01F9F" w:rsidRPr="006B2DB8" w:rsidRDefault="00B01F9F" w:rsidP="003625C5">
            <w:pPr>
              <w:spacing w:before="70"/>
              <w:jc w:val="center"/>
              <w:rPr>
                <w:rFonts w:ascii="Arial Narrow" w:hAnsi="Arial Narrow"/>
                <w:b/>
                <w:sz w:val="16"/>
                <w:szCs w:val="16"/>
              </w:rPr>
            </w:pPr>
            <w:r w:rsidRPr="006B2DB8">
              <w:rPr>
                <w:rFonts w:ascii="Arial Narrow" w:hAnsi="Arial Narrow"/>
                <w:b/>
                <w:sz w:val="16"/>
                <w:szCs w:val="16"/>
              </w:rPr>
              <w:t>Κατηγορία</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01F9F" w:rsidRPr="006B2DB8" w:rsidRDefault="00B01F9F" w:rsidP="003625C5">
            <w:pPr>
              <w:jc w:val="center"/>
              <w:rPr>
                <w:rFonts w:ascii="Arial Narrow" w:hAnsi="Arial Narrow"/>
                <w:b/>
                <w:sz w:val="16"/>
                <w:szCs w:val="16"/>
              </w:rPr>
            </w:pPr>
            <w:r>
              <w:rPr>
                <w:rFonts w:ascii="Arial Narrow" w:hAnsi="Arial Narrow"/>
                <w:b/>
                <w:sz w:val="16"/>
                <w:szCs w:val="16"/>
              </w:rPr>
              <w:t>2017</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01F9F" w:rsidRPr="006B2DB8" w:rsidRDefault="00B01F9F" w:rsidP="003625C5">
            <w:pPr>
              <w:jc w:val="center"/>
              <w:rPr>
                <w:rFonts w:ascii="Arial Narrow" w:hAnsi="Arial Narrow"/>
                <w:b/>
                <w:sz w:val="16"/>
                <w:szCs w:val="16"/>
              </w:rPr>
            </w:pPr>
            <w:r>
              <w:rPr>
                <w:rFonts w:ascii="Arial Narrow" w:hAnsi="Arial Narrow"/>
                <w:b/>
                <w:sz w:val="16"/>
                <w:szCs w:val="16"/>
              </w:rPr>
              <w:t>2018</w:t>
            </w:r>
          </w:p>
        </w:tc>
      </w:tr>
      <w:tr w:rsidR="00B01F9F" w:rsidRPr="006B2DB8" w:rsidTr="00B01F9F">
        <w:trPr>
          <w:cantSplit/>
          <w:trHeight w:val="253"/>
          <w:jc w:val="center"/>
        </w:trPr>
        <w:tc>
          <w:tcPr>
            <w:tcW w:w="4990" w:type="dxa"/>
            <w:gridSpan w:val="2"/>
            <w:vMerge/>
            <w:tcBorders>
              <w:top w:val="single" w:sz="4" w:space="0" w:color="auto"/>
              <w:left w:val="single" w:sz="4" w:space="0" w:color="auto"/>
              <w:bottom w:val="single" w:sz="4" w:space="0" w:color="auto"/>
              <w:right w:val="single" w:sz="4" w:space="0" w:color="auto"/>
            </w:tcBorders>
            <w:vAlign w:val="center"/>
          </w:tcPr>
          <w:p w:rsidR="00B01F9F" w:rsidRPr="006B2DB8" w:rsidRDefault="00B01F9F" w:rsidP="003625C5">
            <w:pPr>
              <w:spacing w:before="70"/>
              <w:jc w:val="center"/>
              <w:rPr>
                <w:rFonts w:ascii="Arial Narrow" w:hAnsi="Arial Narrow"/>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B01F9F" w:rsidRPr="006B2DB8" w:rsidRDefault="00B01F9F" w:rsidP="003625C5">
            <w:pPr>
              <w:jc w:val="center"/>
              <w:rPr>
                <w:rFonts w:ascii="Arial Narrow" w:hAnsi="Arial Narrow"/>
                <w:b/>
                <w:sz w:val="16"/>
                <w:szCs w:val="16"/>
              </w:rPr>
            </w:pPr>
            <w:r>
              <w:rPr>
                <w:rFonts w:ascii="Arial Narrow" w:hAnsi="Arial Narrow"/>
                <w:b/>
                <w:sz w:val="16"/>
                <w:szCs w:val="16"/>
              </w:rPr>
              <w:t>ΜΠΔΣ</w:t>
            </w:r>
          </w:p>
        </w:tc>
        <w:tc>
          <w:tcPr>
            <w:tcW w:w="992" w:type="dxa"/>
            <w:tcBorders>
              <w:top w:val="single" w:sz="4" w:space="0" w:color="auto"/>
              <w:left w:val="single" w:sz="4" w:space="0" w:color="auto"/>
              <w:bottom w:val="single" w:sz="4" w:space="0" w:color="auto"/>
              <w:right w:val="single" w:sz="4" w:space="0" w:color="auto"/>
            </w:tcBorders>
            <w:vAlign w:val="center"/>
          </w:tcPr>
          <w:p w:rsidR="00B01F9F" w:rsidRPr="006B2DB8" w:rsidRDefault="00B01F9F" w:rsidP="003625C5">
            <w:pPr>
              <w:jc w:val="center"/>
              <w:rPr>
                <w:rFonts w:ascii="Arial Narrow" w:hAnsi="Arial Narrow"/>
                <w:b/>
                <w:sz w:val="16"/>
                <w:szCs w:val="16"/>
              </w:rPr>
            </w:pPr>
            <w:r w:rsidRPr="006B2DB8">
              <w:rPr>
                <w:rFonts w:ascii="Arial Narrow" w:hAnsi="Arial Narrow"/>
                <w:b/>
                <w:sz w:val="16"/>
                <w:szCs w:val="16"/>
              </w:rPr>
              <w:t>Εκτιμήσεις</w:t>
            </w:r>
          </w:p>
        </w:tc>
        <w:tc>
          <w:tcPr>
            <w:tcW w:w="867" w:type="dxa"/>
            <w:tcBorders>
              <w:top w:val="single" w:sz="4" w:space="0" w:color="auto"/>
              <w:left w:val="single" w:sz="4" w:space="0" w:color="auto"/>
              <w:bottom w:val="single" w:sz="4" w:space="0" w:color="auto"/>
              <w:right w:val="single" w:sz="4" w:space="0" w:color="auto"/>
            </w:tcBorders>
            <w:vAlign w:val="center"/>
          </w:tcPr>
          <w:p w:rsidR="00B01F9F" w:rsidRPr="006B2DB8" w:rsidRDefault="00B01F9F" w:rsidP="003625C5">
            <w:pPr>
              <w:jc w:val="center"/>
              <w:rPr>
                <w:rFonts w:ascii="Arial Narrow" w:hAnsi="Arial Narrow"/>
                <w:b/>
                <w:sz w:val="16"/>
                <w:szCs w:val="16"/>
              </w:rPr>
            </w:pPr>
            <w:r>
              <w:rPr>
                <w:rFonts w:ascii="Arial Narrow" w:hAnsi="Arial Narrow"/>
                <w:b/>
                <w:sz w:val="16"/>
                <w:szCs w:val="16"/>
              </w:rPr>
              <w:t>ΜΠΔΣ</w:t>
            </w:r>
          </w:p>
        </w:tc>
        <w:tc>
          <w:tcPr>
            <w:tcW w:w="976" w:type="dxa"/>
            <w:tcBorders>
              <w:top w:val="single" w:sz="4" w:space="0" w:color="auto"/>
              <w:left w:val="single" w:sz="4" w:space="0" w:color="auto"/>
              <w:bottom w:val="single" w:sz="4" w:space="0" w:color="auto"/>
              <w:right w:val="single" w:sz="4" w:space="0" w:color="auto"/>
            </w:tcBorders>
            <w:vAlign w:val="center"/>
          </w:tcPr>
          <w:p w:rsidR="00B01F9F" w:rsidRPr="006B2DB8" w:rsidRDefault="00B01F9F" w:rsidP="003625C5">
            <w:pPr>
              <w:jc w:val="center"/>
              <w:rPr>
                <w:rFonts w:ascii="Arial Narrow" w:hAnsi="Arial Narrow"/>
                <w:b/>
                <w:sz w:val="16"/>
                <w:szCs w:val="16"/>
              </w:rPr>
            </w:pPr>
            <w:r>
              <w:rPr>
                <w:rFonts w:ascii="Arial Narrow" w:hAnsi="Arial Narrow"/>
                <w:b/>
                <w:sz w:val="16"/>
                <w:szCs w:val="16"/>
              </w:rPr>
              <w:t>Προβλέψεις</w:t>
            </w:r>
          </w:p>
        </w:tc>
      </w:tr>
      <w:tr w:rsidR="00BE3746" w:rsidRPr="006B2DB8" w:rsidTr="00B01F9F">
        <w:trPr>
          <w:cantSplit/>
          <w:jc w:val="center"/>
        </w:trPr>
        <w:tc>
          <w:tcPr>
            <w:tcW w:w="312" w:type="dxa"/>
            <w:tcBorders>
              <w:top w:val="single" w:sz="4" w:space="0" w:color="auto"/>
              <w:left w:val="single" w:sz="4" w:space="0" w:color="auto"/>
            </w:tcBorders>
            <w:shd w:val="clear" w:color="auto" w:fill="A6A6A6"/>
          </w:tcPr>
          <w:p w:rsidR="00BE3746" w:rsidRPr="006B2DB8" w:rsidRDefault="00BE3746" w:rsidP="003625C5">
            <w:pPr>
              <w:tabs>
                <w:tab w:val="num" w:pos="900"/>
              </w:tabs>
              <w:spacing w:before="60" w:after="60"/>
              <w:jc w:val="right"/>
              <w:rPr>
                <w:rFonts w:ascii="Arial Narrow" w:hAnsi="Arial Narrow"/>
                <w:b/>
                <w:sz w:val="16"/>
                <w:szCs w:val="16"/>
              </w:rPr>
            </w:pPr>
            <w:r w:rsidRPr="006B2DB8">
              <w:rPr>
                <w:rFonts w:ascii="Arial Narrow" w:hAnsi="Arial Narrow"/>
                <w:b/>
                <w:sz w:val="16"/>
                <w:szCs w:val="16"/>
              </w:rPr>
              <w:t>Α</w:t>
            </w:r>
          </w:p>
        </w:tc>
        <w:tc>
          <w:tcPr>
            <w:tcW w:w="4678" w:type="dxa"/>
            <w:tcBorders>
              <w:top w:val="single" w:sz="4" w:space="0" w:color="auto"/>
            </w:tcBorders>
            <w:shd w:val="clear" w:color="auto" w:fill="A6A6A6"/>
          </w:tcPr>
          <w:p w:rsidR="00BE3746" w:rsidRPr="006B2DB8" w:rsidRDefault="00BE3746" w:rsidP="00BE3746">
            <w:pPr>
              <w:tabs>
                <w:tab w:val="num" w:pos="900"/>
              </w:tabs>
              <w:spacing w:before="60" w:after="60"/>
              <w:rPr>
                <w:rFonts w:ascii="Arial Narrow" w:hAnsi="Arial Narrow"/>
                <w:b/>
                <w:sz w:val="16"/>
                <w:szCs w:val="16"/>
              </w:rPr>
            </w:pPr>
            <w:r w:rsidRPr="006B2DB8">
              <w:rPr>
                <w:rFonts w:ascii="Arial Narrow" w:hAnsi="Arial Narrow"/>
                <w:b/>
                <w:sz w:val="16"/>
                <w:szCs w:val="16"/>
              </w:rPr>
              <w:t>Έσοδα (1+2+3+4+5+6</w:t>
            </w:r>
            <w:r>
              <w:rPr>
                <w:rFonts w:ascii="Arial Narrow" w:hAnsi="Arial Narrow"/>
                <w:b/>
                <w:sz w:val="16"/>
                <w:szCs w:val="16"/>
              </w:rPr>
              <w:t>)</w:t>
            </w:r>
          </w:p>
        </w:tc>
        <w:tc>
          <w:tcPr>
            <w:tcW w:w="992" w:type="dxa"/>
            <w:tcBorders>
              <w:top w:val="single" w:sz="4" w:space="0" w:color="auto"/>
            </w:tcBorders>
            <w:shd w:val="clear" w:color="auto" w:fill="A6A6A6"/>
            <w:vAlign w:val="bottom"/>
          </w:tcPr>
          <w:p w:rsidR="00BE3746" w:rsidRPr="00BF3DD0" w:rsidRDefault="00BE3746" w:rsidP="00BE3746">
            <w:pPr>
              <w:ind w:right="227"/>
              <w:jc w:val="right"/>
              <w:rPr>
                <w:rFonts w:ascii="Arial Narrow" w:hAnsi="Arial Narrow"/>
                <w:b/>
                <w:bCs/>
                <w:color w:val="000000"/>
                <w:sz w:val="16"/>
                <w:szCs w:val="16"/>
              </w:rPr>
            </w:pPr>
            <w:r w:rsidRPr="00BF3DD0">
              <w:rPr>
                <w:rFonts w:ascii="Arial Narrow" w:hAnsi="Arial Narrow"/>
                <w:b/>
                <w:bCs/>
                <w:color w:val="000000"/>
                <w:sz w:val="16"/>
                <w:szCs w:val="16"/>
              </w:rPr>
              <w:t>7.424</w:t>
            </w:r>
          </w:p>
        </w:tc>
        <w:tc>
          <w:tcPr>
            <w:tcW w:w="992" w:type="dxa"/>
            <w:tcBorders>
              <w:top w:val="single" w:sz="4" w:space="0" w:color="auto"/>
            </w:tcBorders>
            <w:shd w:val="clear" w:color="auto" w:fill="A6A6A6"/>
            <w:vAlign w:val="bottom"/>
          </w:tcPr>
          <w:p w:rsidR="00BE3746" w:rsidRPr="00BF3DD0" w:rsidRDefault="00BE3746" w:rsidP="00BE3746">
            <w:pPr>
              <w:ind w:right="227"/>
              <w:jc w:val="right"/>
              <w:rPr>
                <w:rFonts w:ascii="Arial Narrow" w:hAnsi="Arial Narrow"/>
                <w:b/>
                <w:bCs/>
                <w:color w:val="000000"/>
                <w:sz w:val="16"/>
                <w:szCs w:val="16"/>
              </w:rPr>
            </w:pPr>
            <w:r w:rsidRPr="00BF3DD0">
              <w:rPr>
                <w:rFonts w:ascii="Arial Narrow" w:hAnsi="Arial Narrow"/>
                <w:b/>
                <w:bCs/>
                <w:color w:val="000000"/>
                <w:sz w:val="16"/>
                <w:szCs w:val="16"/>
              </w:rPr>
              <w:t>7.014</w:t>
            </w:r>
          </w:p>
        </w:tc>
        <w:tc>
          <w:tcPr>
            <w:tcW w:w="867" w:type="dxa"/>
            <w:tcBorders>
              <w:top w:val="single" w:sz="4" w:space="0" w:color="auto"/>
            </w:tcBorders>
            <w:shd w:val="clear" w:color="auto" w:fill="A6A6A6"/>
            <w:vAlign w:val="bottom"/>
          </w:tcPr>
          <w:p w:rsidR="00BE3746" w:rsidRPr="00BF3DD0" w:rsidRDefault="00BE3746" w:rsidP="00BE3746">
            <w:pPr>
              <w:ind w:right="227"/>
              <w:jc w:val="right"/>
              <w:rPr>
                <w:rFonts w:ascii="Arial Narrow" w:hAnsi="Arial Narrow"/>
                <w:b/>
                <w:bCs/>
                <w:color w:val="000000"/>
                <w:sz w:val="16"/>
                <w:szCs w:val="16"/>
              </w:rPr>
            </w:pPr>
            <w:r w:rsidRPr="00BF3DD0">
              <w:rPr>
                <w:rFonts w:ascii="Arial Narrow" w:hAnsi="Arial Narrow"/>
                <w:b/>
                <w:bCs/>
                <w:color w:val="000000"/>
                <w:sz w:val="16"/>
                <w:szCs w:val="16"/>
              </w:rPr>
              <w:t>7.761</w:t>
            </w:r>
          </w:p>
        </w:tc>
        <w:tc>
          <w:tcPr>
            <w:tcW w:w="976" w:type="dxa"/>
            <w:tcBorders>
              <w:top w:val="single" w:sz="4" w:space="0" w:color="auto"/>
              <w:right w:val="single" w:sz="4" w:space="0" w:color="auto"/>
            </w:tcBorders>
            <w:shd w:val="clear" w:color="auto" w:fill="A6A6A6"/>
            <w:vAlign w:val="bottom"/>
          </w:tcPr>
          <w:p w:rsidR="00BE3746" w:rsidRPr="00BF3DD0" w:rsidRDefault="00BE3746" w:rsidP="00BE3746">
            <w:pPr>
              <w:ind w:right="227"/>
              <w:jc w:val="right"/>
              <w:rPr>
                <w:rFonts w:ascii="Arial Narrow" w:hAnsi="Arial Narrow"/>
                <w:b/>
                <w:bCs/>
                <w:color w:val="000000"/>
                <w:sz w:val="16"/>
                <w:szCs w:val="16"/>
              </w:rPr>
            </w:pPr>
            <w:r w:rsidRPr="00BF3DD0">
              <w:rPr>
                <w:rFonts w:ascii="Arial Narrow" w:hAnsi="Arial Narrow"/>
                <w:b/>
                <w:bCs/>
                <w:color w:val="000000"/>
                <w:sz w:val="16"/>
                <w:szCs w:val="16"/>
              </w:rPr>
              <w:t>7.276</w:t>
            </w:r>
          </w:p>
        </w:tc>
      </w:tr>
      <w:tr w:rsidR="00BE3746" w:rsidRPr="006B2DB8" w:rsidTr="00B01F9F">
        <w:trPr>
          <w:cantSplit/>
          <w:jc w:val="center"/>
        </w:trPr>
        <w:tc>
          <w:tcPr>
            <w:tcW w:w="312" w:type="dxa"/>
            <w:tcBorders>
              <w:left w:val="single" w:sz="4" w:space="0" w:color="auto"/>
            </w:tcBorders>
          </w:tcPr>
          <w:p w:rsidR="00BE3746" w:rsidRPr="006B2DB8" w:rsidRDefault="00BE3746" w:rsidP="00E5670A">
            <w:pPr>
              <w:tabs>
                <w:tab w:val="num" w:pos="900"/>
              </w:tabs>
              <w:jc w:val="right"/>
              <w:rPr>
                <w:rFonts w:ascii="Arial Narrow" w:hAnsi="Arial Narrow"/>
                <w:sz w:val="16"/>
                <w:szCs w:val="16"/>
              </w:rPr>
            </w:pPr>
            <w:r w:rsidRPr="006B2DB8">
              <w:rPr>
                <w:rFonts w:ascii="Arial Narrow" w:hAnsi="Arial Narrow"/>
                <w:sz w:val="16"/>
                <w:szCs w:val="16"/>
              </w:rPr>
              <w:t>1</w:t>
            </w:r>
          </w:p>
        </w:tc>
        <w:tc>
          <w:tcPr>
            <w:tcW w:w="4678" w:type="dxa"/>
          </w:tcPr>
          <w:p w:rsidR="00BE3746" w:rsidRPr="006B2DB8" w:rsidRDefault="00BE3746" w:rsidP="003625C5">
            <w:pPr>
              <w:tabs>
                <w:tab w:val="num" w:pos="900"/>
              </w:tabs>
              <w:rPr>
                <w:rFonts w:ascii="Arial Narrow" w:hAnsi="Arial Narrow"/>
                <w:sz w:val="16"/>
                <w:szCs w:val="16"/>
              </w:rPr>
            </w:pPr>
            <w:r>
              <w:rPr>
                <w:rFonts w:ascii="Arial Narrow" w:hAnsi="Arial Narrow"/>
                <w:sz w:val="16"/>
                <w:szCs w:val="16"/>
              </w:rPr>
              <w:t>Επιχορηγήσεις</w:t>
            </w:r>
            <w:r w:rsidRPr="006B2DB8">
              <w:rPr>
                <w:rFonts w:ascii="Arial Narrow" w:hAnsi="Arial Narrow"/>
                <w:sz w:val="16"/>
                <w:szCs w:val="16"/>
              </w:rPr>
              <w:t xml:space="preserve"> από Τακτικό Προϋπολογισμό</w:t>
            </w:r>
          </w:p>
        </w:tc>
        <w:tc>
          <w:tcPr>
            <w:tcW w:w="992"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3.037</w:t>
            </w:r>
          </w:p>
        </w:tc>
        <w:tc>
          <w:tcPr>
            <w:tcW w:w="992"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3.020</w:t>
            </w:r>
          </w:p>
        </w:tc>
        <w:tc>
          <w:tcPr>
            <w:tcW w:w="867"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3.319</w:t>
            </w:r>
          </w:p>
        </w:tc>
        <w:tc>
          <w:tcPr>
            <w:tcW w:w="976" w:type="dxa"/>
            <w:tcBorders>
              <w:right w:val="single" w:sz="4" w:space="0" w:color="auto"/>
            </w:tcBorders>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3.193</w:t>
            </w:r>
          </w:p>
        </w:tc>
      </w:tr>
      <w:tr w:rsidR="00BE3746" w:rsidRPr="0012422B" w:rsidTr="00B01F9F">
        <w:trPr>
          <w:cantSplit/>
          <w:jc w:val="center"/>
        </w:trPr>
        <w:tc>
          <w:tcPr>
            <w:tcW w:w="312" w:type="dxa"/>
            <w:tcBorders>
              <w:left w:val="single" w:sz="4" w:space="0" w:color="auto"/>
            </w:tcBorders>
          </w:tcPr>
          <w:p w:rsidR="00BE3746" w:rsidRPr="0012422B" w:rsidRDefault="00BE3746" w:rsidP="00E5670A">
            <w:pPr>
              <w:jc w:val="right"/>
              <w:rPr>
                <w:rFonts w:ascii="Arial Narrow" w:hAnsi="Arial Narrow"/>
                <w:color w:val="000000"/>
                <w:sz w:val="16"/>
                <w:szCs w:val="16"/>
              </w:rPr>
            </w:pPr>
            <w:r w:rsidRPr="0012422B">
              <w:rPr>
                <w:rFonts w:ascii="Arial Narrow" w:hAnsi="Arial Narrow"/>
                <w:color w:val="000000"/>
                <w:sz w:val="16"/>
                <w:szCs w:val="16"/>
              </w:rPr>
              <w:t>2</w:t>
            </w:r>
          </w:p>
        </w:tc>
        <w:tc>
          <w:tcPr>
            <w:tcW w:w="4678" w:type="dxa"/>
          </w:tcPr>
          <w:p w:rsidR="00BE3746" w:rsidRPr="0012422B" w:rsidRDefault="00BE3746" w:rsidP="00E5670A">
            <w:pPr>
              <w:ind w:right="227"/>
              <w:rPr>
                <w:rFonts w:ascii="Arial Narrow" w:hAnsi="Arial Narrow"/>
                <w:color w:val="000000"/>
                <w:sz w:val="16"/>
                <w:szCs w:val="16"/>
              </w:rPr>
            </w:pPr>
            <w:r w:rsidRPr="0012422B">
              <w:rPr>
                <w:rFonts w:ascii="Arial Narrow" w:hAnsi="Arial Narrow"/>
                <w:color w:val="000000"/>
                <w:sz w:val="16"/>
                <w:szCs w:val="16"/>
              </w:rPr>
              <w:t xml:space="preserve">Επιχορηγήσεις από ΠΔΕ </w:t>
            </w:r>
          </w:p>
        </w:tc>
        <w:tc>
          <w:tcPr>
            <w:tcW w:w="992"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846</w:t>
            </w:r>
          </w:p>
        </w:tc>
        <w:tc>
          <w:tcPr>
            <w:tcW w:w="992"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562</w:t>
            </w:r>
          </w:p>
        </w:tc>
        <w:tc>
          <w:tcPr>
            <w:tcW w:w="867"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826</w:t>
            </w:r>
          </w:p>
        </w:tc>
        <w:tc>
          <w:tcPr>
            <w:tcW w:w="976" w:type="dxa"/>
            <w:tcBorders>
              <w:right w:val="single" w:sz="4" w:space="0" w:color="auto"/>
            </w:tcBorders>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549</w:t>
            </w:r>
          </w:p>
        </w:tc>
      </w:tr>
      <w:tr w:rsidR="00BE3746" w:rsidRPr="006B2DB8" w:rsidTr="00B01F9F">
        <w:trPr>
          <w:cantSplit/>
          <w:jc w:val="center"/>
        </w:trPr>
        <w:tc>
          <w:tcPr>
            <w:tcW w:w="312" w:type="dxa"/>
            <w:tcBorders>
              <w:left w:val="single" w:sz="4" w:space="0" w:color="auto"/>
            </w:tcBorders>
          </w:tcPr>
          <w:p w:rsidR="00BE3746" w:rsidRPr="006B2DB8" w:rsidRDefault="00BE3746" w:rsidP="00E5670A">
            <w:pPr>
              <w:tabs>
                <w:tab w:val="num" w:pos="900"/>
              </w:tabs>
              <w:jc w:val="right"/>
              <w:rPr>
                <w:rFonts w:ascii="Arial Narrow" w:hAnsi="Arial Narrow"/>
                <w:sz w:val="16"/>
                <w:szCs w:val="16"/>
              </w:rPr>
            </w:pPr>
            <w:r w:rsidRPr="006B2DB8">
              <w:rPr>
                <w:rFonts w:ascii="Arial Narrow" w:hAnsi="Arial Narrow"/>
                <w:sz w:val="16"/>
                <w:szCs w:val="16"/>
              </w:rPr>
              <w:t>3</w:t>
            </w:r>
          </w:p>
        </w:tc>
        <w:tc>
          <w:tcPr>
            <w:tcW w:w="4678" w:type="dxa"/>
          </w:tcPr>
          <w:p w:rsidR="00BE3746" w:rsidRPr="006B2DB8" w:rsidRDefault="00BE3746" w:rsidP="003625C5">
            <w:pPr>
              <w:tabs>
                <w:tab w:val="num" w:pos="900"/>
              </w:tabs>
              <w:rPr>
                <w:rFonts w:ascii="Arial Narrow" w:hAnsi="Arial Narrow"/>
                <w:sz w:val="16"/>
                <w:szCs w:val="16"/>
              </w:rPr>
            </w:pPr>
            <w:r w:rsidRPr="006B2DB8">
              <w:rPr>
                <w:rFonts w:ascii="Arial Narrow" w:hAnsi="Arial Narrow"/>
                <w:sz w:val="16"/>
                <w:szCs w:val="16"/>
              </w:rPr>
              <w:t>Τόκοι</w:t>
            </w:r>
          </w:p>
        </w:tc>
        <w:tc>
          <w:tcPr>
            <w:tcW w:w="992"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41</w:t>
            </w:r>
          </w:p>
        </w:tc>
        <w:tc>
          <w:tcPr>
            <w:tcW w:w="992"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41</w:t>
            </w:r>
          </w:p>
        </w:tc>
        <w:tc>
          <w:tcPr>
            <w:tcW w:w="867"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41</w:t>
            </w:r>
          </w:p>
        </w:tc>
        <w:tc>
          <w:tcPr>
            <w:tcW w:w="976" w:type="dxa"/>
            <w:tcBorders>
              <w:right w:val="single" w:sz="4" w:space="0" w:color="auto"/>
            </w:tcBorders>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41</w:t>
            </w:r>
          </w:p>
        </w:tc>
      </w:tr>
      <w:tr w:rsidR="00BE3746" w:rsidRPr="006B2DB8" w:rsidTr="00B01F9F">
        <w:trPr>
          <w:cantSplit/>
          <w:jc w:val="center"/>
        </w:trPr>
        <w:tc>
          <w:tcPr>
            <w:tcW w:w="312" w:type="dxa"/>
            <w:tcBorders>
              <w:left w:val="single" w:sz="4" w:space="0" w:color="auto"/>
            </w:tcBorders>
          </w:tcPr>
          <w:p w:rsidR="00BE3746" w:rsidRPr="006B2DB8" w:rsidRDefault="00BE3746" w:rsidP="003625C5">
            <w:pPr>
              <w:tabs>
                <w:tab w:val="num" w:pos="900"/>
              </w:tabs>
              <w:jc w:val="right"/>
              <w:rPr>
                <w:rFonts w:ascii="Arial Narrow" w:hAnsi="Arial Narrow"/>
                <w:sz w:val="16"/>
                <w:szCs w:val="16"/>
              </w:rPr>
            </w:pPr>
            <w:r w:rsidRPr="006B2DB8">
              <w:rPr>
                <w:rFonts w:ascii="Arial Narrow" w:hAnsi="Arial Narrow"/>
                <w:sz w:val="16"/>
                <w:szCs w:val="16"/>
              </w:rPr>
              <w:t>4</w:t>
            </w:r>
          </w:p>
        </w:tc>
        <w:tc>
          <w:tcPr>
            <w:tcW w:w="4678" w:type="dxa"/>
          </w:tcPr>
          <w:p w:rsidR="00BE3746" w:rsidRPr="006B2DB8" w:rsidRDefault="00BE3746" w:rsidP="003625C5">
            <w:pPr>
              <w:tabs>
                <w:tab w:val="num" w:pos="900"/>
              </w:tabs>
              <w:rPr>
                <w:rFonts w:ascii="Arial Narrow" w:hAnsi="Arial Narrow"/>
                <w:sz w:val="16"/>
                <w:szCs w:val="16"/>
              </w:rPr>
            </w:pPr>
            <w:r w:rsidRPr="006B2DB8">
              <w:rPr>
                <w:rFonts w:ascii="Arial Narrow" w:hAnsi="Arial Narrow"/>
                <w:sz w:val="16"/>
                <w:szCs w:val="16"/>
              </w:rPr>
              <w:t>Έσοδα από προγράμματα της ΕΕ</w:t>
            </w:r>
          </w:p>
        </w:tc>
        <w:tc>
          <w:tcPr>
            <w:tcW w:w="992"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14</w:t>
            </w:r>
          </w:p>
        </w:tc>
        <w:tc>
          <w:tcPr>
            <w:tcW w:w="992"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18</w:t>
            </w:r>
          </w:p>
        </w:tc>
        <w:tc>
          <w:tcPr>
            <w:tcW w:w="867" w:type="dxa"/>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14</w:t>
            </w:r>
          </w:p>
        </w:tc>
        <w:tc>
          <w:tcPr>
            <w:tcW w:w="976" w:type="dxa"/>
            <w:tcBorders>
              <w:right w:val="single" w:sz="4" w:space="0" w:color="auto"/>
            </w:tcBorders>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18</w:t>
            </w:r>
          </w:p>
        </w:tc>
      </w:tr>
      <w:tr w:rsidR="00BE3746" w:rsidRPr="006B2DB8" w:rsidTr="00B01F9F">
        <w:trPr>
          <w:cantSplit/>
          <w:jc w:val="center"/>
        </w:trPr>
        <w:tc>
          <w:tcPr>
            <w:tcW w:w="312" w:type="dxa"/>
            <w:tcBorders>
              <w:left w:val="single" w:sz="4" w:space="0" w:color="auto"/>
            </w:tcBorders>
            <w:shd w:val="clear" w:color="auto" w:fill="FFFFFF"/>
          </w:tcPr>
          <w:p w:rsidR="00BE3746" w:rsidRPr="006B2DB8" w:rsidRDefault="00BE3746" w:rsidP="003625C5">
            <w:pPr>
              <w:tabs>
                <w:tab w:val="num" w:pos="900"/>
              </w:tabs>
              <w:jc w:val="right"/>
              <w:rPr>
                <w:rFonts w:ascii="Arial Narrow" w:hAnsi="Arial Narrow"/>
                <w:sz w:val="16"/>
                <w:szCs w:val="16"/>
              </w:rPr>
            </w:pPr>
            <w:r w:rsidRPr="006B2DB8">
              <w:rPr>
                <w:rFonts w:ascii="Arial Narrow" w:hAnsi="Arial Narrow"/>
                <w:sz w:val="16"/>
                <w:szCs w:val="16"/>
              </w:rPr>
              <w:t>5</w:t>
            </w:r>
          </w:p>
        </w:tc>
        <w:tc>
          <w:tcPr>
            <w:tcW w:w="4678" w:type="dxa"/>
            <w:shd w:val="clear" w:color="auto" w:fill="FFFFFF"/>
          </w:tcPr>
          <w:p w:rsidR="00BE3746" w:rsidRPr="006B2DB8" w:rsidRDefault="00BE3746" w:rsidP="003625C5">
            <w:pPr>
              <w:tabs>
                <w:tab w:val="num" w:pos="900"/>
              </w:tabs>
              <w:rPr>
                <w:rFonts w:ascii="Arial Narrow" w:hAnsi="Arial Narrow"/>
                <w:sz w:val="16"/>
                <w:szCs w:val="16"/>
              </w:rPr>
            </w:pPr>
            <w:r w:rsidRPr="006B2DB8">
              <w:rPr>
                <w:rFonts w:ascii="Arial Narrow" w:hAnsi="Arial Narrow"/>
                <w:sz w:val="16"/>
                <w:szCs w:val="16"/>
              </w:rPr>
              <w:t>Λοιπά έσοδα</w:t>
            </w:r>
          </w:p>
        </w:tc>
        <w:tc>
          <w:tcPr>
            <w:tcW w:w="992" w:type="dxa"/>
            <w:shd w:val="clear" w:color="auto" w:fill="FFFFFF"/>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2.622</w:t>
            </w:r>
          </w:p>
        </w:tc>
        <w:tc>
          <w:tcPr>
            <w:tcW w:w="992" w:type="dxa"/>
            <w:shd w:val="clear" w:color="auto" w:fill="FFFFFF"/>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2.577</w:t>
            </w:r>
          </w:p>
        </w:tc>
        <w:tc>
          <w:tcPr>
            <w:tcW w:w="867" w:type="dxa"/>
            <w:shd w:val="clear" w:color="auto" w:fill="FFFFFF"/>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2.702</w:t>
            </w:r>
          </w:p>
        </w:tc>
        <w:tc>
          <w:tcPr>
            <w:tcW w:w="976" w:type="dxa"/>
            <w:tcBorders>
              <w:right w:val="single" w:sz="4" w:space="0" w:color="auto"/>
            </w:tcBorders>
            <w:shd w:val="clear" w:color="auto" w:fill="FFFFFF"/>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2.629</w:t>
            </w:r>
          </w:p>
        </w:tc>
      </w:tr>
      <w:tr w:rsidR="00BE3746" w:rsidRPr="006B2DB8" w:rsidTr="00B01F9F">
        <w:trPr>
          <w:cantSplit/>
          <w:jc w:val="center"/>
        </w:trPr>
        <w:tc>
          <w:tcPr>
            <w:tcW w:w="312" w:type="dxa"/>
            <w:tcBorders>
              <w:left w:val="single" w:sz="4" w:space="0" w:color="auto"/>
            </w:tcBorders>
            <w:shd w:val="clear" w:color="auto" w:fill="FFFFFF"/>
          </w:tcPr>
          <w:p w:rsidR="00BE3746" w:rsidRPr="006B2DB8" w:rsidRDefault="00BE3746" w:rsidP="003625C5">
            <w:pPr>
              <w:tabs>
                <w:tab w:val="num" w:pos="900"/>
              </w:tabs>
              <w:jc w:val="right"/>
              <w:rPr>
                <w:rFonts w:ascii="Arial Narrow" w:hAnsi="Arial Narrow"/>
                <w:i/>
                <w:sz w:val="16"/>
                <w:szCs w:val="16"/>
              </w:rPr>
            </w:pPr>
          </w:p>
        </w:tc>
        <w:tc>
          <w:tcPr>
            <w:tcW w:w="4678" w:type="dxa"/>
            <w:shd w:val="clear" w:color="auto" w:fill="FFFFFF"/>
          </w:tcPr>
          <w:p w:rsidR="00BE3746" w:rsidRPr="006B2DB8" w:rsidRDefault="00BE3746" w:rsidP="003625C5">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από ανταποδοτικά τέλη και δικαιώματα</w:t>
            </w:r>
          </w:p>
        </w:tc>
        <w:tc>
          <w:tcPr>
            <w:tcW w:w="992"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1143</w:t>
            </w:r>
          </w:p>
        </w:tc>
        <w:tc>
          <w:tcPr>
            <w:tcW w:w="992"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1060</w:t>
            </w:r>
          </w:p>
        </w:tc>
        <w:tc>
          <w:tcPr>
            <w:tcW w:w="867"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1196</w:t>
            </w:r>
          </w:p>
        </w:tc>
        <w:tc>
          <w:tcPr>
            <w:tcW w:w="976" w:type="dxa"/>
            <w:tcBorders>
              <w:right w:val="single" w:sz="4" w:space="0" w:color="auto"/>
            </w:tcBorders>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1079</w:t>
            </w:r>
          </w:p>
        </w:tc>
      </w:tr>
      <w:tr w:rsidR="00BE3746" w:rsidRPr="006B2DB8" w:rsidTr="00B01F9F">
        <w:trPr>
          <w:cantSplit/>
          <w:jc w:val="center"/>
        </w:trPr>
        <w:tc>
          <w:tcPr>
            <w:tcW w:w="312" w:type="dxa"/>
            <w:tcBorders>
              <w:left w:val="single" w:sz="4" w:space="0" w:color="auto"/>
            </w:tcBorders>
            <w:shd w:val="clear" w:color="auto" w:fill="FFFFFF"/>
          </w:tcPr>
          <w:p w:rsidR="00BE3746" w:rsidRPr="006B2DB8" w:rsidRDefault="00BE3746" w:rsidP="003625C5">
            <w:pPr>
              <w:tabs>
                <w:tab w:val="num" w:pos="900"/>
              </w:tabs>
              <w:jc w:val="right"/>
              <w:rPr>
                <w:rFonts w:ascii="Arial Narrow" w:hAnsi="Arial Narrow"/>
                <w:i/>
                <w:sz w:val="16"/>
                <w:szCs w:val="16"/>
              </w:rPr>
            </w:pPr>
          </w:p>
        </w:tc>
        <w:tc>
          <w:tcPr>
            <w:tcW w:w="4678" w:type="dxa"/>
            <w:shd w:val="clear" w:color="auto" w:fill="FFFFFF"/>
          </w:tcPr>
          <w:p w:rsidR="00BE3746" w:rsidRPr="006B2DB8" w:rsidRDefault="00BE3746" w:rsidP="003625C5">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από φόρους, λοιπά τέλη, δικαιώματα και παροχή υπηρεσιών</w:t>
            </w:r>
          </w:p>
        </w:tc>
        <w:tc>
          <w:tcPr>
            <w:tcW w:w="992"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578</w:t>
            </w:r>
          </w:p>
        </w:tc>
        <w:tc>
          <w:tcPr>
            <w:tcW w:w="992"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557</w:t>
            </w:r>
          </w:p>
        </w:tc>
        <w:tc>
          <w:tcPr>
            <w:tcW w:w="867"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595</w:t>
            </w:r>
          </w:p>
        </w:tc>
        <w:tc>
          <w:tcPr>
            <w:tcW w:w="976" w:type="dxa"/>
            <w:tcBorders>
              <w:right w:val="single" w:sz="4" w:space="0" w:color="auto"/>
            </w:tcBorders>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575</w:t>
            </w:r>
          </w:p>
        </w:tc>
      </w:tr>
      <w:tr w:rsidR="00BE3746" w:rsidRPr="006B2DB8" w:rsidTr="00B01F9F">
        <w:trPr>
          <w:cantSplit/>
          <w:jc w:val="center"/>
        </w:trPr>
        <w:tc>
          <w:tcPr>
            <w:tcW w:w="312" w:type="dxa"/>
            <w:tcBorders>
              <w:left w:val="single" w:sz="4" w:space="0" w:color="auto"/>
            </w:tcBorders>
            <w:shd w:val="clear" w:color="auto" w:fill="FFFFFF"/>
          </w:tcPr>
          <w:p w:rsidR="00BE3746" w:rsidRPr="006B2DB8" w:rsidRDefault="00BE3746" w:rsidP="003625C5">
            <w:pPr>
              <w:tabs>
                <w:tab w:val="num" w:pos="900"/>
              </w:tabs>
              <w:jc w:val="right"/>
              <w:rPr>
                <w:rFonts w:ascii="Arial Narrow" w:hAnsi="Arial Narrow"/>
                <w:i/>
                <w:sz w:val="16"/>
                <w:szCs w:val="16"/>
              </w:rPr>
            </w:pPr>
          </w:p>
        </w:tc>
        <w:tc>
          <w:tcPr>
            <w:tcW w:w="4678" w:type="dxa"/>
            <w:shd w:val="clear" w:color="auto" w:fill="FFFFFF"/>
          </w:tcPr>
          <w:p w:rsidR="00BE3746" w:rsidRPr="006B2DB8" w:rsidRDefault="00BE3746" w:rsidP="003625C5">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Λοιπά ίδια έσοδα</w:t>
            </w:r>
          </w:p>
        </w:tc>
        <w:tc>
          <w:tcPr>
            <w:tcW w:w="992"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405</w:t>
            </w:r>
          </w:p>
        </w:tc>
        <w:tc>
          <w:tcPr>
            <w:tcW w:w="992"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485</w:t>
            </w:r>
          </w:p>
        </w:tc>
        <w:tc>
          <w:tcPr>
            <w:tcW w:w="867"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400</w:t>
            </w:r>
          </w:p>
        </w:tc>
        <w:tc>
          <w:tcPr>
            <w:tcW w:w="976" w:type="dxa"/>
            <w:tcBorders>
              <w:right w:val="single" w:sz="4" w:space="0" w:color="auto"/>
            </w:tcBorders>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486</w:t>
            </w:r>
          </w:p>
        </w:tc>
      </w:tr>
      <w:tr w:rsidR="00BE3746" w:rsidRPr="006B2DB8" w:rsidTr="00B01F9F">
        <w:trPr>
          <w:cantSplit/>
          <w:jc w:val="center"/>
        </w:trPr>
        <w:tc>
          <w:tcPr>
            <w:tcW w:w="312" w:type="dxa"/>
            <w:tcBorders>
              <w:left w:val="single" w:sz="4" w:space="0" w:color="auto"/>
            </w:tcBorders>
            <w:shd w:val="clear" w:color="auto" w:fill="FFFFFF"/>
          </w:tcPr>
          <w:p w:rsidR="00BE3746" w:rsidRPr="006B2DB8" w:rsidRDefault="00BE3746" w:rsidP="003625C5">
            <w:pPr>
              <w:tabs>
                <w:tab w:val="num" w:pos="900"/>
              </w:tabs>
              <w:jc w:val="right"/>
              <w:rPr>
                <w:rFonts w:ascii="Arial Narrow" w:hAnsi="Arial Narrow"/>
                <w:i/>
                <w:sz w:val="16"/>
                <w:szCs w:val="16"/>
              </w:rPr>
            </w:pPr>
          </w:p>
        </w:tc>
        <w:tc>
          <w:tcPr>
            <w:tcW w:w="4678" w:type="dxa"/>
            <w:shd w:val="clear" w:color="auto" w:fill="FFFFFF"/>
          </w:tcPr>
          <w:p w:rsidR="00BE3746" w:rsidRPr="006B2DB8" w:rsidRDefault="00BE3746" w:rsidP="003625C5">
            <w:pPr>
              <w:tabs>
                <w:tab w:val="num" w:pos="176"/>
              </w:tabs>
              <w:ind w:left="176" w:hanging="176"/>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Έσοδα ΠΟΕ</w:t>
            </w:r>
          </w:p>
        </w:tc>
        <w:tc>
          <w:tcPr>
            <w:tcW w:w="992"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495</w:t>
            </w:r>
          </w:p>
        </w:tc>
        <w:tc>
          <w:tcPr>
            <w:tcW w:w="992"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475</w:t>
            </w:r>
          </w:p>
        </w:tc>
        <w:tc>
          <w:tcPr>
            <w:tcW w:w="867" w:type="dxa"/>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511</w:t>
            </w:r>
          </w:p>
        </w:tc>
        <w:tc>
          <w:tcPr>
            <w:tcW w:w="976" w:type="dxa"/>
            <w:tcBorders>
              <w:right w:val="single" w:sz="4" w:space="0" w:color="auto"/>
            </w:tcBorders>
            <w:shd w:val="clear" w:color="auto" w:fill="FFFFFF"/>
            <w:vAlign w:val="center"/>
          </w:tcPr>
          <w:p w:rsidR="00BE3746" w:rsidRPr="00BF3DD0" w:rsidRDefault="00BE3746" w:rsidP="00BE3746">
            <w:pPr>
              <w:ind w:right="227"/>
              <w:jc w:val="right"/>
              <w:rPr>
                <w:rFonts w:ascii="Arial Narrow" w:hAnsi="Arial Narrow"/>
                <w:i/>
                <w:iCs/>
                <w:color w:val="000000"/>
                <w:sz w:val="16"/>
                <w:szCs w:val="16"/>
              </w:rPr>
            </w:pPr>
            <w:r w:rsidRPr="00BF3DD0">
              <w:rPr>
                <w:rFonts w:ascii="Arial Narrow" w:hAnsi="Arial Narrow"/>
                <w:i/>
                <w:iCs/>
                <w:color w:val="000000"/>
                <w:sz w:val="16"/>
                <w:szCs w:val="16"/>
              </w:rPr>
              <w:t>489</w:t>
            </w:r>
          </w:p>
        </w:tc>
      </w:tr>
      <w:tr w:rsidR="00BE3746" w:rsidRPr="006B2DB8" w:rsidTr="00B01F9F">
        <w:trPr>
          <w:cantSplit/>
          <w:jc w:val="center"/>
        </w:trPr>
        <w:tc>
          <w:tcPr>
            <w:tcW w:w="312" w:type="dxa"/>
            <w:tcBorders>
              <w:left w:val="single" w:sz="4" w:space="0" w:color="auto"/>
            </w:tcBorders>
            <w:shd w:val="clear" w:color="auto" w:fill="FFFFFF"/>
          </w:tcPr>
          <w:p w:rsidR="00BE3746" w:rsidRPr="006B2DB8" w:rsidRDefault="00BE3746" w:rsidP="003625C5">
            <w:pPr>
              <w:tabs>
                <w:tab w:val="num" w:pos="900"/>
              </w:tabs>
              <w:jc w:val="right"/>
              <w:rPr>
                <w:rFonts w:ascii="Arial Narrow" w:hAnsi="Arial Narrow"/>
                <w:sz w:val="16"/>
                <w:szCs w:val="16"/>
              </w:rPr>
            </w:pPr>
            <w:r w:rsidRPr="006B2DB8">
              <w:rPr>
                <w:rFonts w:ascii="Arial Narrow" w:hAnsi="Arial Narrow"/>
                <w:sz w:val="16"/>
                <w:szCs w:val="16"/>
              </w:rPr>
              <w:t>6</w:t>
            </w:r>
          </w:p>
        </w:tc>
        <w:tc>
          <w:tcPr>
            <w:tcW w:w="4678" w:type="dxa"/>
            <w:shd w:val="clear" w:color="auto" w:fill="FFFFFF"/>
          </w:tcPr>
          <w:p w:rsidR="00BE3746" w:rsidRPr="006B2DB8" w:rsidRDefault="00BE3746" w:rsidP="003625C5">
            <w:pPr>
              <w:tabs>
                <w:tab w:val="num" w:pos="176"/>
              </w:tabs>
              <w:ind w:left="176" w:hanging="176"/>
              <w:rPr>
                <w:rFonts w:ascii="Arial Narrow" w:hAnsi="Arial Narrow"/>
                <w:sz w:val="16"/>
                <w:szCs w:val="16"/>
              </w:rPr>
            </w:pPr>
            <w:r w:rsidRPr="006B2DB8">
              <w:rPr>
                <w:rFonts w:ascii="Arial Narrow" w:hAnsi="Arial Narrow"/>
                <w:sz w:val="16"/>
                <w:szCs w:val="16"/>
              </w:rPr>
              <w:t xml:space="preserve">Εισπράξεις υπέρ Δημοσίου και τρίτων </w:t>
            </w:r>
          </w:p>
        </w:tc>
        <w:tc>
          <w:tcPr>
            <w:tcW w:w="992" w:type="dxa"/>
            <w:shd w:val="clear" w:color="auto" w:fill="FFFFFF"/>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864</w:t>
            </w:r>
          </w:p>
        </w:tc>
        <w:tc>
          <w:tcPr>
            <w:tcW w:w="992" w:type="dxa"/>
            <w:shd w:val="clear" w:color="auto" w:fill="FFFFFF"/>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795</w:t>
            </w:r>
          </w:p>
        </w:tc>
        <w:tc>
          <w:tcPr>
            <w:tcW w:w="867" w:type="dxa"/>
            <w:shd w:val="clear" w:color="auto" w:fill="FFFFFF"/>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858</w:t>
            </w:r>
          </w:p>
        </w:tc>
        <w:tc>
          <w:tcPr>
            <w:tcW w:w="976" w:type="dxa"/>
            <w:tcBorders>
              <w:right w:val="single" w:sz="4" w:space="0" w:color="auto"/>
            </w:tcBorders>
            <w:shd w:val="clear" w:color="auto" w:fill="FFFFFF"/>
            <w:vAlign w:val="center"/>
          </w:tcPr>
          <w:p w:rsidR="00BE3746" w:rsidRPr="00BF3DD0" w:rsidRDefault="00BE3746" w:rsidP="00BE3746">
            <w:pPr>
              <w:ind w:right="227"/>
              <w:jc w:val="right"/>
              <w:rPr>
                <w:rFonts w:ascii="Arial Narrow" w:hAnsi="Arial Narrow"/>
                <w:color w:val="000000"/>
                <w:sz w:val="16"/>
                <w:szCs w:val="16"/>
              </w:rPr>
            </w:pPr>
            <w:r w:rsidRPr="00BF3DD0">
              <w:rPr>
                <w:rFonts w:ascii="Arial Narrow" w:hAnsi="Arial Narrow"/>
                <w:color w:val="000000"/>
                <w:sz w:val="16"/>
                <w:szCs w:val="16"/>
              </w:rPr>
              <w:t>846</w:t>
            </w:r>
          </w:p>
        </w:tc>
      </w:tr>
      <w:tr w:rsidR="0012422B" w:rsidRPr="006B2DB8" w:rsidTr="00B01F9F">
        <w:trPr>
          <w:cantSplit/>
          <w:jc w:val="center"/>
        </w:trPr>
        <w:tc>
          <w:tcPr>
            <w:tcW w:w="312" w:type="dxa"/>
            <w:tcBorders>
              <w:left w:val="single" w:sz="4" w:space="0" w:color="auto"/>
            </w:tcBorders>
            <w:shd w:val="clear" w:color="auto" w:fill="A6A6A6"/>
          </w:tcPr>
          <w:p w:rsidR="0012422B" w:rsidRPr="006B2DB8" w:rsidRDefault="0012422B" w:rsidP="003625C5">
            <w:pPr>
              <w:tabs>
                <w:tab w:val="num" w:pos="900"/>
              </w:tabs>
              <w:spacing w:before="60" w:after="60"/>
              <w:jc w:val="right"/>
              <w:rPr>
                <w:rFonts w:ascii="Arial Narrow" w:hAnsi="Arial Narrow"/>
                <w:b/>
                <w:sz w:val="16"/>
                <w:szCs w:val="16"/>
              </w:rPr>
            </w:pPr>
            <w:r w:rsidRPr="006B2DB8">
              <w:rPr>
                <w:rFonts w:ascii="Arial Narrow" w:hAnsi="Arial Narrow"/>
                <w:b/>
                <w:sz w:val="16"/>
                <w:szCs w:val="16"/>
              </w:rPr>
              <w:t>Β</w:t>
            </w:r>
          </w:p>
        </w:tc>
        <w:tc>
          <w:tcPr>
            <w:tcW w:w="4678" w:type="dxa"/>
            <w:shd w:val="clear" w:color="auto" w:fill="A6A6A6"/>
          </w:tcPr>
          <w:p w:rsidR="0012422B" w:rsidRPr="006B2DB8" w:rsidRDefault="0012422B" w:rsidP="003625C5">
            <w:pPr>
              <w:tabs>
                <w:tab w:val="num" w:pos="900"/>
              </w:tabs>
              <w:spacing w:before="60" w:after="60"/>
              <w:rPr>
                <w:rFonts w:ascii="Arial Narrow" w:hAnsi="Arial Narrow"/>
                <w:b/>
                <w:sz w:val="16"/>
                <w:szCs w:val="16"/>
              </w:rPr>
            </w:pPr>
            <w:r>
              <w:rPr>
                <w:rFonts w:ascii="Arial Narrow" w:hAnsi="Arial Narrow"/>
                <w:b/>
                <w:sz w:val="16"/>
                <w:szCs w:val="16"/>
              </w:rPr>
              <w:t>Έξοδα (1+2+3+4+5+6</w:t>
            </w:r>
            <w:r w:rsidRPr="006B2DB8">
              <w:rPr>
                <w:rFonts w:ascii="Arial Narrow" w:hAnsi="Arial Narrow"/>
                <w:b/>
                <w:sz w:val="16"/>
                <w:szCs w:val="16"/>
              </w:rPr>
              <w:t>)</w:t>
            </w:r>
          </w:p>
        </w:tc>
        <w:tc>
          <w:tcPr>
            <w:tcW w:w="992" w:type="dxa"/>
            <w:shd w:val="clear" w:color="auto" w:fill="A6A6A6"/>
            <w:vAlign w:val="center"/>
          </w:tcPr>
          <w:p w:rsidR="0012422B" w:rsidRPr="0098186C" w:rsidRDefault="0012422B" w:rsidP="0098186C">
            <w:pPr>
              <w:ind w:right="227"/>
              <w:jc w:val="right"/>
              <w:rPr>
                <w:rFonts w:ascii="Arial Narrow" w:hAnsi="Arial Narrow"/>
                <w:b/>
                <w:bCs/>
                <w:color w:val="000000"/>
                <w:sz w:val="16"/>
                <w:szCs w:val="16"/>
              </w:rPr>
            </w:pPr>
            <w:r w:rsidRPr="0098186C">
              <w:rPr>
                <w:rFonts w:ascii="Arial Narrow" w:hAnsi="Arial Narrow"/>
                <w:b/>
                <w:bCs/>
                <w:color w:val="000000"/>
                <w:sz w:val="16"/>
                <w:szCs w:val="16"/>
              </w:rPr>
              <w:t>7.147</w:t>
            </w:r>
          </w:p>
        </w:tc>
        <w:tc>
          <w:tcPr>
            <w:tcW w:w="992" w:type="dxa"/>
            <w:shd w:val="clear" w:color="auto" w:fill="A6A6A6"/>
            <w:vAlign w:val="center"/>
          </w:tcPr>
          <w:p w:rsidR="0012422B" w:rsidRPr="0098186C" w:rsidRDefault="0012422B" w:rsidP="0098186C">
            <w:pPr>
              <w:ind w:right="227"/>
              <w:jc w:val="right"/>
              <w:rPr>
                <w:rFonts w:ascii="Arial Narrow" w:hAnsi="Arial Narrow"/>
                <w:b/>
                <w:bCs/>
                <w:color w:val="000000"/>
                <w:sz w:val="16"/>
                <w:szCs w:val="16"/>
              </w:rPr>
            </w:pPr>
            <w:r w:rsidRPr="0098186C">
              <w:rPr>
                <w:rFonts w:ascii="Arial Narrow" w:hAnsi="Arial Narrow"/>
                <w:b/>
                <w:bCs/>
                <w:color w:val="000000"/>
                <w:sz w:val="16"/>
                <w:szCs w:val="16"/>
              </w:rPr>
              <w:t>6.800</w:t>
            </w:r>
          </w:p>
        </w:tc>
        <w:tc>
          <w:tcPr>
            <w:tcW w:w="867" w:type="dxa"/>
            <w:shd w:val="clear" w:color="auto" w:fill="A6A6A6"/>
            <w:vAlign w:val="center"/>
          </w:tcPr>
          <w:p w:rsidR="0012422B" w:rsidRPr="0098186C" w:rsidRDefault="0012422B" w:rsidP="0098186C">
            <w:pPr>
              <w:ind w:right="227"/>
              <w:jc w:val="right"/>
              <w:rPr>
                <w:rFonts w:ascii="Arial Narrow" w:hAnsi="Arial Narrow"/>
                <w:b/>
                <w:bCs/>
                <w:color w:val="000000"/>
                <w:sz w:val="16"/>
                <w:szCs w:val="16"/>
              </w:rPr>
            </w:pPr>
            <w:r w:rsidRPr="0098186C">
              <w:rPr>
                <w:rFonts w:ascii="Arial Narrow" w:hAnsi="Arial Narrow"/>
                <w:b/>
                <w:bCs/>
                <w:color w:val="000000"/>
                <w:sz w:val="16"/>
                <w:szCs w:val="16"/>
              </w:rPr>
              <w:t>7.307</w:t>
            </w:r>
          </w:p>
        </w:tc>
        <w:tc>
          <w:tcPr>
            <w:tcW w:w="976" w:type="dxa"/>
            <w:tcBorders>
              <w:right w:val="single" w:sz="4" w:space="0" w:color="auto"/>
            </w:tcBorders>
            <w:shd w:val="clear" w:color="auto" w:fill="A6A6A6"/>
            <w:vAlign w:val="center"/>
          </w:tcPr>
          <w:p w:rsidR="0012422B" w:rsidRPr="0098186C" w:rsidRDefault="0012422B" w:rsidP="0098186C">
            <w:pPr>
              <w:ind w:right="227"/>
              <w:jc w:val="right"/>
              <w:rPr>
                <w:rFonts w:ascii="Arial Narrow" w:hAnsi="Arial Narrow"/>
                <w:b/>
                <w:bCs/>
                <w:color w:val="000000"/>
                <w:sz w:val="16"/>
                <w:szCs w:val="16"/>
              </w:rPr>
            </w:pPr>
            <w:r w:rsidRPr="0098186C">
              <w:rPr>
                <w:rFonts w:ascii="Arial Narrow" w:hAnsi="Arial Narrow"/>
                <w:b/>
                <w:bCs/>
                <w:color w:val="000000"/>
                <w:sz w:val="16"/>
                <w:szCs w:val="16"/>
              </w:rPr>
              <w:t>6.909</w:t>
            </w:r>
          </w:p>
        </w:tc>
      </w:tr>
      <w:tr w:rsidR="0012422B" w:rsidRPr="006B2DB8" w:rsidTr="00B01F9F">
        <w:trPr>
          <w:cantSplit/>
          <w:jc w:val="center"/>
        </w:trPr>
        <w:tc>
          <w:tcPr>
            <w:tcW w:w="312" w:type="dxa"/>
            <w:tcBorders>
              <w:left w:val="single" w:sz="4" w:space="0" w:color="auto"/>
            </w:tcBorders>
          </w:tcPr>
          <w:p w:rsidR="0012422B" w:rsidRPr="006B2DB8" w:rsidRDefault="0012422B" w:rsidP="003625C5">
            <w:pPr>
              <w:tabs>
                <w:tab w:val="num" w:pos="900"/>
              </w:tabs>
              <w:jc w:val="right"/>
              <w:rPr>
                <w:rFonts w:ascii="Arial Narrow" w:hAnsi="Arial Narrow"/>
                <w:sz w:val="16"/>
                <w:szCs w:val="16"/>
              </w:rPr>
            </w:pPr>
            <w:r w:rsidRPr="006B2DB8">
              <w:rPr>
                <w:rFonts w:ascii="Arial Narrow" w:hAnsi="Arial Narrow"/>
                <w:sz w:val="16"/>
                <w:szCs w:val="16"/>
              </w:rPr>
              <w:t>1</w:t>
            </w:r>
          </w:p>
        </w:tc>
        <w:tc>
          <w:tcPr>
            <w:tcW w:w="4678" w:type="dxa"/>
          </w:tcPr>
          <w:p w:rsidR="0012422B" w:rsidRPr="006B2DB8" w:rsidRDefault="0012422B" w:rsidP="003625C5">
            <w:pPr>
              <w:tabs>
                <w:tab w:val="num" w:pos="900"/>
              </w:tabs>
              <w:rPr>
                <w:rFonts w:ascii="Arial Narrow" w:hAnsi="Arial Narrow"/>
                <w:sz w:val="16"/>
                <w:szCs w:val="16"/>
              </w:rPr>
            </w:pPr>
            <w:r w:rsidRPr="006B2DB8">
              <w:rPr>
                <w:rFonts w:ascii="Arial Narrow" w:hAnsi="Arial Narrow"/>
                <w:sz w:val="16"/>
                <w:szCs w:val="16"/>
              </w:rPr>
              <w:t>Αμοιβές προσωπικού</w:t>
            </w:r>
          </w:p>
        </w:tc>
        <w:tc>
          <w:tcPr>
            <w:tcW w:w="992" w:type="dxa"/>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2.248</w:t>
            </w:r>
          </w:p>
        </w:tc>
        <w:tc>
          <w:tcPr>
            <w:tcW w:w="992" w:type="dxa"/>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2.278</w:t>
            </w:r>
          </w:p>
        </w:tc>
        <w:tc>
          <w:tcPr>
            <w:tcW w:w="867" w:type="dxa"/>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2.280</w:t>
            </w:r>
          </w:p>
        </w:tc>
        <w:tc>
          <w:tcPr>
            <w:tcW w:w="976" w:type="dxa"/>
            <w:tcBorders>
              <w:right w:val="single" w:sz="4" w:space="0" w:color="auto"/>
            </w:tcBorders>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2.348</w:t>
            </w:r>
          </w:p>
        </w:tc>
      </w:tr>
      <w:tr w:rsidR="0012422B" w:rsidRPr="006B2DB8" w:rsidTr="00B01F9F">
        <w:trPr>
          <w:cantSplit/>
          <w:jc w:val="center"/>
        </w:trPr>
        <w:tc>
          <w:tcPr>
            <w:tcW w:w="312" w:type="dxa"/>
            <w:tcBorders>
              <w:left w:val="single" w:sz="4" w:space="0" w:color="auto"/>
            </w:tcBorders>
            <w:shd w:val="clear" w:color="auto" w:fill="FFFFFF"/>
          </w:tcPr>
          <w:p w:rsidR="0012422B" w:rsidRPr="006B2DB8" w:rsidRDefault="0012422B" w:rsidP="003625C5">
            <w:pPr>
              <w:tabs>
                <w:tab w:val="num" w:pos="900"/>
              </w:tabs>
              <w:jc w:val="right"/>
              <w:rPr>
                <w:rFonts w:ascii="Arial Narrow" w:hAnsi="Arial Narrow"/>
                <w:sz w:val="16"/>
                <w:szCs w:val="16"/>
              </w:rPr>
            </w:pPr>
            <w:r w:rsidRPr="006B2DB8">
              <w:rPr>
                <w:rFonts w:ascii="Arial Narrow" w:hAnsi="Arial Narrow"/>
                <w:sz w:val="16"/>
                <w:szCs w:val="16"/>
              </w:rPr>
              <w:t>2</w:t>
            </w:r>
          </w:p>
        </w:tc>
        <w:tc>
          <w:tcPr>
            <w:tcW w:w="4678" w:type="dxa"/>
            <w:shd w:val="clear" w:color="auto" w:fill="FFFFFF"/>
          </w:tcPr>
          <w:p w:rsidR="0012422B" w:rsidRPr="006B2DB8" w:rsidRDefault="0012422B" w:rsidP="003625C5">
            <w:pPr>
              <w:tabs>
                <w:tab w:val="num" w:pos="900"/>
              </w:tabs>
              <w:rPr>
                <w:rFonts w:ascii="Arial Narrow" w:hAnsi="Arial Narrow"/>
                <w:sz w:val="16"/>
                <w:szCs w:val="16"/>
              </w:rPr>
            </w:pPr>
            <w:r w:rsidRPr="006B2DB8">
              <w:rPr>
                <w:rFonts w:ascii="Arial Narrow" w:hAnsi="Arial Narrow"/>
                <w:sz w:val="16"/>
                <w:szCs w:val="16"/>
              </w:rPr>
              <w:t>Προνοιακά επιδόματα</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733</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742</w:t>
            </w:r>
          </w:p>
        </w:tc>
        <w:tc>
          <w:tcPr>
            <w:tcW w:w="867"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725</w:t>
            </w:r>
          </w:p>
        </w:tc>
        <w:tc>
          <w:tcPr>
            <w:tcW w:w="976" w:type="dxa"/>
            <w:tcBorders>
              <w:right w:val="single" w:sz="4" w:space="0" w:color="auto"/>
            </w:tcBorders>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739</w:t>
            </w:r>
          </w:p>
        </w:tc>
      </w:tr>
      <w:tr w:rsidR="0012422B" w:rsidRPr="006B2DB8" w:rsidTr="00B01F9F">
        <w:trPr>
          <w:cantSplit/>
          <w:jc w:val="center"/>
        </w:trPr>
        <w:tc>
          <w:tcPr>
            <w:tcW w:w="312" w:type="dxa"/>
            <w:tcBorders>
              <w:left w:val="single" w:sz="4" w:space="0" w:color="auto"/>
            </w:tcBorders>
            <w:shd w:val="clear" w:color="auto" w:fill="FFFFFF"/>
          </w:tcPr>
          <w:p w:rsidR="0012422B" w:rsidRPr="006B2DB8" w:rsidRDefault="0012422B" w:rsidP="003625C5">
            <w:pPr>
              <w:tabs>
                <w:tab w:val="num" w:pos="900"/>
              </w:tabs>
              <w:jc w:val="right"/>
              <w:rPr>
                <w:rFonts w:ascii="Arial Narrow" w:hAnsi="Arial Narrow"/>
                <w:sz w:val="16"/>
                <w:szCs w:val="16"/>
              </w:rPr>
            </w:pPr>
            <w:r>
              <w:rPr>
                <w:rFonts w:ascii="Arial Narrow" w:hAnsi="Arial Narrow"/>
                <w:sz w:val="16"/>
                <w:szCs w:val="16"/>
              </w:rPr>
              <w:t>3</w:t>
            </w:r>
          </w:p>
        </w:tc>
        <w:tc>
          <w:tcPr>
            <w:tcW w:w="4678" w:type="dxa"/>
            <w:shd w:val="clear" w:color="auto" w:fill="FFFFFF"/>
          </w:tcPr>
          <w:p w:rsidR="0012422B" w:rsidRPr="006B2DB8" w:rsidRDefault="0012422B" w:rsidP="003625C5">
            <w:pPr>
              <w:tabs>
                <w:tab w:val="num" w:pos="900"/>
              </w:tabs>
              <w:rPr>
                <w:rFonts w:ascii="Arial Narrow" w:hAnsi="Arial Narrow"/>
                <w:sz w:val="16"/>
                <w:szCs w:val="16"/>
              </w:rPr>
            </w:pPr>
            <w:r>
              <w:rPr>
                <w:rFonts w:ascii="Arial Narrow" w:hAnsi="Arial Narrow"/>
                <w:sz w:val="16"/>
                <w:szCs w:val="16"/>
              </w:rPr>
              <w:t>Τόκοι</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71</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58</w:t>
            </w:r>
          </w:p>
        </w:tc>
        <w:tc>
          <w:tcPr>
            <w:tcW w:w="867"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71</w:t>
            </w:r>
          </w:p>
        </w:tc>
        <w:tc>
          <w:tcPr>
            <w:tcW w:w="976" w:type="dxa"/>
            <w:tcBorders>
              <w:right w:val="single" w:sz="4" w:space="0" w:color="auto"/>
            </w:tcBorders>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58</w:t>
            </w:r>
          </w:p>
        </w:tc>
      </w:tr>
      <w:tr w:rsidR="0012422B" w:rsidRPr="006B2DB8" w:rsidTr="00B01F9F">
        <w:trPr>
          <w:cantSplit/>
          <w:jc w:val="center"/>
        </w:trPr>
        <w:tc>
          <w:tcPr>
            <w:tcW w:w="312" w:type="dxa"/>
            <w:tcBorders>
              <w:left w:val="single" w:sz="4" w:space="0" w:color="auto"/>
            </w:tcBorders>
            <w:shd w:val="clear" w:color="auto" w:fill="FFFFFF"/>
          </w:tcPr>
          <w:p w:rsidR="0012422B" w:rsidRPr="006B2DB8" w:rsidRDefault="0012422B" w:rsidP="003625C5">
            <w:pPr>
              <w:tabs>
                <w:tab w:val="num" w:pos="900"/>
              </w:tabs>
              <w:jc w:val="right"/>
              <w:rPr>
                <w:rFonts w:ascii="Arial Narrow" w:hAnsi="Arial Narrow"/>
                <w:sz w:val="16"/>
                <w:szCs w:val="16"/>
              </w:rPr>
            </w:pPr>
            <w:r>
              <w:rPr>
                <w:rFonts w:ascii="Arial Narrow" w:hAnsi="Arial Narrow"/>
                <w:sz w:val="16"/>
                <w:szCs w:val="16"/>
              </w:rPr>
              <w:t>4</w:t>
            </w:r>
          </w:p>
        </w:tc>
        <w:tc>
          <w:tcPr>
            <w:tcW w:w="4678" w:type="dxa"/>
            <w:shd w:val="clear" w:color="auto" w:fill="FFFFFF"/>
          </w:tcPr>
          <w:p w:rsidR="0012422B" w:rsidRPr="006B2DB8" w:rsidRDefault="0012422B" w:rsidP="00BE3746">
            <w:pPr>
              <w:tabs>
                <w:tab w:val="num" w:pos="900"/>
              </w:tabs>
              <w:rPr>
                <w:rFonts w:ascii="Arial Narrow" w:hAnsi="Arial Narrow"/>
                <w:sz w:val="16"/>
                <w:szCs w:val="16"/>
              </w:rPr>
            </w:pPr>
            <w:r w:rsidRPr="006B2DB8">
              <w:rPr>
                <w:rFonts w:ascii="Arial Narrow" w:hAnsi="Arial Narrow"/>
                <w:sz w:val="16"/>
                <w:szCs w:val="16"/>
              </w:rPr>
              <w:t xml:space="preserve">Δαπάνες για επενδύσεις </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1.288</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929</w:t>
            </w:r>
          </w:p>
        </w:tc>
        <w:tc>
          <w:tcPr>
            <w:tcW w:w="867"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1.328</w:t>
            </w:r>
          </w:p>
        </w:tc>
        <w:tc>
          <w:tcPr>
            <w:tcW w:w="976" w:type="dxa"/>
            <w:tcBorders>
              <w:right w:val="single" w:sz="4" w:space="0" w:color="auto"/>
            </w:tcBorders>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993</w:t>
            </w:r>
          </w:p>
        </w:tc>
      </w:tr>
      <w:tr w:rsidR="0012422B" w:rsidRPr="006B2DB8" w:rsidTr="00B01F9F">
        <w:trPr>
          <w:cantSplit/>
          <w:jc w:val="center"/>
        </w:trPr>
        <w:tc>
          <w:tcPr>
            <w:tcW w:w="312" w:type="dxa"/>
            <w:tcBorders>
              <w:left w:val="single" w:sz="4" w:space="0" w:color="auto"/>
            </w:tcBorders>
            <w:shd w:val="clear" w:color="auto" w:fill="FFFFFF"/>
          </w:tcPr>
          <w:p w:rsidR="0012422B" w:rsidRPr="006B2DB8" w:rsidRDefault="0012422B" w:rsidP="003625C5">
            <w:pPr>
              <w:tabs>
                <w:tab w:val="num" w:pos="900"/>
              </w:tabs>
              <w:jc w:val="right"/>
              <w:rPr>
                <w:rFonts w:ascii="Arial Narrow" w:hAnsi="Arial Narrow"/>
                <w:sz w:val="16"/>
                <w:szCs w:val="16"/>
              </w:rPr>
            </w:pPr>
            <w:r>
              <w:rPr>
                <w:rFonts w:ascii="Arial Narrow" w:hAnsi="Arial Narrow"/>
                <w:sz w:val="16"/>
                <w:szCs w:val="16"/>
              </w:rPr>
              <w:t>5</w:t>
            </w:r>
          </w:p>
        </w:tc>
        <w:tc>
          <w:tcPr>
            <w:tcW w:w="4678" w:type="dxa"/>
            <w:shd w:val="clear" w:color="auto" w:fill="FFFFFF"/>
          </w:tcPr>
          <w:p w:rsidR="0012422B" w:rsidRPr="006B2DB8" w:rsidRDefault="0012422B" w:rsidP="003625C5">
            <w:pPr>
              <w:tabs>
                <w:tab w:val="num" w:pos="900"/>
              </w:tabs>
              <w:rPr>
                <w:rFonts w:ascii="Arial Narrow" w:hAnsi="Arial Narrow"/>
                <w:sz w:val="16"/>
                <w:szCs w:val="16"/>
              </w:rPr>
            </w:pPr>
            <w:r w:rsidRPr="006B2DB8">
              <w:rPr>
                <w:rFonts w:ascii="Arial Narrow" w:hAnsi="Arial Narrow"/>
                <w:sz w:val="16"/>
                <w:szCs w:val="16"/>
              </w:rPr>
              <w:t>Λοιπές δαπάνες</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1.917</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1.971</w:t>
            </w:r>
          </w:p>
        </w:tc>
        <w:tc>
          <w:tcPr>
            <w:tcW w:w="867"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2.018</w:t>
            </w:r>
          </w:p>
        </w:tc>
        <w:tc>
          <w:tcPr>
            <w:tcW w:w="976" w:type="dxa"/>
            <w:tcBorders>
              <w:right w:val="single" w:sz="4" w:space="0" w:color="auto"/>
            </w:tcBorders>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1.899</w:t>
            </w:r>
          </w:p>
        </w:tc>
      </w:tr>
      <w:tr w:rsidR="0012422B" w:rsidRPr="006B2DB8" w:rsidTr="00B01F9F">
        <w:trPr>
          <w:cantSplit/>
          <w:jc w:val="center"/>
        </w:trPr>
        <w:tc>
          <w:tcPr>
            <w:tcW w:w="312" w:type="dxa"/>
            <w:tcBorders>
              <w:left w:val="single" w:sz="4" w:space="0" w:color="auto"/>
            </w:tcBorders>
            <w:shd w:val="clear" w:color="auto" w:fill="FFFFFF"/>
          </w:tcPr>
          <w:p w:rsidR="0012422B" w:rsidRPr="006B2DB8" w:rsidRDefault="0012422B" w:rsidP="003625C5">
            <w:pPr>
              <w:tabs>
                <w:tab w:val="num" w:pos="900"/>
              </w:tabs>
              <w:jc w:val="right"/>
              <w:rPr>
                <w:rFonts w:ascii="Arial Narrow" w:hAnsi="Arial Narrow"/>
                <w:i/>
                <w:sz w:val="16"/>
                <w:szCs w:val="16"/>
              </w:rPr>
            </w:pPr>
          </w:p>
        </w:tc>
        <w:tc>
          <w:tcPr>
            <w:tcW w:w="4678" w:type="dxa"/>
            <w:shd w:val="clear" w:color="auto" w:fill="FFFFFF"/>
          </w:tcPr>
          <w:p w:rsidR="0012422B" w:rsidRPr="006B2DB8" w:rsidRDefault="0012422B" w:rsidP="003625C5">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Πληρωμές ΠΟΕ</w:t>
            </w:r>
            <w:r w:rsidRPr="006B2DB8">
              <w:rPr>
                <w:rFonts w:ascii="Arial Narrow" w:hAnsi="Arial Narrow"/>
                <w:i/>
                <w:sz w:val="16"/>
                <w:szCs w:val="16"/>
              </w:rPr>
              <w:tab/>
            </w:r>
          </w:p>
        </w:tc>
        <w:tc>
          <w:tcPr>
            <w:tcW w:w="992" w:type="dxa"/>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316</w:t>
            </w:r>
          </w:p>
        </w:tc>
        <w:tc>
          <w:tcPr>
            <w:tcW w:w="992" w:type="dxa"/>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316</w:t>
            </w:r>
          </w:p>
        </w:tc>
        <w:tc>
          <w:tcPr>
            <w:tcW w:w="867" w:type="dxa"/>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397</w:t>
            </w:r>
          </w:p>
        </w:tc>
        <w:tc>
          <w:tcPr>
            <w:tcW w:w="976" w:type="dxa"/>
            <w:tcBorders>
              <w:right w:val="single" w:sz="4" w:space="0" w:color="auto"/>
            </w:tcBorders>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285</w:t>
            </w:r>
          </w:p>
        </w:tc>
      </w:tr>
      <w:tr w:rsidR="0012422B" w:rsidRPr="006B2DB8" w:rsidTr="00B01F9F">
        <w:trPr>
          <w:cantSplit/>
          <w:jc w:val="center"/>
        </w:trPr>
        <w:tc>
          <w:tcPr>
            <w:tcW w:w="312" w:type="dxa"/>
            <w:tcBorders>
              <w:left w:val="single" w:sz="4" w:space="0" w:color="auto"/>
            </w:tcBorders>
            <w:shd w:val="clear" w:color="auto" w:fill="FFFFFF"/>
          </w:tcPr>
          <w:p w:rsidR="0012422B" w:rsidRPr="006B2DB8" w:rsidRDefault="0012422B" w:rsidP="003625C5">
            <w:pPr>
              <w:tabs>
                <w:tab w:val="num" w:pos="900"/>
              </w:tabs>
              <w:jc w:val="right"/>
              <w:rPr>
                <w:rFonts w:ascii="Arial Narrow" w:hAnsi="Arial Narrow"/>
                <w:i/>
                <w:sz w:val="16"/>
                <w:szCs w:val="16"/>
              </w:rPr>
            </w:pPr>
          </w:p>
        </w:tc>
        <w:tc>
          <w:tcPr>
            <w:tcW w:w="4678" w:type="dxa"/>
            <w:shd w:val="clear" w:color="auto" w:fill="FFFFFF"/>
          </w:tcPr>
          <w:p w:rsidR="0012422B" w:rsidRPr="006B2DB8" w:rsidRDefault="0012422B" w:rsidP="003625C5">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Μεταβιβάσεις σε τρίτους</w:t>
            </w:r>
          </w:p>
        </w:tc>
        <w:tc>
          <w:tcPr>
            <w:tcW w:w="992" w:type="dxa"/>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205</w:t>
            </w:r>
          </w:p>
        </w:tc>
        <w:tc>
          <w:tcPr>
            <w:tcW w:w="992" w:type="dxa"/>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205</w:t>
            </w:r>
          </w:p>
        </w:tc>
        <w:tc>
          <w:tcPr>
            <w:tcW w:w="867" w:type="dxa"/>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205</w:t>
            </w:r>
          </w:p>
        </w:tc>
        <w:tc>
          <w:tcPr>
            <w:tcW w:w="976" w:type="dxa"/>
            <w:tcBorders>
              <w:right w:val="single" w:sz="4" w:space="0" w:color="auto"/>
            </w:tcBorders>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205</w:t>
            </w:r>
          </w:p>
        </w:tc>
      </w:tr>
      <w:tr w:rsidR="0012422B" w:rsidRPr="006B2DB8" w:rsidTr="00B01F9F">
        <w:trPr>
          <w:cantSplit/>
          <w:jc w:val="center"/>
        </w:trPr>
        <w:tc>
          <w:tcPr>
            <w:tcW w:w="312" w:type="dxa"/>
            <w:tcBorders>
              <w:left w:val="single" w:sz="4" w:space="0" w:color="auto"/>
            </w:tcBorders>
            <w:shd w:val="clear" w:color="auto" w:fill="FFFFFF"/>
          </w:tcPr>
          <w:p w:rsidR="0012422B" w:rsidRPr="006B2DB8" w:rsidRDefault="0012422B" w:rsidP="003625C5">
            <w:pPr>
              <w:tabs>
                <w:tab w:val="num" w:pos="900"/>
              </w:tabs>
              <w:jc w:val="right"/>
              <w:rPr>
                <w:rFonts w:ascii="Arial Narrow" w:hAnsi="Arial Narrow"/>
                <w:i/>
                <w:sz w:val="16"/>
                <w:szCs w:val="16"/>
              </w:rPr>
            </w:pPr>
          </w:p>
        </w:tc>
        <w:tc>
          <w:tcPr>
            <w:tcW w:w="4678" w:type="dxa"/>
            <w:shd w:val="clear" w:color="auto" w:fill="FFFFFF"/>
          </w:tcPr>
          <w:p w:rsidR="0012422B" w:rsidRPr="006B2DB8" w:rsidRDefault="0012422B" w:rsidP="003625C5">
            <w:pPr>
              <w:tabs>
                <w:tab w:val="num" w:pos="176"/>
              </w:tabs>
              <w:rPr>
                <w:rFonts w:ascii="Arial Narrow" w:hAnsi="Arial Narrow"/>
                <w:i/>
                <w:sz w:val="16"/>
                <w:szCs w:val="16"/>
              </w:rPr>
            </w:pPr>
            <w:r w:rsidRPr="006B2DB8">
              <w:rPr>
                <w:rFonts w:ascii="Arial Narrow" w:hAnsi="Arial Narrow"/>
                <w:i/>
                <w:sz w:val="16"/>
                <w:szCs w:val="16"/>
              </w:rPr>
              <w:t>-</w:t>
            </w:r>
            <w:r w:rsidRPr="006B2DB8">
              <w:rPr>
                <w:rFonts w:ascii="Arial Narrow" w:hAnsi="Arial Narrow"/>
                <w:i/>
                <w:sz w:val="16"/>
                <w:szCs w:val="16"/>
              </w:rPr>
              <w:tab/>
              <w:t>Λοιπές λειτουργικές δαπάνες</w:t>
            </w:r>
          </w:p>
        </w:tc>
        <w:tc>
          <w:tcPr>
            <w:tcW w:w="992" w:type="dxa"/>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1.397</w:t>
            </w:r>
          </w:p>
        </w:tc>
        <w:tc>
          <w:tcPr>
            <w:tcW w:w="992" w:type="dxa"/>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1.451</w:t>
            </w:r>
          </w:p>
        </w:tc>
        <w:tc>
          <w:tcPr>
            <w:tcW w:w="867" w:type="dxa"/>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1.416</w:t>
            </w:r>
          </w:p>
        </w:tc>
        <w:tc>
          <w:tcPr>
            <w:tcW w:w="976" w:type="dxa"/>
            <w:tcBorders>
              <w:right w:val="single" w:sz="4" w:space="0" w:color="auto"/>
            </w:tcBorders>
            <w:shd w:val="clear" w:color="auto" w:fill="FFFFFF"/>
            <w:vAlign w:val="center"/>
          </w:tcPr>
          <w:p w:rsidR="0012422B" w:rsidRPr="0098186C" w:rsidRDefault="0012422B" w:rsidP="0098186C">
            <w:pPr>
              <w:ind w:right="227"/>
              <w:jc w:val="right"/>
              <w:rPr>
                <w:rFonts w:ascii="Arial Narrow" w:hAnsi="Arial Narrow"/>
                <w:i/>
                <w:iCs/>
                <w:color w:val="272727"/>
                <w:sz w:val="16"/>
                <w:szCs w:val="16"/>
              </w:rPr>
            </w:pPr>
            <w:r w:rsidRPr="0098186C">
              <w:rPr>
                <w:rFonts w:ascii="Arial Narrow" w:hAnsi="Arial Narrow"/>
                <w:i/>
                <w:iCs/>
                <w:color w:val="272727"/>
                <w:sz w:val="16"/>
                <w:szCs w:val="16"/>
              </w:rPr>
              <w:t>1.410</w:t>
            </w:r>
          </w:p>
        </w:tc>
      </w:tr>
      <w:tr w:rsidR="0012422B" w:rsidRPr="006B2DB8" w:rsidTr="00B01F9F">
        <w:trPr>
          <w:cantSplit/>
          <w:jc w:val="center"/>
        </w:trPr>
        <w:tc>
          <w:tcPr>
            <w:tcW w:w="312" w:type="dxa"/>
            <w:tcBorders>
              <w:left w:val="single" w:sz="4" w:space="0" w:color="auto"/>
            </w:tcBorders>
            <w:shd w:val="clear" w:color="auto" w:fill="FFFFFF"/>
          </w:tcPr>
          <w:p w:rsidR="0012422B" w:rsidRPr="006B2DB8" w:rsidRDefault="0012422B" w:rsidP="003625C5">
            <w:pPr>
              <w:tabs>
                <w:tab w:val="num" w:pos="900"/>
              </w:tabs>
              <w:jc w:val="right"/>
              <w:rPr>
                <w:rFonts w:ascii="Arial Narrow" w:hAnsi="Arial Narrow"/>
                <w:sz w:val="16"/>
                <w:szCs w:val="16"/>
              </w:rPr>
            </w:pPr>
            <w:r>
              <w:rPr>
                <w:rFonts w:ascii="Arial Narrow" w:hAnsi="Arial Narrow"/>
                <w:sz w:val="16"/>
                <w:szCs w:val="16"/>
              </w:rPr>
              <w:t>6</w:t>
            </w:r>
          </w:p>
        </w:tc>
        <w:tc>
          <w:tcPr>
            <w:tcW w:w="4678" w:type="dxa"/>
            <w:shd w:val="clear" w:color="auto" w:fill="FFFFFF"/>
          </w:tcPr>
          <w:p w:rsidR="0012422B" w:rsidRPr="006B2DB8" w:rsidRDefault="0012422B" w:rsidP="003625C5">
            <w:pPr>
              <w:tabs>
                <w:tab w:val="num" w:pos="176"/>
              </w:tabs>
              <w:rPr>
                <w:rFonts w:ascii="Arial Narrow" w:hAnsi="Arial Narrow"/>
                <w:sz w:val="16"/>
                <w:szCs w:val="16"/>
              </w:rPr>
            </w:pPr>
            <w:r w:rsidRPr="006B2DB8">
              <w:rPr>
                <w:rFonts w:ascii="Arial Narrow" w:hAnsi="Arial Narrow"/>
                <w:sz w:val="16"/>
                <w:szCs w:val="16"/>
              </w:rPr>
              <w:t>Αποδόσεις εσόδων υπέρ Δημοσίου και τρίτων</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890</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822</w:t>
            </w:r>
          </w:p>
        </w:tc>
        <w:tc>
          <w:tcPr>
            <w:tcW w:w="867"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884</w:t>
            </w:r>
          </w:p>
        </w:tc>
        <w:tc>
          <w:tcPr>
            <w:tcW w:w="976" w:type="dxa"/>
            <w:tcBorders>
              <w:right w:val="single" w:sz="4" w:space="0" w:color="auto"/>
            </w:tcBorders>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872</w:t>
            </w:r>
          </w:p>
        </w:tc>
      </w:tr>
      <w:tr w:rsidR="0012422B" w:rsidRPr="0098186C" w:rsidTr="00B01F9F">
        <w:trPr>
          <w:cantSplit/>
          <w:jc w:val="center"/>
        </w:trPr>
        <w:tc>
          <w:tcPr>
            <w:tcW w:w="312" w:type="dxa"/>
            <w:tcBorders>
              <w:left w:val="single" w:sz="4" w:space="0" w:color="auto"/>
            </w:tcBorders>
            <w:shd w:val="clear" w:color="auto" w:fill="A6A6A6"/>
          </w:tcPr>
          <w:p w:rsidR="0012422B" w:rsidRPr="0098186C" w:rsidRDefault="0012422B" w:rsidP="003625C5">
            <w:pPr>
              <w:tabs>
                <w:tab w:val="num" w:pos="900"/>
              </w:tabs>
              <w:spacing w:before="60" w:after="60"/>
              <w:jc w:val="right"/>
              <w:rPr>
                <w:rFonts w:ascii="Arial Narrow" w:hAnsi="Arial Narrow"/>
                <w:b/>
                <w:sz w:val="16"/>
                <w:szCs w:val="16"/>
              </w:rPr>
            </w:pPr>
          </w:p>
        </w:tc>
        <w:tc>
          <w:tcPr>
            <w:tcW w:w="4678" w:type="dxa"/>
            <w:shd w:val="clear" w:color="auto" w:fill="A6A6A6"/>
          </w:tcPr>
          <w:p w:rsidR="0012422B" w:rsidRPr="0098186C" w:rsidRDefault="0012422B" w:rsidP="00BE3746">
            <w:pPr>
              <w:tabs>
                <w:tab w:val="num" w:pos="900"/>
              </w:tabs>
              <w:spacing w:before="60" w:after="60"/>
              <w:rPr>
                <w:rFonts w:ascii="Arial Narrow" w:hAnsi="Arial Narrow"/>
                <w:b/>
                <w:sz w:val="16"/>
                <w:szCs w:val="16"/>
              </w:rPr>
            </w:pPr>
            <w:r w:rsidRPr="0098186C">
              <w:rPr>
                <w:rFonts w:ascii="Arial Narrow" w:hAnsi="Arial Narrow"/>
                <w:b/>
                <w:sz w:val="16"/>
                <w:szCs w:val="16"/>
              </w:rPr>
              <w:t>Ταμειακό ισοζύγιο</w:t>
            </w:r>
          </w:p>
        </w:tc>
        <w:tc>
          <w:tcPr>
            <w:tcW w:w="992" w:type="dxa"/>
            <w:shd w:val="clear" w:color="auto" w:fill="A6A6A6"/>
            <w:vAlign w:val="center"/>
          </w:tcPr>
          <w:p w:rsidR="0012422B" w:rsidRPr="0098186C" w:rsidRDefault="0012422B" w:rsidP="0098186C">
            <w:pPr>
              <w:ind w:right="227"/>
              <w:jc w:val="right"/>
              <w:rPr>
                <w:rFonts w:ascii="Arial Narrow" w:hAnsi="Arial Narrow"/>
                <w:b/>
                <w:color w:val="000000"/>
                <w:sz w:val="16"/>
                <w:szCs w:val="16"/>
              </w:rPr>
            </w:pPr>
            <w:r w:rsidRPr="0098186C">
              <w:rPr>
                <w:rFonts w:ascii="Arial Narrow" w:hAnsi="Arial Narrow"/>
                <w:b/>
                <w:color w:val="000000"/>
                <w:sz w:val="16"/>
                <w:szCs w:val="16"/>
              </w:rPr>
              <w:t>276</w:t>
            </w:r>
          </w:p>
        </w:tc>
        <w:tc>
          <w:tcPr>
            <w:tcW w:w="992" w:type="dxa"/>
            <w:shd w:val="clear" w:color="auto" w:fill="A6A6A6"/>
            <w:vAlign w:val="center"/>
          </w:tcPr>
          <w:p w:rsidR="0012422B" w:rsidRPr="0098186C" w:rsidRDefault="0012422B" w:rsidP="0098186C">
            <w:pPr>
              <w:ind w:right="227"/>
              <w:jc w:val="right"/>
              <w:rPr>
                <w:rFonts w:ascii="Arial Narrow" w:hAnsi="Arial Narrow"/>
                <w:b/>
                <w:color w:val="000000"/>
                <w:sz w:val="16"/>
                <w:szCs w:val="16"/>
              </w:rPr>
            </w:pPr>
            <w:r w:rsidRPr="0098186C">
              <w:rPr>
                <w:rFonts w:ascii="Arial Narrow" w:hAnsi="Arial Narrow"/>
                <w:b/>
                <w:color w:val="000000"/>
                <w:sz w:val="16"/>
                <w:szCs w:val="16"/>
              </w:rPr>
              <w:t>214</w:t>
            </w:r>
          </w:p>
        </w:tc>
        <w:tc>
          <w:tcPr>
            <w:tcW w:w="867" w:type="dxa"/>
            <w:shd w:val="clear" w:color="auto" w:fill="A6A6A6"/>
            <w:vAlign w:val="center"/>
          </w:tcPr>
          <w:p w:rsidR="0012422B" w:rsidRPr="0098186C" w:rsidRDefault="0012422B" w:rsidP="0098186C">
            <w:pPr>
              <w:ind w:right="227"/>
              <w:jc w:val="right"/>
              <w:rPr>
                <w:rFonts w:ascii="Arial Narrow" w:hAnsi="Arial Narrow"/>
                <w:b/>
                <w:color w:val="000000"/>
                <w:sz w:val="16"/>
                <w:szCs w:val="16"/>
              </w:rPr>
            </w:pPr>
            <w:r w:rsidRPr="0098186C">
              <w:rPr>
                <w:rFonts w:ascii="Arial Narrow" w:hAnsi="Arial Narrow"/>
                <w:b/>
                <w:color w:val="000000"/>
                <w:sz w:val="16"/>
                <w:szCs w:val="16"/>
              </w:rPr>
              <w:t>454</w:t>
            </w:r>
          </w:p>
        </w:tc>
        <w:tc>
          <w:tcPr>
            <w:tcW w:w="976" w:type="dxa"/>
            <w:tcBorders>
              <w:right w:val="single" w:sz="4" w:space="0" w:color="auto"/>
            </w:tcBorders>
            <w:shd w:val="clear" w:color="auto" w:fill="A6A6A6"/>
            <w:vAlign w:val="center"/>
          </w:tcPr>
          <w:p w:rsidR="0012422B" w:rsidRPr="0098186C" w:rsidRDefault="0012422B" w:rsidP="0098186C">
            <w:pPr>
              <w:ind w:right="227"/>
              <w:jc w:val="right"/>
              <w:rPr>
                <w:rFonts w:ascii="Arial Narrow" w:hAnsi="Arial Narrow"/>
                <w:b/>
                <w:color w:val="000000"/>
                <w:sz w:val="16"/>
                <w:szCs w:val="16"/>
              </w:rPr>
            </w:pPr>
            <w:r w:rsidRPr="0098186C">
              <w:rPr>
                <w:rFonts w:ascii="Arial Narrow" w:hAnsi="Arial Narrow"/>
                <w:b/>
                <w:color w:val="000000"/>
                <w:sz w:val="16"/>
                <w:szCs w:val="16"/>
              </w:rPr>
              <w:t>367</w:t>
            </w:r>
          </w:p>
        </w:tc>
      </w:tr>
      <w:tr w:rsidR="0012422B" w:rsidRPr="006B2DB8" w:rsidTr="00B01F9F">
        <w:trPr>
          <w:cantSplit/>
          <w:jc w:val="center"/>
        </w:trPr>
        <w:tc>
          <w:tcPr>
            <w:tcW w:w="312" w:type="dxa"/>
            <w:tcBorders>
              <w:left w:val="single" w:sz="4" w:space="0" w:color="auto"/>
            </w:tcBorders>
            <w:shd w:val="clear" w:color="auto" w:fill="FFFFFF"/>
          </w:tcPr>
          <w:p w:rsidR="0012422B" w:rsidRPr="006B2DB8" w:rsidRDefault="0012422B" w:rsidP="003625C5">
            <w:pPr>
              <w:tabs>
                <w:tab w:val="num" w:pos="900"/>
              </w:tabs>
              <w:jc w:val="right"/>
              <w:rPr>
                <w:rFonts w:ascii="Arial Narrow" w:hAnsi="Arial Narrow"/>
                <w:sz w:val="16"/>
                <w:szCs w:val="16"/>
              </w:rPr>
            </w:pPr>
          </w:p>
        </w:tc>
        <w:tc>
          <w:tcPr>
            <w:tcW w:w="4678" w:type="dxa"/>
            <w:shd w:val="clear" w:color="auto" w:fill="FFFFFF"/>
          </w:tcPr>
          <w:p w:rsidR="0012422B" w:rsidRPr="00BE3746" w:rsidRDefault="0012422B" w:rsidP="00BE3746">
            <w:pPr>
              <w:tabs>
                <w:tab w:val="left" w:pos="161"/>
                <w:tab w:val="num" w:pos="900"/>
              </w:tabs>
              <w:rPr>
                <w:rFonts w:ascii="Arial Narrow" w:hAnsi="Arial Narrow"/>
                <w:sz w:val="16"/>
                <w:szCs w:val="16"/>
              </w:rPr>
            </w:pPr>
            <w:r>
              <w:rPr>
                <w:rFonts w:ascii="Arial Narrow" w:hAnsi="Arial Narrow"/>
                <w:sz w:val="16"/>
                <w:szCs w:val="16"/>
              </w:rPr>
              <w:t>Εθνικολογιστικές προσαρμογές</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-77</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-44</w:t>
            </w:r>
          </w:p>
        </w:tc>
        <w:tc>
          <w:tcPr>
            <w:tcW w:w="867"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-56</w:t>
            </w:r>
          </w:p>
        </w:tc>
        <w:tc>
          <w:tcPr>
            <w:tcW w:w="976" w:type="dxa"/>
            <w:tcBorders>
              <w:right w:val="single" w:sz="4" w:space="0" w:color="auto"/>
            </w:tcBorders>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-80</w:t>
            </w:r>
          </w:p>
        </w:tc>
      </w:tr>
      <w:tr w:rsidR="0012422B" w:rsidRPr="006B2DB8" w:rsidTr="00B01F9F">
        <w:trPr>
          <w:cantSplit/>
          <w:jc w:val="center"/>
        </w:trPr>
        <w:tc>
          <w:tcPr>
            <w:tcW w:w="312" w:type="dxa"/>
            <w:tcBorders>
              <w:left w:val="single" w:sz="4" w:space="0" w:color="auto"/>
            </w:tcBorders>
            <w:shd w:val="clear" w:color="auto" w:fill="FFFFFF"/>
          </w:tcPr>
          <w:p w:rsidR="0012422B" w:rsidRPr="006B2DB8" w:rsidRDefault="0012422B" w:rsidP="003625C5">
            <w:pPr>
              <w:tabs>
                <w:tab w:val="num" w:pos="900"/>
              </w:tabs>
              <w:jc w:val="right"/>
              <w:rPr>
                <w:rFonts w:ascii="Arial Narrow" w:hAnsi="Arial Narrow"/>
                <w:sz w:val="16"/>
                <w:szCs w:val="16"/>
              </w:rPr>
            </w:pPr>
          </w:p>
        </w:tc>
        <w:tc>
          <w:tcPr>
            <w:tcW w:w="4678" w:type="dxa"/>
            <w:shd w:val="clear" w:color="auto" w:fill="FFFFFF"/>
          </w:tcPr>
          <w:p w:rsidR="0012422B" w:rsidRPr="00BE3746" w:rsidRDefault="0012422B" w:rsidP="00BE3746">
            <w:pPr>
              <w:tabs>
                <w:tab w:val="left" w:pos="161"/>
                <w:tab w:val="num" w:pos="900"/>
              </w:tabs>
              <w:rPr>
                <w:rFonts w:ascii="Arial Narrow" w:hAnsi="Arial Narrow"/>
                <w:sz w:val="16"/>
                <w:szCs w:val="16"/>
              </w:rPr>
            </w:pPr>
            <w:r>
              <w:rPr>
                <w:rFonts w:ascii="Arial Narrow" w:hAnsi="Arial Narrow"/>
                <w:sz w:val="16"/>
                <w:szCs w:val="16"/>
              </w:rPr>
              <w:t>Λοιπές προσαρμογές (ΔΕΗ)</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0</w:t>
            </w:r>
          </w:p>
        </w:tc>
        <w:tc>
          <w:tcPr>
            <w:tcW w:w="992"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0</w:t>
            </w:r>
          </w:p>
        </w:tc>
        <w:tc>
          <w:tcPr>
            <w:tcW w:w="867" w:type="dxa"/>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0</w:t>
            </w:r>
          </w:p>
        </w:tc>
        <w:tc>
          <w:tcPr>
            <w:tcW w:w="976" w:type="dxa"/>
            <w:tcBorders>
              <w:right w:val="single" w:sz="4" w:space="0" w:color="auto"/>
            </w:tcBorders>
            <w:shd w:val="clear" w:color="auto" w:fill="FFFFFF"/>
            <w:vAlign w:val="center"/>
          </w:tcPr>
          <w:p w:rsidR="0012422B" w:rsidRPr="0098186C" w:rsidRDefault="0012422B" w:rsidP="0098186C">
            <w:pPr>
              <w:ind w:right="227"/>
              <w:jc w:val="right"/>
              <w:rPr>
                <w:rFonts w:ascii="Arial Narrow" w:hAnsi="Arial Narrow"/>
                <w:color w:val="000000"/>
                <w:sz w:val="16"/>
                <w:szCs w:val="16"/>
              </w:rPr>
            </w:pPr>
            <w:r w:rsidRPr="0098186C">
              <w:rPr>
                <w:rFonts w:ascii="Arial Narrow" w:hAnsi="Arial Narrow"/>
                <w:color w:val="000000"/>
                <w:sz w:val="16"/>
                <w:szCs w:val="16"/>
              </w:rPr>
              <w:t>55</w:t>
            </w:r>
          </w:p>
        </w:tc>
      </w:tr>
      <w:tr w:rsidR="0012422B" w:rsidRPr="00BE3746" w:rsidTr="00B01F9F">
        <w:trPr>
          <w:cantSplit/>
          <w:jc w:val="center"/>
        </w:trPr>
        <w:tc>
          <w:tcPr>
            <w:tcW w:w="312" w:type="dxa"/>
            <w:tcBorders>
              <w:left w:val="single" w:sz="4" w:space="0" w:color="auto"/>
              <w:bottom w:val="single" w:sz="4" w:space="0" w:color="auto"/>
            </w:tcBorders>
            <w:shd w:val="clear" w:color="auto" w:fill="BFBFBF" w:themeFill="background1" w:themeFillShade="BF"/>
          </w:tcPr>
          <w:p w:rsidR="0012422B" w:rsidRPr="00BE3746" w:rsidRDefault="0012422B" w:rsidP="003625C5">
            <w:pPr>
              <w:tabs>
                <w:tab w:val="num" w:pos="900"/>
              </w:tabs>
              <w:spacing w:before="60" w:after="60"/>
              <w:jc w:val="right"/>
              <w:rPr>
                <w:rFonts w:ascii="Arial Narrow" w:hAnsi="Arial Narrow"/>
                <w:b/>
                <w:sz w:val="16"/>
                <w:szCs w:val="16"/>
              </w:rPr>
            </w:pPr>
          </w:p>
        </w:tc>
        <w:tc>
          <w:tcPr>
            <w:tcW w:w="4678" w:type="dxa"/>
            <w:tcBorders>
              <w:bottom w:val="single" w:sz="4" w:space="0" w:color="auto"/>
            </w:tcBorders>
            <w:shd w:val="clear" w:color="auto" w:fill="BFBFBF" w:themeFill="background1" w:themeFillShade="BF"/>
          </w:tcPr>
          <w:p w:rsidR="0012422B" w:rsidRPr="00BE3746" w:rsidRDefault="0012422B" w:rsidP="003625C5">
            <w:pPr>
              <w:tabs>
                <w:tab w:val="num" w:pos="900"/>
              </w:tabs>
              <w:spacing w:before="60" w:after="60"/>
              <w:rPr>
                <w:rFonts w:ascii="Arial Narrow" w:hAnsi="Arial Narrow"/>
                <w:b/>
                <w:sz w:val="16"/>
                <w:szCs w:val="16"/>
              </w:rPr>
            </w:pPr>
            <w:r>
              <w:rPr>
                <w:rFonts w:ascii="Arial Narrow" w:hAnsi="Arial Narrow"/>
                <w:b/>
                <w:sz w:val="16"/>
                <w:szCs w:val="16"/>
              </w:rPr>
              <w:t xml:space="preserve">Ισοζύγιο </w:t>
            </w:r>
            <w:r w:rsidRPr="00BE3746">
              <w:rPr>
                <w:rFonts w:ascii="Arial Narrow" w:hAnsi="Arial Narrow"/>
                <w:b/>
                <w:sz w:val="16"/>
                <w:szCs w:val="16"/>
              </w:rPr>
              <w:t xml:space="preserve">κατά </w:t>
            </w:r>
            <w:r w:rsidRPr="00BE3746">
              <w:rPr>
                <w:rFonts w:ascii="Arial Narrow" w:hAnsi="Arial Narrow"/>
                <w:b/>
                <w:sz w:val="16"/>
                <w:szCs w:val="16"/>
                <w:lang w:val="en-GB"/>
              </w:rPr>
              <w:t>ESA</w:t>
            </w:r>
          </w:p>
        </w:tc>
        <w:tc>
          <w:tcPr>
            <w:tcW w:w="992" w:type="dxa"/>
            <w:tcBorders>
              <w:bottom w:val="single" w:sz="4" w:space="0" w:color="auto"/>
            </w:tcBorders>
            <w:shd w:val="clear" w:color="auto" w:fill="BFBFBF" w:themeFill="background1" w:themeFillShade="BF"/>
            <w:vAlign w:val="center"/>
          </w:tcPr>
          <w:p w:rsidR="0012422B" w:rsidRPr="0098186C" w:rsidRDefault="0012422B" w:rsidP="0098186C">
            <w:pPr>
              <w:ind w:right="227"/>
              <w:jc w:val="right"/>
              <w:rPr>
                <w:rFonts w:ascii="Arial Narrow" w:hAnsi="Arial Narrow"/>
                <w:b/>
                <w:bCs/>
                <w:color w:val="000000"/>
                <w:sz w:val="16"/>
                <w:szCs w:val="16"/>
              </w:rPr>
            </w:pPr>
            <w:r w:rsidRPr="0098186C">
              <w:rPr>
                <w:rFonts w:ascii="Arial Narrow" w:hAnsi="Arial Narrow"/>
                <w:b/>
                <w:bCs/>
                <w:color w:val="000000"/>
                <w:sz w:val="16"/>
                <w:szCs w:val="16"/>
              </w:rPr>
              <w:t>200</w:t>
            </w:r>
          </w:p>
        </w:tc>
        <w:tc>
          <w:tcPr>
            <w:tcW w:w="992" w:type="dxa"/>
            <w:tcBorders>
              <w:bottom w:val="single" w:sz="4" w:space="0" w:color="auto"/>
            </w:tcBorders>
            <w:shd w:val="clear" w:color="auto" w:fill="BFBFBF" w:themeFill="background1" w:themeFillShade="BF"/>
            <w:vAlign w:val="center"/>
          </w:tcPr>
          <w:p w:rsidR="0012422B" w:rsidRPr="0098186C" w:rsidRDefault="0012422B" w:rsidP="0098186C">
            <w:pPr>
              <w:ind w:right="227"/>
              <w:jc w:val="right"/>
              <w:rPr>
                <w:rFonts w:ascii="Arial Narrow" w:hAnsi="Arial Narrow"/>
                <w:b/>
                <w:bCs/>
                <w:color w:val="000000"/>
                <w:sz w:val="16"/>
                <w:szCs w:val="16"/>
              </w:rPr>
            </w:pPr>
            <w:r w:rsidRPr="0098186C">
              <w:rPr>
                <w:rFonts w:ascii="Arial Narrow" w:hAnsi="Arial Narrow"/>
                <w:b/>
                <w:bCs/>
                <w:color w:val="000000"/>
                <w:sz w:val="16"/>
                <w:szCs w:val="16"/>
              </w:rPr>
              <w:t>171</w:t>
            </w:r>
          </w:p>
        </w:tc>
        <w:tc>
          <w:tcPr>
            <w:tcW w:w="867" w:type="dxa"/>
            <w:tcBorders>
              <w:bottom w:val="single" w:sz="4" w:space="0" w:color="auto"/>
            </w:tcBorders>
            <w:shd w:val="clear" w:color="auto" w:fill="BFBFBF" w:themeFill="background1" w:themeFillShade="BF"/>
            <w:vAlign w:val="center"/>
          </w:tcPr>
          <w:p w:rsidR="0012422B" w:rsidRPr="0098186C" w:rsidRDefault="0012422B" w:rsidP="0098186C">
            <w:pPr>
              <w:ind w:right="227"/>
              <w:jc w:val="right"/>
              <w:rPr>
                <w:rFonts w:ascii="Arial Narrow" w:hAnsi="Arial Narrow"/>
                <w:b/>
                <w:bCs/>
                <w:color w:val="000000"/>
                <w:sz w:val="16"/>
                <w:szCs w:val="16"/>
              </w:rPr>
            </w:pPr>
            <w:r w:rsidRPr="0098186C">
              <w:rPr>
                <w:rFonts w:ascii="Arial Narrow" w:hAnsi="Arial Narrow"/>
                <w:b/>
                <w:bCs/>
                <w:color w:val="000000"/>
                <w:sz w:val="16"/>
                <w:szCs w:val="16"/>
              </w:rPr>
              <w:t>398</w:t>
            </w:r>
          </w:p>
        </w:tc>
        <w:tc>
          <w:tcPr>
            <w:tcW w:w="976" w:type="dxa"/>
            <w:tcBorders>
              <w:bottom w:val="single" w:sz="4" w:space="0" w:color="auto"/>
              <w:right w:val="single" w:sz="4" w:space="0" w:color="auto"/>
            </w:tcBorders>
            <w:shd w:val="clear" w:color="auto" w:fill="BFBFBF" w:themeFill="background1" w:themeFillShade="BF"/>
            <w:vAlign w:val="center"/>
          </w:tcPr>
          <w:p w:rsidR="0012422B" w:rsidRPr="0098186C" w:rsidRDefault="0012422B" w:rsidP="0098186C">
            <w:pPr>
              <w:ind w:right="227"/>
              <w:jc w:val="right"/>
              <w:rPr>
                <w:rFonts w:ascii="Arial Narrow" w:hAnsi="Arial Narrow"/>
                <w:b/>
                <w:bCs/>
                <w:color w:val="000000"/>
                <w:sz w:val="16"/>
                <w:szCs w:val="16"/>
              </w:rPr>
            </w:pPr>
            <w:r w:rsidRPr="0098186C">
              <w:rPr>
                <w:rFonts w:ascii="Arial Narrow" w:hAnsi="Arial Narrow"/>
                <w:b/>
                <w:bCs/>
                <w:color w:val="000000"/>
                <w:sz w:val="16"/>
                <w:szCs w:val="16"/>
              </w:rPr>
              <w:t>342</w:t>
            </w:r>
          </w:p>
        </w:tc>
      </w:tr>
    </w:tbl>
    <w:p w:rsidR="0012422B" w:rsidRDefault="0012422B">
      <w:pPr>
        <w:rPr>
          <w:rFonts w:ascii="Arial Narrow" w:hAnsi="Arial Narrow"/>
          <w:sz w:val="16"/>
        </w:rPr>
      </w:pPr>
      <w:r>
        <w:rPr>
          <w:rFonts w:ascii="Arial Narrow" w:hAnsi="Arial Narrow"/>
          <w:sz w:val="16"/>
        </w:rPr>
        <w:br w:type="page"/>
      </w:r>
    </w:p>
    <w:p w:rsidR="00BB71F0" w:rsidRDefault="00BB71F0" w:rsidP="00C66CCB">
      <w:pPr>
        <w:ind w:left="426" w:hanging="284"/>
        <w:jc w:val="both"/>
        <w:rPr>
          <w:bCs/>
          <w:sz w:val="22"/>
          <w:szCs w:val="22"/>
        </w:rPr>
      </w:pPr>
    </w:p>
    <w:p w:rsidR="00D72FCE" w:rsidRPr="006009B4" w:rsidRDefault="00D72FCE" w:rsidP="00D72FCE">
      <w:pPr>
        <w:shd w:val="clear" w:color="auto" w:fill="595959" w:themeFill="text1" w:themeFillTint="A6"/>
        <w:jc w:val="both"/>
        <w:rPr>
          <w:rFonts w:ascii="Arial Narrow" w:hAnsi="Arial Narrow"/>
          <w:b/>
          <w:color w:val="FFFFFF"/>
          <w:sz w:val="26"/>
          <w:szCs w:val="22"/>
        </w:rPr>
      </w:pPr>
      <w:r w:rsidRPr="006009B4">
        <w:rPr>
          <w:rFonts w:ascii="Arial Narrow" w:hAnsi="Arial Narrow"/>
          <w:b/>
          <w:color w:val="FFFFFF"/>
          <w:sz w:val="26"/>
          <w:szCs w:val="22"/>
        </w:rPr>
        <w:t>8.</w:t>
      </w:r>
      <w:r w:rsidRPr="006009B4">
        <w:rPr>
          <w:rFonts w:ascii="Arial Narrow" w:hAnsi="Arial Narrow"/>
          <w:b/>
          <w:color w:val="FFFFFF"/>
          <w:sz w:val="26"/>
          <w:szCs w:val="22"/>
        </w:rPr>
        <w:tab/>
        <w:t>Δημόσιες Επιχειρήσεις και Οργανισμοί</w:t>
      </w:r>
      <w:r>
        <w:rPr>
          <w:rFonts w:ascii="Arial Narrow" w:hAnsi="Arial Narrow"/>
          <w:b/>
          <w:color w:val="FFFFFF"/>
          <w:sz w:val="26"/>
          <w:szCs w:val="22"/>
        </w:rPr>
        <w:t xml:space="preserve"> Γενικής Κυβέρνησης</w:t>
      </w:r>
    </w:p>
    <w:p w:rsidR="00D72FCE" w:rsidRPr="00C977E8" w:rsidRDefault="00D72FCE" w:rsidP="00D72FCE">
      <w:pPr>
        <w:jc w:val="both"/>
        <w:rPr>
          <w:color w:val="000000"/>
          <w:sz w:val="20"/>
          <w:szCs w:val="22"/>
        </w:rPr>
      </w:pPr>
    </w:p>
    <w:p w:rsidR="003625C5" w:rsidRDefault="00793ECE" w:rsidP="003625C5">
      <w:pPr>
        <w:jc w:val="both"/>
        <w:rPr>
          <w:color w:val="000000"/>
          <w:sz w:val="22"/>
          <w:szCs w:val="22"/>
        </w:rPr>
      </w:pPr>
      <w:r>
        <w:rPr>
          <w:color w:val="000000"/>
          <w:sz w:val="22"/>
          <w:szCs w:val="22"/>
        </w:rPr>
        <w:t>Οι</w:t>
      </w:r>
      <w:r w:rsidR="003625C5" w:rsidRPr="006009B4">
        <w:rPr>
          <w:color w:val="000000"/>
          <w:sz w:val="22"/>
          <w:szCs w:val="22"/>
        </w:rPr>
        <w:t xml:space="preserve"> Δημόσι</w:t>
      </w:r>
      <w:r w:rsidR="008D4BC1">
        <w:rPr>
          <w:color w:val="000000"/>
          <w:sz w:val="22"/>
          <w:szCs w:val="22"/>
        </w:rPr>
        <w:t>ες</w:t>
      </w:r>
      <w:r w:rsidR="003625C5" w:rsidRPr="006009B4">
        <w:rPr>
          <w:color w:val="000000"/>
          <w:sz w:val="22"/>
          <w:szCs w:val="22"/>
        </w:rPr>
        <w:t xml:space="preserve"> Επιχειρήσε</w:t>
      </w:r>
      <w:r w:rsidR="008D4BC1">
        <w:rPr>
          <w:color w:val="000000"/>
          <w:sz w:val="22"/>
          <w:szCs w:val="22"/>
        </w:rPr>
        <w:t>ις</w:t>
      </w:r>
      <w:r w:rsidR="003625C5" w:rsidRPr="006009B4">
        <w:rPr>
          <w:color w:val="000000"/>
          <w:sz w:val="22"/>
          <w:szCs w:val="22"/>
        </w:rPr>
        <w:t xml:space="preserve"> και Οργανισμ</w:t>
      </w:r>
      <w:r w:rsidR="008D4BC1">
        <w:rPr>
          <w:color w:val="000000"/>
          <w:sz w:val="22"/>
          <w:szCs w:val="22"/>
        </w:rPr>
        <w:t>οί</w:t>
      </w:r>
      <w:r>
        <w:rPr>
          <w:color w:val="000000"/>
          <w:sz w:val="22"/>
          <w:szCs w:val="22"/>
        </w:rPr>
        <w:t xml:space="preserve"> (ΔΕΚΟ)</w:t>
      </w:r>
      <w:r w:rsidR="00CD559F">
        <w:rPr>
          <w:color w:val="000000"/>
          <w:sz w:val="22"/>
          <w:szCs w:val="22"/>
        </w:rPr>
        <w:t xml:space="preserve"> </w:t>
      </w:r>
      <w:r w:rsidR="003625C5">
        <w:rPr>
          <w:color w:val="000000"/>
          <w:sz w:val="22"/>
          <w:szCs w:val="22"/>
        </w:rPr>
        <w:t>ανά Υπουργε</w:t>
      </w:r>
      <w:r w:rsidR="00446090">
        <w:rPr>
          <w:color w:val="000000"/>
          <w:sz w:val="22"/>
          <w:szCs w:val="22"/>
        </w:rPr>
        <w:t xml:space="preserve">ίο εμφανίζονται στον πίνακα </w:t>
      </w:r>
      <w:r w:rsidR="00446090" w:rsidRPr="00915302">
        <w:rPr>
          <w:color w:val="000000"/>
          <w:sz w:val="22"/>
          <w:szCs w:val="22"/>
        </w:rPr>
        <w:t>3.26.</w:t>
      </w:r>
    </w:p>
    <w:p w:rsidR="003625C5" w:rsidRDefault="003625C5">
      <w:pPr>
        <w:rPr>
          <w:sz w:val="22"/>
        </w:rPr>
      </w:pPr>
    </w:p>
    <w:tbl>
      <w:tblPr>
        <w:tblW w:w="819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9"/>
        <w:gridCol w:w="7761"/>
      </w:tblGrid>
      <w:tr w:rsidR="003625C5" w:rsidTr="003625C5">
        <w:trPr>
          <w:trHeight w:val="170"/>
          <w:jc w:val="center"/>
        </w:trPr>
        <w:tc>
          <w:tcPr>
            <w:tcW w:w="8190" w:type="dxa"/>
            <w:gridSpan w:val="2"/>
            <w:shd w:val="clear" w:color="auto" w:fill="404040" w:themeFill="text1" w:themeFillTint="BF"/>
            <w:hideMark/>
          </w:tcPr>
          <w:p w:rsidR="003625C5" w:rsidRDefault="003625C5" w:rsidP="003625C5">
            <w:pPr>
              <w:jc w:val="center"/>
              <w:rPr>
                <w:rFonts w:ascii="Arial Narrow" w:hAnsi="Arial Narrow"/>
                <w:b/>
                <w:bCs/>
                <w:sz w:val="16"/>
                <w:szCs w:val="16"/>
              </w:rPr>
            </w:pPr>
            <w:r w:rsidRPr="00961785">
              <w:rPr>
                <w:rFonts w:ascii="Arial Narrow" w:hAnsi="Arial Narrow" w:cs="Segoe UI"/>
                <w:b/>
                <w:bCs/>
                <w:color w:val="FFFFFF" w:themeColor="background1"/>
                <w:szCs w:val="16"/>
              </w:rPr>
              <w:t xml:space="preserve">Πίνακας </w:t>
            </w:r>
            <w:r w:rsidRPr="007A74AF">
              <w:rPr>
                <w:rFonts w:ascii="Arial Narrow" w:hAnsi="Arial Narrow" w:cs="Segoe UI"/>
                <w:b/>
                <w:bCs/>
                <w:color w:val="FFFFFF" w:themeColor="background1"/>
                <w:szCs w:val="16"/>
              </w:rPr>
              <w:t>3</w:t>
            </w:r>
            <w:r w:rsidR="00446090">
              <w:rPr>
                <w:rFonts w:ascii="Arial Narrow" w:hAnsi="Arial Narrow" w:cs="Segoe UI"/>
                <w:b/>
                <w:bCs/>
                <w:color w:val="FFFFFF" w:themeColor="background1"/>
                <w:szCs w:val="16"/>
              </w:rPr>
              <w:t>.26</w:t>
            </w:r>
            <w:r>
              <w:rPr>
                <w:rFonts w:ascii="Arial Narrow" w:hAnsi="Arial Narrow" w:cs="Segoe UI"/>
                <w:b/>
                <w:bCs/>
                <w:color w:val="FFFFFF" w:themeColor="background1"/>
                <w:szCs w:val="16"/>
              </w:rPr>
              <w:t xml:space="preserve">  </w:t>
            </w:r>
            <w:r w:rsidRPr="00961785">
              <w:rPr>
                <w:rFonts w:ascii="Arial Narrow" w:hAnsi="Arial Narrow" w:cs="Segoe UI"/>
                <w:b/>
                <w:bCs/>
                <w:color w:val="FFFFFF" w:themeColor="background1"/>
                <w:szCs w:val="16"/>
              </w:rPr>
              <w:t>ΔΕΚΟ ανά Υπουργείο</w:t>
            </w:r>
          </w:p>
        </w:tc>
      </w:tr>
      <w:tr w:rsidR="003625C5" w:rsidTr="003625C5">
        <w:trPr>
          <w:trHeight w:val="170"/>
          <w:jc w:val="center"/>
        </w:trPr>
        <w:tc>
          <w:tcPr>
            <w:tcW w:w="8190" w:type="dxa"/>
            <w:gridSpan w:val="2"/>
            <w:shd w:val="clear" w:color="auto" w:fill="auto"/>
            <w:hideMark/>
          </w:tcPr>
          <w:p w:rsidR="003625C5" w:rsidRDefault="003625C5" w:rsidP="003625C5">
            <w:pPr>
              <w:rPr>
                <w:rFonts w:ascii="Arial Narrow" w:hAnsi="Arial Narrow"/>
                <w:b/>
                <w:bCs/>
                <w:sz w:val="16"/>
                <w:szCs w:val="16"/>
              </w:rPr>
            </w:pPr>
          </w:p>
        </w:tc>
      </w:tr>
      <w:tr w:rsidR="003625C5" w:rsidTr="003625C5">
        <w:trPr>
          <w:trHeight w:val="170"/>
          <w:jc w:val="center"/>
        </w:trPr>
        <w:tc>
          <w:tcPr>
            <w:tcW w:w="429" w:type="dxa"/>
            <w:shd w:val="clear" w:color="auto" w:fill="A6A6A6" w:themeFill="background1" w:themeFillShade="A6"/>
            <w:hideMark/>
          </w:tcPr>
          <w:p w:rsidR="003625C5" w:rsidRPr="00961785" w:rsidRDefault="003625C5" w:rsidP="00C977E8">
            <w:pPr>
              <w:spacing w:line="228" w:lineRule="auto"/>
              <w:jc w:val="center"/>
              <w:rPr>
                <w:rFonts w:ascii="Arial Narrow" w:hAnsi="Arial Narrow" w:cs="Segoe UI"/>
                <w:b/>
                <w:bCs/>
                <w:sz w:val="16"/>
                <w:szCs w:val="16"/>
              </w:rPr>
            </w:pPr>
            <w:r w:rsidRPr="00961785">
              <w:rPr>
                <w:rFonts w:ascii="Arial Narrow" w:hAnsi="Arial Narrow" w:cs="Segoe UI"/>
                <w:b/>
                <w:bCs/>
                <w:sz w:val="16"/>
                <w:szCs w:val="16"/>
              </w:rPr>
              <w:t>1</w:t>
            </w:r>
          </w:p>
        </w:tc>
        <w:tc>
          <w:tcPr>
            <w:tcW w:w="7761" w:type="dxa"/>
            <w:shd w:val="clear" w:color="auto" w:fill="A6A6A6" w:themeFill="background1" w:themeFillShade="A6"/>
            <w:vAlign w:val="center"/>
            <w:hideMark/>
          </w:tcPr>
          <w:p w:rsidR="003625C5" w:rsidRDefault="003625C5" w:rsidP="00C977E8">
            <w:pPr>
              <w:spacing w:line="228" w:lineRule="auto"/>
              <w:rPr>
                <w:rFonts w:ascii="Arial Narrow" w:hAnsi="Arial Narrow"/>
                <w:b/>
                <w:bCs/>
                <w:sz w:val="16"/>
                <w:szCs w:val="16"/>
              </w:rPr>
            </w:pPr>
            <w:r>
              <w:rPr>
                <w:rFonts w:ascii="Arial Narrow" w:hAnsi="Arial Narrow"/>
                <w:b/>
                <w:bCs/>
                <w:sz w:val="16"/>
                <w:szCs w:val="16"/>
              </w:rPr>
              <w:t>Υπουργείο Οικονομίας και Ανάπτυξης</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vAlign w:val="center"/>
            <w:hideMark/>
          </w:tcPr>
          <w:p w:rsidR="003625C5" w:rsidRDefault="003625C5" w:rsidP="00C977E8">
            <w:pPr>
              <w:spacing w:line="228" w:lineRule="auto"/>
              <w:rPr>
                <w:rFonts w:ascii="Arial Narrow" w:hAnsi="Arial Narrow"/>
                <w:i/>
                <w:iCs/>
                <w:sz w:val="16"/>
                <w:szCs w:val="16"/>
              </w:rPr>
            </w:pPr>
            <w:r>
              <w:rPr>
                <w:rFonts w:ascii="Arial Narrow" w:hAnsi="Arial Narrow"/>
                <w:i/>
                <w:iCs/>
                <w:sz w:val="16"/>
                <w:szCs w:val="16"/>
              </w:rPr>
              <w:t>Μονάδα Οργάνωσης της Διαχείρισης Αναπτυξιακών Προγραμμάτων (ΜΟΔ) ΑΕ</w:t>
            </w:r>
          </w:p>
        </w:tc>
      </w:tr>
      <w:tr w:rsidR="003625C5" w:rsidTr="003625C5">
        <w:trPr>
          <w:trHeight w:val="170"/>
          <w:jc w:val="center"/>
        </w:trPr>
        <w:tc>
          <w:tcPr>
            <w:tcW w:w="429" w:type="dxa"/>
            <w:shd w:val="clear" w:color="auto" w:fill="A6A6A6" w:themeFill="background1" w:themeFillShade="A6"/>
            <w:hideMark/>
          </w:tcPr>
          <w:p w:rsidR="003625C5" w:rsidRPr="00961785" w:rsidRDefault="003625C5" w:rsidP="00C977E8">
            <w:pPr>
              <w:spacing w:line="228" w:lineRule="auto"/>
              <w:jc w:val="center"/>
              <w:rPr>
                <w:rFonts w:ascii="Arial Narrow" w:hAnsi="Arial Narrow" w:cs="Segoe UI"/>
                <w:b/>
                <w:bCs/>
                <w:sz w:val="16"/>
                <w:szCs w:val="16"/>
              </w:rPr>
            </w:pPr>
            <w:r>
              <w:rPr>
                <w:rFonts w:ascii="Arial Narrow" w:hAnsi="Arial Narrow" w:cs="Segoe UI"/>
                <w:b/>
                <w:bCs/>
                <w:sz w:val="16"/>
                <w:szCs w:val="16"/>
              </w:rPr>
              <w:t>2</w:t>
            </w:r>
          </w:p>
        </w:tc>
        <w:tc>
          <w:tcPr>
            <w:tcW w:w="7761" w:type="dxa"/>
            <w:shd w:val="clear" w:color="auto" w:fill="A6A6A6" w:themeFill="background1" w:themeFillShade="A6"/>
            <w:vAlign w:val="center"/>
            <w:hideMark/>
          </w:tcPr>
          <w:p w:rsidR="003625C5" w:rsidRDefault="003625C5" w:rsidP="00C977E8">
            <w:pPr>
              <w:spacing w:line="228" w:lineRule="auto"/>
              <w:rPr>
                <w:rFonts w:ascii="Arial Narrow" w:hAnsi="Arial Narrow"/>
                <w:b/>
                <w:bCs/>
                <w:sz w:val="16"/>
                <w:szCs w:val="16"/>
              </w:rPr>
            </w:pPr>
            <w:r>
              <w:rPr>
                <w:rFonts w:ascii="Arial Narrow" w:hAnsi="Arial Narrow"/>
                <w:b/>
                <w:bCs/>
                <w:sz w:val="16"/>
                <w:szCs w:val="16"/>
              </w:rPr>
              <w:t>Υπουργείο Ψηφιακής Πολιτικής, Τηλεπικοινωνιών και Ενημέρωσης</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vAlign w:val="center"/>
            <w:hideMark/>
          </w:tcPr>
          <w:p w:rsidR="003625C5" w:rsidRDefault="003625C5" w:rsidP="00C977E8">
            <w:pPr>
              <w:spacing w:line="228" w:lineRule="auto"/>
              <w:rPr>
                <w:rFonts w:ascii="Arial Narrow" w:hAnsi="Arial Narrow"/>
                <w:i/>
                <w:iCs/>
                <w:sz w:val="16"/>
                <w:szCs w:val="16"/>
              </w:rPr>
            </w:pPr>
            <w:r>
              <w:rPr>
                <w:rFonts w:ascii="Arial Narrow" w:hAnsi="Arial Narrow"/>
                <w:i/>
                <w:iCs/>
                <w:sz w:val="16"/>
                <w:szCs w:val="16"/>
              </w:rPr>
              <w:t>Ελληνική Ραδιοφωνία Τηλεόραση (ΕΡΤ) ΑΕ</w:t>
            </w:r>
          </w:p>
        </w:tc>
      </w:tr>
      <w:tr w:rsidR="003625C5" w:rsidTr="003625C5">
        <w:trPr>
          <w:trHeight w:val="170"/>
          <w:jc w:val="center"/>
        </w:trPr>
        <w:tc>
          <w:tcPr>
            <w:tcW w:w="429" w:type="dxa"/>
            <w:shd w:val="clear" w:color="auto" w:fill="A6A6A6" w:themeFill="background1" w:themeFillShade="A6"/>
            <w:hideMark/>
          </w:tcPr>
          <w:p w:rsidR="003625C5" w:rsidRPr="00961785" w:rsidRDefault="003625C5" w:rsidP="00C977E8">
            <w:pPr>
              <w:spacing w:line="228" w:lineRule="auto"/>
              <w:jc w:val="center"/>
              <w:rPr>
                <w:rFonts w:ascii="Arial Narrow" w:hAnsi="Arial Narrow" w:cs="Segoe UI"/>
                <w:b/>
                <w:bCs/>
                <w:sz w:val="16"/>
                <w:szCs w:val="16"/>
              </w:rPr>
            </w:pPr>
            <w:r>
              <w:rPr>
                <w:rFonts w:ascii="Arial Narrow" w:hAnsi="Arial Narrow" w:cs="Segoe UI"/>
                <w:b/>
                <w:bCs/>
                <w:sz w:val="16"/>
                <w:szCs w:val="16"/>
              </w:rPr>
              <w:t>3</w:t>
            </w:r>
          </w:p>
        </w:tc>
        <w:tc>
          <w:tcPr>
            <w:tcW w:w="7761" w:type="dxa"/>
            <w:shd w:val="clear" w:color="auto" w:fill="A6A6A6" w:themeFill="background1" w:themeFillShade="A6"/>
            <w:vAlign w:val="center"/>
            <w:hideMark/>
          </w:tcPr>
          <w:p w:rsidR="003625C5" w:rsidRDefault="003625C5" w:rsidP="00C977E8">
            <w:pPr>
              <w:spacing w:line="228" w:lineRule="auto"/>
              <w:rPr>
                <w:rFonts w:ascii="Arial Narrow" w:hAnsi="Arial Narrow"/>
                <w:b/>
                <w:bCs/>
                <w:sz w:val="16"/>
                <w:szCs w:val="16"/>
              </w:rPr>
            </w:pPr>
            <w:r>
              <w:rPr>
                <w:rFonts w:ascii="Arial Narrow" w:hAnsi="Arial Narrow"/>
                <w:b/>
                <w:bCs/>
                <w:sz w:val="16"/>
                <w:szCs w:val="16"/>
              </w:rPr>
              <w:t xml:space="preserve">Υπουργείο Εθνικής Άμυνας </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vAlign w:val="center"/>
            <w:hideMark/>
          </w:tcPr>
          <w:p w:rsidR="003625C5" w:rsidRPr="00071BE6" w:rsidRDefault="003625C5" w:rsidP="00C977E8">
            <w:pPr>
              <w:spacing w:line="228" w:lineRule="auto"/>
              <w:rPr>
                <w:rFonts w:ascii="Arial Narrow" w:hAnsi="Arial Narrow"/>
                <w:i/>
                <w:iCs/>
                <w:sz w:val="16"/>
                <w:szCs w:val="16"/>
              </w:rPr>
            </w:pPr>
            <w:r>
              <w:rPr>
                <w:rFonts w:ascii="Arial Narrow" w:hAnsi="Arial Narrow"/>
                <w:i/>
                <w:iCs/>
                <w:sz w:val="16"/>
                <w:szCs w:val="16"/>
              </w:rPr>
              <w:t>Ελληνικά Αμυντικά Συστήματα (ΕΑΣ) ΑΒΕΕ</w:t>
            </w:r>
          </w:p>
          <w:p w:rsidR="003625C5" w:rsidRPr="00071BE6" w:rsidRDefault="003625C5" w:rsidP="00C977E8">
            <w:pPr>
              <w:spacing w:line="228" w:lineRule="auto"/>
              <w:rPr>
                <w:rFonts w:ascii="Arial Narrow" w:hAnsi="Arial Narrow"/>
                <w:i/>
                <w:iCs/>
                <w:sz w:val="16"/>
                <w:szCs w:val="16"/>
              </w:rPr>
            </w:pPr>
            <w:r>
              <w:rPr>
                <w:rFonts w:ascii="Arial Narrow" w:hAnsi="Arial Narrow"/>
                <w:i/>
                <w:iCs/>
                <w:sz w:val="16"/>
                <w:szCs w:val="16"/>
              </w:rPr>
              <w:t>Ηλεκτρομηχανική Κύμης ΕΠΕ</w:t>
            </w:r>
          </w:p>
        </w:tc>
      </w:tr>
      <w:tr w:rsidR="003625C5" w:rsidTr="003625C5">
        <w:trPr>
          <w:trHeight w:val="170"/>
          <w:jc w:val="center"/>
        </w:trPr>
        <w:tc>
          <w:tcPr>
            <w:tcW w:w="429" w:type="dxa"/>
            <w:shd w:val="clear" w:color="auto" w:fill="A6A6A6" w:themeFill="background1" w:themeFillShade="A6"/>
            <w:hideMark/>
          </w:tcPr>
          <w:p w:rsidR="003625C5" w:rsidRPr="00961785" w:rsidRDefault="003625C5" w:rsidP="00C977E8">
            <w:pPr>
              <w:spacing w:line="228" w:lineRule="auto"/>
              <w:jc w:val="center"/>
              <w:rPr>
                <w:rFonts w:ascii="Arial Narrow" w:hAnsi="Arial Narrow" w:cs="Segoe UI"/>
                <w:b/>
                <w:bCs/>
                <w:sz w:val="16"/>
                <w:szCs w:val="16"/>
              </w:rPr>
            </w:pPr>
            <w:r>
              <w:rPr>
                <w:rFonts w:ascii="Arial Narrow" w:hAnsi="Arial Narrow" w:cs="Segoe UI"/>
                <w:b/>
                <w:bCs/>
                <w:sz w:val="16"/>
                <w:szCs w:val="16"/>
              </w:rPr>
              <w:t>4</w:t>
            </w:r>
          </w:p>
        </w:tc>
        <w:tc>
          <w:tcPr>
            <w:tcW w:w="7761" w:type="dxa"/>
            <w:shd w:val="clear" w:color="auto" w:fill="A6A6A6" w:themeFill="background1" w:themeFillShade="A6"/>
            <w:vAlign w:val="center"/>
            <w:hideMark/>
          </w:tcPr>
          <w:p w:rsidR="003625C5" w:rsidRDefault="003625C5" w:rsidP="00C977E8">
            <w:pPr>
              <w:spacing w:line="228" w:lineRule="auto"/>
              <w:rPr>
                <w:rFonts w:ascii="Arial Narrow" w:hAnsi="Arial Narrow"/>
                <w:b/>
                <w:bCs/>
                <w:sz w:val="16"/>
                <w:szCs w:val="16"/>
              </w:rPr>
            </w:pPr>
            <w:r>
              <w:rPr>
                <w:rFonts w:ascii="Arial Narrow" w:hAnsi="Arial Narrow"/>
                <w:b/>
                <w:bCs/>
                <w:sz w:val="16"/>
                <w:szCs w:val="16"/>
              </w:rPr>
              <w:t>Υπουργείο Οικονομικών</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vAlign w:val="center"/>
            <w:hideMark/>
          </w:tcPr>
          <w:p w:rsidR="003625C5" w:rsidRDefault="003625C5" w:rsidP="00C977E8">
            <w:pPr>
              <w:spacing w:line="228" w:lineRule="auto"/>
              <w:rPr>
                <w:rFonts w:ascii="Arial Narrow" w:hAnsi="Arial Narrow"/>
                <w:i/>
                <w:iCs/>
                <w:sz w:val="16"/>
                <w:szCs w:val="16"/>
              </w:rPr>
            </w:pPr>
            <w:r>
              <w:rPr>
                <w:rFonts w:ascii="Arial Narrow" w:hAnsi="Arial Narrow"/>
                <w:i/>
                <w:iCs/>
                <w:sz w:val="16"/>
                <w:szCs w:val="16"/>
              </w:rPr>
              <w:t>Ελληνική Αεροπορική Βιομηχανία (ΕΑΒ) ΑΕ</w:t>
            </w:r>
          </w:p>
        </w:tc>
      </w:tr>
      <w:tr w:rsidR="003625C5" w:rsidTr="003625C5">
        <w:trPr>
          <w:trHeight w:val="170"/>
          <w:jc w:val="center"/>
        </w:trPr>
        <w:tc>
          <w:tcPr>
            <w:tcW w:w="429" w:type="dxa"/>
            <w:shd w:val="clear" w:color="auto" w:fill="A6A6A6" w:themeFill="background1" w:themeFillShade="A6"/>
            <w:hideMark/>
          </w:tcPr>
          <w:p w:rsidR="003625C5" w:rsidRPr="00961785" w:rsidRDefault="003625C5" w:rsidP="00C977E8">
            <w:pPr>
              <w:spacing w:line="228" w:lineRule="auto"/>
              <w:jc w:val="center"/>
              <w:rPr>
                <w:rFonts w:ascii="Arial Narrow" w:hAnsi="Arial Narrow" w:cs="Segoe UI"/>
                <w:b/>
                <w:bCs/>
                <w:sz w:val="16"/>
                <w:szCs w:val="16"/>
              </w:rPr>
            </w:pPr>
            <w:r>
              <w:rPr>
                <w:rFonts w:ascii="Arial Narrow" w:hAnsi="Arial Narrow" w:cs="Segoe UI"/>
                <w:b/>
                <w:bCs/>
                <w:sz w:val="16"/>
                <w:szCs w:val="16"/>
              </w:rPr>
              <w:t>5</w:t>
            </w:r>
          </w:p>
        </w:tc>
        <w:tc>
          <w:tcPr>
            <w:tcW w:w="7761" w:type="dxa"/>
            <w:shd w:val="clear" w:color="auto" w:fill="A6A6A6" w:themeFill="background1" w:themeFillShade="A6"/>
            <w:vAlign w:val="center"/>
            <w:hideMark/>
          </w:tcPr>
          <w:p w:rsidR="003625C5" w:rsidRDefault="003625C5" w:rsidP="00C977E8">
            <w:pPr>
              <w:spacing w:line="228" w:lineRule="auto"/>
              <w:rPr>
                <w:rFonts w:ascii="Arial Narrow" w:hAnsi="Arial Narrow"/>
                <w:b/>
                <w:bCs/>
                <w:sz w:val="16"/>
                <w:szCs w:val="16"/>
              </w:rPr>
            </w:pPr>
            <w:r>
              <w:rPr>
                <w:rFonts w:ascii="Arial Narrow" w:hAnsi="Arial Narrow"/>
                <w:b/>
                <w:bCs/>
                <w:sz w:val="16"/>
                <w:szCs w:val="16"/>
              </w:rPr>
              <w:t xml:space="preserve">Υπουργείο Υγείας </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vAlign w:val="center"/>
            <w:hideMark/>
          </w:tcPr>
          <w:p w:rsidR="003625C5" w:rsidRDefault="003625C5" w:rsidP="00C977E8">
            <w:pPr>
              <w:spacing w:line="228" w:lineRule="auto"/>
              <w:rPr>
                <w:rFonts w:ascii="Arial Narrow" w:hAnsi="Arial Narrow"/>
                <w:i/>
                <w:iCs/>
                <w:sz w:val="16"/>
                <w:szCs w:val="16"/>
              </w:rPr>
            </w:pPr>
            <w:r>
              <w:rPr>
                <w:rFonts w:ascii="Arial Narrow" w:hAnsi="Arial Narrow"/>
                <w:i/>
                <w:iCs/>
                <w:sz w:val="16"/>
                <w:szCs w:val="16"/>
              </w:rPr>
              <w:t>Κέντρο Ελέγχου και Πρόληψης Νοσημάτων (ΚΕΕΛΠΝΟ)</w:t>
            </w:r>
          </w:p>
        </w:tc>
      </w:tr>
      <w:tr w:rsidR="003625C5" w:rsidTr="003625C5">
        <w:trPr>
          <w:trHeight w:val="170"/>
          <w:jc w:val="center"/>
        </w:trPr>
        <w:tc>
          <w:tcPr>
            <w:tcW w:w="429" w:type="dxa"/>
            <w:shd w:val="clear" w:color="auto" w:fill="A6A6A6" w:themeFill="background1" w:themeFillShade="A6"/>
            <w:hideMark/>
          </w:tcPr>
          <w:p w:rsidR="003625C5" w:rsidRPr="00961785" w:rsidRDefault="003625C5" w:rsidP="00C977E8">
            <w:pPr>
              <w:spacing w:line="228" w:lineRule="auto"/>
              <w:jc w:val="center"/>
              <w:rPr>
                <w:rFonts w:ascii="Arial Narrow" w:hAnsi="Arial Narrow" w:cs="Segoe UI"/>
                <w:b/>
                <w:bCs/>
                <w:sz w:val="16"/>
                <w:szCs w:val="16"/>
              </w:rPr>
            </w:pPr>
            <w:r w:rsidRPr="00961785">
              <w:rPr>
                <w:rFonts w:ascii="Arial Narrow" w:hAnsi="Arial Narrow" w:cs="Segoe UI"/>
                <w:b/>
                <w:bCs/>
                <w:sz w:val="16"/>
                <w:szCs w:val="16"/>
              </w:rPr>
              <w:t>6</w:t>
            </w:r>
          </w:p>
        </w:tc>
        <w:tc>
          <w:tcPr>
            <w:tcW w:w="7761" w:type="dxa"/>
            <w:shd w:val="clear" w:color="auto" w:fill="A6A6A6" w:themeFill="background1" w:themeFillShade="A6"/>
            <w:vAlign w:val="center"/>
            <w:hideMark/>
          </w:tcPr>
          <w:p w:rsidR="003625C5" w:rsidRDefault="003625C5" w:rsidP="00C977E8">
            <w:pPr>
              <w:spacing w:line="228" w:lineRule="auto"/>
              <w:rPr>
                <w:rFonts w:ascii="Arial Narrow" w:hAnsi="Arial Narrow"/>
                <w:b/>
                <w:bCs/>
                <w:sz w:val="16"/>
                <w:szCs w:val="16"/>
              </w:rPr>
            </w:pPr>
            <w:r>
              <w:rPr>
                <w:rFonts w:ascii="Arial Narrow" w:hAnsi="Arial Narrow"/>
                <w:b/>
                <w:bCs/>
                <w:sz w:val="16"/>
                <w:szCs w:val="16"/>
              </w:rPr>
              <w:t>Υπουργείο Διοικητικής Ανασυγκρότησης</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vAlign w:val="center"/>
            <w:hideMark/>
          </w:tcPr>
          <w:p w:rsidR="003625C5" w:rsidRDefault="003625C5" w:rsidP="00C977E8">
            <w:pPr>
              <w:spacing w:line="228" w:lineRule="auto"/>
              <w:rPr>
                <w:rFonts w:ascii="Arial Narrow" w:hAnsi="Arial Narrow"/>
                <w:i/>
                <w:iCs/>
                <w:sz w:val="16"/>
                <w:szCs w:val="16"/>
              </w:rPr>
            </w:pPr>
            <w:r>
              <w:rPr>
                <w:rFonts w:ascii="Arial Narrow" w:hAnsi="Arial Narrow"/>
                <w:i/>
                <w:iCs/>
                <w:sz w:val="16"/>
                <w:szCs w:val="16"/>
              </w:rPr>
              <w:t>Κοινωνία της Πληροφορίας (ΚτΠ) ΑΕ</w:t>
            </w:r>
          </w:p>
        </w:tc>
      </w:tr>
      <w:tr w:rsidR="003625C5" w:rsidTr="003625C5">
        <w:trPr>
          <w:trHeight w:val="170"/>
          <w:jc w:val="center"/>
        </w:trPr>
        <w:tc>
          <w:tcPr>
            <w:tcW w:w="429" w:type="dxa"/>
            <w:shd w:val="clear" w:color="auto" w:fill="A6A6A6" w:themeFill="background1" w:themeFillShade="A6"/>
            <w:hideMark/>
          </w:tcPr>
          <w:p w:rsidR="003625C5" w:rsidRPr="00961785" w:rsidRDefault="003625C5" w:rsidP="00C977E8">
            <w:pPr>
              <w:spacing w:line="228" w:lineRule="auto"/>
              <w:jc w:val="center"/>
              <w:rPr>
                <w:rFonts w:ascii="Arial Narrow" w:hAnsi="Arial Narrow" w:cs="Segoe UI"/>
                <w:b/>
                <w:bCs/>
                <w:sz w:val="16"/>
                <w:szCs w:val="16"/>
              </w:rPr>
            </w:pPr>
            <w:r>
              <w:rPr>
                <w:rFonts w:ascii="Arial Narrow" w:hAnsi="Arial Narrow" w:cs="Segoe UI"/>
                <w:b/>
                <w:bCs/>
                <w:sz w:val="16"/>
                <w:szCs w:val="16"/>
              </w:rPr>
              <w:t>7</w:t>
            </w:r>
          </w:p>
        </w:tc>
        <w:tc>
          <w:tcPr>
            <w:tcW w:w="7761" w:type="dxa"/>
            <w:shd w:val="clear" w:color="auto" w:fill="A6A6A6" w:themeFill="background1" w:themeFillShade="A6"/>
            <w:vAlign w:val="center"/>
            <w:hideMark/>
          </w:tcPr>
          <w:p w:rsidR="003625C5" w:rsidRDefault="003625C5" w:rsidP="00C977E8">
            <w:pPr>
              <w:spacing w:line="228" w:lineRule="auto"/>
              <w:rPr>
                <w:rFonts w:ascii="Arial Narrow" w:hAnsi="Arial Narrow"/>
                <w:b/>
                <w:bCs/>
                <w:sz w:val="16"/>
                <w:szCs w:val="16"/>
              </w:rPr>
            </w:pPr>
            <w:r>
              <w:rPr>
                <w:rFonts w:ascii="Arial Narrow" w:hAnsi="Arial Narrow"/>
                <w:b/>
                <w:bCs/>
                <w:sz w:val="16"/>
                <w:szCs w:val="16"/>
              </w:rPr>
              <w:t>Υπουργείο Περιβάλλοντος και Ενέργειας</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vAlign w:val="center"/>
            <w:hideMark/>
          </w:tcPr>
          <w:p w:rsidR="003625C5" w:rsidRDefault="003625C5" w:rsidP="00C977E8">
            <w:pPr>
              <w:spacing w:line="228" w:lineRule="auto"/>
              <w:rPr>
                <w:rFonts w:ascii="Arial Narrow" w:hAnsi="Arial Narrow"/>
                <w:i/>
                <w:iCs/>
                <w:sz w:val="16"/>
                <w:szCs w:val="16"/>
              </w:rPr>
            </w:pPr>
            <w:r>
              <w:rPr>
                <w:rFonts w:ascii="Arial Narrow" w:hAnsi="Arial Narrow"/>
                <w:i/>
                <w:iCs/>
                <w:sz w:val="16"/>
                <w:szCs w:val="16"/>
              </w:rPr>
              <w:t>Πράσινο Ταμείο</w:t>
            </w:r>
          </w:p>
        </w:tc>
      </w:tr>
      <w:tr w:rsidR="003625C5" w:rsidTr="003625C5">
        <w:trPr>
          <w:trHeight w:val="170"/>
          <w:jc w:val="center"/>
        </w:trPr>
        <w:tc>
          <w:tcPr>
            <w:tcW w:w="429" w:type="dxa"/>
            <w:shd w:val="clear" w:color="auto" w:fill="A6A6A6" w:themeFill="background1" w:themeFillShade="A6"/>
            <w:hideMark/>
          </w:tcPr>
          <w:p w:rsidR="003625C5" w:rsidRPr="00961785" w:rsidRDefault="003625C5" w:rsidP="00C977E8">
            <w:pPr>
              <w:spacing w:line="228" w:lineRule="auto"/>
              <w:jc w:val="center"/>
              <w:rPr>
                <w:rFonts w:ascii="Arial Narrow" w:hAnsi="Arial Narrow" w:cs="Segoe UI"/>
                <w:b/>
                <w:bCs/>
                <w:sz w:val="16"/>
                <w:szCs w:val="16"/>
              </w:rPr>
            </w:pPr>
            <w:r>
              <w:rPr>
                <w:rFonts w:ascii="Arial Narrow" w:hAnsi="Arial Narrow" w:cs="Segoe UI"/>
                <w:b/>
                <w:bCs/>
                <w:sz w:val="16"/>
                <w:szCs w:val="16"/>
              </w:rPr>
              <w:t>8</w:t>
            </w:r>
          </w:p>
        </w:tc>
        <w:tc>
          <w:tcPr>
            <w:tcW w:w="7761" w:type="dxa"/>
            <w:shd w:val="clear" w:color="auto" w:fill="A6A6A6" w:themeFill="background1" w:themeFillShade="A6"/>
            <w:vAlign w:val="center"/>
            <w:hideMark/>
          </w:tcPr>
          <w:p w:rsidR="003625C5" w:rsidRDefault="003625C5" w:rsidP="00C977E8">
            <w:pPr>
              <w:spacing w:line="228" w:lineRule="auto"/>
              <w:rPr>
                <w:rFonts w:ascii="Arial Narrow" w:hAnsi="Arial Narrow"/>
                <w:b/>
                <w:bCs/>
                <w:sz w:val="16"/>
                <w:szCs w:val="16"/>
              </w:rPr>
            </w:pPr>
            <w:r>
              <w:rPr>
                <w:rFonts w:ascii="Arial Narrow" w:hAnsi="Arial Narrow"/>
                <w:b/>
                <w:bCs/>
                <w:sz w:val="16"/>
                <w:szCs w:val="16"/>
              </w:rPr>
              <w:t>Υπουργείο Υποδομών και Μεταφορών</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hideMark/>
          </w:tcPr>
          <w:p w:rsidR="003625C5" w:rsidRPr="0059336A" w:rsidRDefault="003625C5" w:rsidP="00C977E8">
            <w:pPr>
              <w:spacing w:line="228" w:lineRule="auto"/>
              <w:rPr>
                <w:rFonts w:ascii="Arial Narrow" w:hAnsi="Arial Narrow"/>
                <w:i/>
                <w:iCs/>
                <w:sz w:val="16"/>
                <w:szCs w:val="16"/>
              </w:rPr>
            </w:pPr>
            <w:r w:rsidRPr="0059336A">
              <w:rPr>
                <w:rFonts w:ascii="Arial Narrow" w:hAnsi="Arial Narrow"/>
                <w:i/>
                <w:iCs/>
                <w:sz w:val="16"/>
                <w:szCs w:val="16"/>
              </w:rPr>
              <w:t>ΑΤΤΙΚΟ ΜΕΤΡΟ ΑΕ</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hideMark/>
          </w:tcPr>
          <w:p w:rsidR="003625C5" w:rsidRPr="0059336A" w:rsidRDefault="003625C5" w:rsidP="00C977E8">
            <w:pPr>
              <w:spacing w:line="228" w:lineRule="auto"/>
              <w:rPr>
                <w:rFonts w:ascii="Arial Narrow" w:hAnsi="Arial Narrow"/>
                <w:i/>
                <w:iCs/>
                <w:sz w:val="16"/>
                <w:szCs w:val="16"/>
              </w:rPr>
            </w:pPr>
            <w:r w:rsidRPr="0059336A">
              <w:rPr>
                <w:rFonts w:ascii="Arial Narrow" w:hAnsi="Arial Narrow"/>
                <w:i/>
                <w:iCs/>
                <w:sz w:val="16"/>
                <w:szCs w:val="16"/>
              </w:rPr>
              <w:t>ΟΣΕ ΑΕ</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hideMark/>
          </w:tcPr>
          <w:p w:rsidR="003625C5" w:rsidRPr="0059336A" w:rsidRDefault="003625C5" w:rsidP="00C977E8">
            <w:pPr>
              <w:spacing w:line="228" w:lineRule="auto"/>
              <w:rPr>
                <w:rFonts w:ascii="Arial Narrow" w:hAnsi="Arial Narrow"/>
                <w:i/>
                <w:iCs/>
                <w:sz w:val="16"/>
                <w:szCs w:val="16"/>
              </w:rPr>
            </w:pPr>
            <w:r w:rsidRPr="0059336A">
              <w:rPr>
                <w:rFonts w:ascii="Arial Narrow" w:hAnsi="Arial Narrow"/>
                <w:i/>
                <w:iCs/>
                <w:sz w:val="16"/>
                <w:szCs w:val="16"/>
              </w:rPr>
              <w:t>ΕΡΓΟΣΕ ΑΕ</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hideMark/>
          </w:tcPr>
          <w:p w:rsidR="003625C5" w:rsidRPr="0059336A" w:rsidRDefault="003625C5" w:rsidP="00C977E8">
            <w:pPr>
              <w:spacing w:line="228" w:lineRule="auto"/>
              <w:rPr>
                <w:rFonts w:ascii="Arial Narrow" w:hAnsi="Arial Narrow"/>
                <w:i/>
                <w:iCs/>
                <w:sz w:val="16"/>
                <w:szCs w:val="16"/>
              </w:rPr>
            </w:pPr>
            <w:r w:rsidRPr="0059336A">
              <w:rPr>
                <w:rFonts w:ascii="Arial Narrow" w:hAnsi="Arial Narrow"/>
                <w:i/>
                <w:iCs/>
                <w:sz w:val="16"/>
                <w:szCs w:val="16"/>
              </w:rPr>
              <w:t xml:space="preserve">TΡΑΙΝΟΣΕ ΑΕ </w:t>
            </w:r>
            <w:r w:rsidR="00FB12D3">
              <w:rPr>
                <w:rFonts w:ascii="Arial Narrow" w:hAnsi="Arial Narrow"/>
                <w:i/>
                <w:iCs/>
                <w:sz w:val="16"/>
                <w:szCs w:val="16"/>
              </w:rPr>
              <w:t>*</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hideMark/>
          </w:tcPr>
          <w:p w:rsidR="003625C5" w:rsidRPr="0059336A" w:rsidRDefault="003625C5" w:rsidP="00C977E8">
            <w:pPr>
              <w:spacing w:line="228" w:lineRule="auto"/>
              <w:rPr>
                <w:rFonts w:ascii="Arial Narrow" w:hAnsi="Arial Narrow"/>
                <w:i/>
                <w:iCs/>
                <w:sz w:val="16"/>
                <w:szCs w:val="16"/>
              </w:rPr>
            </w:pPr>
            <w:r w:rsidRPr="0059336A">
              <w:rPr>
                <w:rFonts w:ascii="Arial Narrow" w:hAnsi="Arial Narrow"/>
                <w:i/>
                <w:iCs/>
                <w:sz w:val="16"/>
                <w:szCs w:val="16"/>
              </w:rPr>
              <w:t xml:space="preserve">Ελληνική Εταιρεία Συντήρησης Σιδηροδρομικού Τροχαίου Υλικού (ΕΕΣΣΤΥ) ΑΕ </w:t>
            </w:r>
            <w:r w:rsidR="00FB12D3">
              <w:rPr>
                <w:rFonts w:ascii="Arial Narrow" w:hAnsi="Arial Narrow"/>
                <w:i/>
                <w:iCs/>
                <w:sz w:val="16"/>
                <w:szCs w:val="16"/>
              </w:rPr>
              <w:t>*</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hideMark/>
          </w:tcPr>
          <w:p w:rsidR="003625C5" w:rsidRPr="0059336A" w:rsidRDefault="003625C5" w:rsidP="00C977E8">
            <w:pPr>
              <w:spacing w:line="228" w:lineRule="auto"/>
              <w:rPr>
                <w:rFonts w:ascii="Arial Narrow" w:hAnsi="Arial Narrow"/>
                <w:i/>
                <w:iCs/>
                <w:sz w:val="16"/>
                <w:szCs w:val="16"/>
              </w:rPr>
            </w:pPr>
            <w:r w:rsidRPr="0059336A">
              <w:rPr>
                <w:rFonts w:ascii="Arial Narrow" w:hAnsi="Arial Narrow"/>
                <w:i/>
                <w:iCs/>
                <w:sz w:val="16"/>
                <w:szCs w:val="16"/>
              </w:rPr>
              <w:t>Οργανισμός Αστικών Συγκοινωνιών Αθηνών (ΟΑΣΑ) ΑΕ</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hideMark/>
          </w:tcPr>
          <w:p w:rsidR="003625C5" w:rsidRPr="0059336A" w:rsidRDefault="003625C5" w:rsidP="00C977E8">
            <w:pPr>
              <w:spacing w:line="228" w:lineRule="auto"/>
              <w:rPr>
                <w:rFonts w:ascii="Arial Narrow" w:hAnsi="Arial Narrow"/>
                <w:i/>
                <w:iCs/>
                <w:sz w:val="16"/>
                <w:szCs w:val="16"/>
              </w:rPr>
            </w:pPr>
            <w:r w:rsidRPr="0059336A">
              <w:rPr>
                <w:rFonts w:ascii="Arial Narrow" w:hAnsi="Arial Narrow"/>
                <w:i/>
                <w:iCs/>
                <w:sz w:val="16"/>
                <w:szCs w:val="16"/>
              </w:rPr>
              <w:t>Οδικές Συγκοινωνίες (ΟΣ</w:t>
            </w:r>
            <w:r>
              <w:rPr>
                <w:rFonts w:ascii="Arial Narrow" w:hAnsi="Arial Narrow"/>
                <w:i/>
                <w:iCs/>
                <w:sz w:val="16"/>
                <w:szCs w:val="16"/>
              </w:rPr>
              <w:t>Υ</w:t>
            </w:r>
            <w:r w:rsidRPr="0059336A">
              <w:rPr>
                <w:rFonts w:ascii="Arial Narrow" w:hAnsi="Arial Narrow"/>
                <w:i/>
                <w:iCs/>
                <w:sz w:val="16"/>
                <w:szCs w:val="16"/>
              </w:rPr>
              <w:t xml:space="preserve">) ΑΕ </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hideMark/>
          </w:tcPr>
          <w:p w:rsidR="003625C5" w:rsidRPr="0059336A" w:rsidRDefault="003625C5" w:rsidP="00C977E8">
            <w:pPr>
              <w:spacing w:line="228" w:lineRule="auto"/>
              <w:rPr>
                <w:rFonts w:ascii="Arial Narrow" w:hAnsi="Arial Narrow"/>
                <w:i/>
                <w:iCs/>
                <w:sz w:val="16"/>
                <w:szCs w:val="16"/>
              </w:rPr>
            </w:pPr>
            <w:r w:rsidRPr="0059336A">
              <w:rPr>
                <w:rFonts w:ascii="Arial Narrow" w:hAnsi="Arial Narrow"/>
                <w:i/>
                <w:iCs/>
                <w:sz w:val="16"/>
                <w:szCs w:val="16"/>
              </w:rPr>
              <w:t>Σταθερές Συγκοινωνίες (ΣΤΑΣΥ) ΑΕ</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hideMark/>
          </w:tcPr>
          <w:p w:rsidR="003625C5" w:rsidRPr="0059336A" w:rsidRDefault="003625C5" w:rsidP="00C977E8">
            <w:pPr>
              <w:spacing w:line="228" w:lineRule="auto"/>
              <w:rPr>
                <w:rFonts w:ascii="Arial Narrow" w:hAnsi="Arial Narrow"/>
                <w:i/>
                <w:iCs/>
                <w:sz w:val="16"/>
                <w:szCs w:val="16"/>
              </w:rPr>
            </w:pPr>
            <w:r w:rsidRPr="0059336A">
              <w:rPr>
                <w:rFonts w:ascii="Arial Narrow" w:hAnsi="Arial Narrow"/>
                <w:i/>
                <w:iCs/>
                <w:sz w:val="16"/>
                <w:szCs w:val="16"/>
              </w:rPr>
              <w:t xml:space="preserve">ΕΓΝΑΤΙΑ ΟΔΟΣ ΑΕ </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hideMark/>
          </w:tcPr>
          <w:p w:rsidR="003625C5" w:rsidRPr="0059336A" w:rsidRDefault="003625C5" w:rsidP="00C977E8">
            <w:pPr>
              <w:spacing w:line="228" w:lineRule="auto"/>
              <w:rPr>
                <w:rFonts w:ascii="Arial Narrow" w:hAnsi="Arial Narrow"/>
                <w:i/>
                <w:iCs/>
                <w:sz w:val="16"/>
                <w:szCs w:val="16"/>
              </w:rPr>
            </w:pPr>
            <w:r w:rsidRPr="0059336A">
              <w:rPr>
                <w:rFonts w:ascii="Arial Narrow" w:hAnsi="Arial Narrow"/>
                <w:i/>
                <w:iCs/>
                <w:sz w:val="16"/>
                <w:szCs w:val="16"/>
              </w:rPr>
              <w:t>Οργανισμός Αστικών Συγκοινωνιών Θεσσαλονίκης (ΟΑΣΘ)</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hideMark/>
          </w:tcPr>
          <w:p w:rsidR="003625C5" w:rsidRPr="0059336A" w:rsidRDefault="003625C5" w:rsidP="00C977E8">
            <w:pPr>
              <w:spacing w:line="228" w:lineRule="auto"/>
              <w:rPr>
                <w:rFonts w:ascii="Arial Narrow" w:hAnsi="Arial Narrow"/>
                <w:i/>
                <w:iCs/>
                <w:sz w:val="16"/>
                <w:szCs w:val="16"/>
              </w:rPr>
            </w:pPr>
            <w:r w:rsidRPr="0059336A">
              <w:rPr>
                <w:rFonts w:ascii="Arial Narrow" w:hAnsi="Arial Narrow"/>
                <w:i/>
                <w:iCs/>
                <w:sz w:val="16"/>
                <w:szCs w:val="16"/>
              </w:rPr>
              <w:t>Συμβάσεις παραχώρησης αυτοκινητοδρόμων</w:t>
            </w:r>
          </w:p>
        </w:tc>
      </w:tr>
      <w:tr w:rsidR="003625C5" w:rsidTr="003625C5">
        <w:trPr>
          <w:trHeight w:val="170"/>
          <w:jc w:val="center"/>
        </w:trPr>
        <w:tc>
          <w:tcPr>
            <w:tcW w:w="429" w:type="dxa"/>
            <w:shd w:val="clear" w:color="auto" w:fill="A6A6A6" w:themeFill="background1" w:themeFillShade="A6"/>
            <w:hideMark/>
          </w:tcPr>
          <w:p w:rsidR="003625C5" w:rsidRPr="00961785" w:rsidRDefault="003625C5" w:rsidP="00C977E8">
            <w:pPr>
              <w:spacing w:line="228" w:lineRule="auto"/>
              <w:jc w:val="center"/>
              <w:rPr>
                <w:rFonts w:ascii="Arial Narrow" w:hAnsi="Arial Narrow" w:cs="Segoe UI"/>
                <w:b/>
                <w:bCs/>
                <w:sz w:val="16"/>
                <w:szCs w:val="16"/>
              </w:rPr>
            </w:pPr>
            <w:r>
              <w:rPr>
                <w:rFonts w:ascii="Arial Narrow" w:hAnsi="Arial Narrow" w:cs="Segoe UI"/>
                <w:b/>
                <w:bCs/>
                <w:sz w:val="16"/>
                <w:szCs w:val="16"/>
              </w:rPr>
              <w:t>9</w:t>
            </w:r>
          </w:p>
        </w:tc>
        <w:tc>
          <w:tcPr>
            <w:tcW w:w="7761" w:type="dxa"/>
            <w:shd w:val="clear" w:color="auto" w:fill="A6A6A6" w:themeFill="background1" w:themeFillShade="A6"/>
            <w:vAlign w:val="center"/>
            <w:hideMark/>
          </w:tcPr>
          <w:p w:rsidR="003625C5" w:rsidRDefault="003625C5" w:rsidP="00C977E8">
            <w:pPr>
              <w:spacing w:line="228" w:lineRule="auto"/>
              <w:rPr>
                <w:rFonts w:ascii="Arial Narrow" w:hAnsi="Arial Narrow"/>
                <w:b/>
                <w:bCs/>
                <w:sz w:val="16"/>
                <w:szCs w:val="16"/>
              </w:rPr>
            </w:pPr>
            <w:r>
              <w:rPr>
                <w:rFonts w:ascii="Arial Narrow" w:hAnsi="Arial Narrow"/>
                <w:b/>
                <w:bCs/>
                <w:sz w:val="16"/>
                <w:szCs w:val="16"/>
              </w:rPr>
              <w:t>Υπουργείο Αγροτικής Ανάπτυξης και Τροφίμων</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vAlign w:val="center"/>
            <w:hideMark/>
          </w:tcPr>
          <w:p w:rsidR="003625C5" w:rsidRDefault="003625C5" w:rsidP="00C977E8">
            <w:pPr>
              <w:spacing w:line="228" w:lineRule="auto"/>
              <w:rPr>
                <w:rFonts w:ascii="Arial Narrow" w:hAnsi="Arial Narrow"/>
                <w:i/>
                <w:iCs/>
                <w:sz w:val="16"/>
                <w:szCs w:val="16"/>
              </w:rPr>
            </w:pPr>
            <w:r>
              <w:rPr>
                <w:rFonts w:ascii="Arial Narrow" w:hAnsi="Arial Narrow"/>
                <w:i/>
                <w:iCs/>
                <w:sz w:val="16"/>
                <w:szCs w:val="16"/>
              </w:rPr>
              <w:t>Οργανισμός Ελληνικών Γεωργικών Ασφαλίσεων (ΕΛΓΑ)</w:t>
            </w:r>
          </w:p>
        </w:tc>
      </w:tr>
      <w:tr w:rsidR="003625C5" w:rsidTr="003625C5">
        <w:trPr>
          <w:trHeight w:val="170"/>
          <w:jc w:val="center"/>
        </w:trPr>
        <w:tc>
          <w:tcPr>
            <w:tcW w:w="429" w:type="dxa"/>
            <w:shd w:val="clear" w:color="auto" w:fill="auto"/>
            <w:hideMark/>
          </w:tcPr>
          <w:p w:rsidR="003625C5" w:rsidRPr="00961785" w:rsidRDefault="003625C5" w:rsidP="00C977E8">
            <w:pPr>
              <w:spacing w:line="228" w:lineRule="auto"/>
              <w:jc w:val="center"/>
              <w:rPr>
                <w:rFonts w:ascii="Arial Narrow" w:hAnsi="Arial Narrow" w:cs="Segoe UI"/>
                <w:i/>
                <w:iCs/>
                <w:sz w:val="16"/>
                <w:szCs w:val="16"/>
              </w:rPr>
            </w:pPr>
          </w:p>
        </w:tc>
        <w:tc>
          <w:tcPr>
            <w:tcW w:w="7761" w:type="dxa"/>
            <w:shd w:val="clear" w:color="auto" w:fill="auto"/>
            <w:vAlign w:val="center"/>
            <w:hideMark/>
          </w:tcPr>
          <w:p w:rsidR="003625C5" w:rsidRDefault="003625C5" w:rsidP="00C977E8">
            <w:pPr>
              <w:spacing w:line="228" w:lineRule="auto"/>
              <w:rPr>
                <w:rFonts w:ascii="Arial Narrow" w:hAnsi="Arial Narrow"/>
                <w:i/>
                <w:iCs/>
                <w:sz w:val="16"/>
                <w:szCs w:val="16"/>
              </w:rPr>
            </w:pPr>
            <w:r>
              <w:rPr>
                <w:rFonts w:ascii="Arial Narrow" w:hAnsi="Arial Narrow"/>
                <w:i/>
                <w:iCs/>
                <w:sz w:val="16"/>
                <w:szCs w:val="16"/>
              </w:rPr>
              <w:t>Οργανισμός Πληρωμών και Ελέγχου Κοινοτικών Ενισχύσεων Προσανατολισμού και Εγγυήσεων (ΟΠΕΚΕΠΕ)</w:t>
            </w:r>
          </w:p>
          <w:p w:rsidR="003625C5" w:rsidRDefault="003625C5" w:rsidP="00C977E8">
            <w:pPr>
              <w:spacing w:line="228" w:lineRule="auto"/>
              <w:rPr>
                <w:rFonts w:ascii="Arial Narrow" w:hAnsi="Arial Narrow"/>
                <w:i/>
                <w:iCs/>
                <w:sz w:val="16"/>
                <w:szCs w:val="16"/>
              </w:rPr>
            </w:pPr>
            <w:r>
              <w:rPr>
                <w:rFonts w:ascii="Arial Narrow" w:hAnsi="Arial Narrow"/>
                <w:i/>
                <w:iCs/>
                <w:sz w:val="16"/>
                <w:szCs w:val="16"/>
              </w:rPr>
              <w:t xml:space="preserve">Ειδικός Λογαριασμός Εγγυήσεων Γεωργικών Προϊόντων (ΕΛΕΓΕΠ) </w:t>
            </w:r>
          </w:p>
        </w:tc>
      </w:tr>
      <w:tr w:rsidR="003625C5" w:rsidTr="003625C5">
        <w:trPr>
          <w:trHeight w:val="170"/>
          <w:jc w:val="center"/>
        </w:trPr>
        <w:tc>
          <w:tcPr>
            <w:tcW w:w="429" w:type="dxa"/>
            <w:shd w:val="clear" w:color="auto" w:fill="A6A6A6" w:themeFill="background1" w:themeFillShade="A6"/>
            <w:hideMark/>
          </w:tcPr>
          <w:p w:rsidR="003625C5" w:rsidRPr="00961785" w:rsidRDefault="003625C5" w:rsidP="00C977E8">
            <w:pPr>
              <w:spacing w:line="228" w:lineRule="auto"/>
              <w:jc w:val="center"/>
              <w:rPr>
                <w:rFonts w:ascii="Arial Narrow" w:hAnsi="Arial Narrow" w:cs="Segoe UI"/>
                <w:b/>
                <w:bCs/>
                <w:sz w:val="16"/>
                <w:szCs w:val="16"/>
              </w:rPr>
            </w:pPr>
            <w:r>
              <w:rPr>
                <w:rFonts w:ascii="Arial Narrow" w:hAnsi="Arial Narrow" w:cs="Segoe UI"/>
                <w:b/>
                <w:bCs/>
                <w:sz w:val="16"/>
                <w:szCs w:val="16"/>
              </w:rPr>
              <w:t>10</w:t>
            </w:r>
          </w:p>
        </w:tc>
        <w:tc>
          <w:tcPr>
            <w:tcW w:w="7761" w:type="dxa"/>
            <w:shd w:val="clear" w:color="auto" w:fill="A6A6A6" w:themeFill="background1" w:themeFillShade="A6"/>
            <w:vAlign w:val="center"/>
            <w:hideMark/>
          </w:tcPr>
          <w:p w:rsidR="003625C5" w:rsidRDefault="003625C5" w:rsidP="00C977E8">
            <w:pPr>
              <w:spacing w:line="228" w:lineRule="auto"/>
              <w:rPr>
                <w:rFonts w:ascii="Arial Narrow" w:hAnsi="Arial Narrow"/>
                <w:b/>
                <w:bCs/>
                <w:sz w:val="16"/>
                <w:szCs w:val="16"/>
              </w:rPr>
            </w:pPr>
            <w:r>
              <w:rPr>
                <w:rFonts w:ascii="Arial Narrow" w:hAnsi="Arial Narrow"/>
                <w:b/>
                <w:bCs/>
                <w:sz w:val="16"/>
                <w:szCs w:val="16"/>
              </w:rPr>
              <w:t>Υπουργείο Τουρισμού</w:t>
            </w:r>
          </w:p>
        </w:tc>
      </w:tr>
      <w:tr w:rsidR="003625C5" w:rsidTr="003625C5">
        <w:trPr>
          <w:trHeight w:val="170"/>
          <w:jc w:val="center"/>
        </w:trPr>
        <w:tc>
          <w:tcPr>
            <w:tcW w:w="429" w:type="dxa"/>
            <w:shd w:val="clear" w:color="auto" w:fill="auto"/>
            <w:hideMark/>
          </w:tcPr>
          <w:p w:rsidR="003625C5" w:rsidRPr="00961785" w:rsidRDefault="003625C5" w:rsidP="003625C5">
            <w:pPr>
              <w:spacing w:line="230" w:lineRule="auto"/>
              <w:jc w:val="center"/>
              <w:rPr>
                <w:rFonts w:ascii="Arial Narrow" w:hAnsi="Arial Narrow" w:cs="Segoe UI"/>
                <w:i/>
                <w:iCs/>
                <w:sz w:val="16"/>
                <w:szCs w:val="16"/>
              </w:rPr>
            </w:pPr>
          </w:p>
        </w:tc>
        <w:tc>
          <w:tcPr>
            <w:tcW w:w="7761" w:type="dxa"/>
            <w:shd w:val="clear" w:color="auto" w:fill="auto"/>
            <w:vAlign w:val="center"/>
            <w:hideMark/>
          </w:tcPr>
          <w:p w:rsidR="003625C5" w:rsidRDefault="003625C5" w:rsidP="003625C5">
            <w:pPr>
              <w:spacing w:line="230" w:lineRule="auto"/>
              <w:rPr>
                <w:rFonts w:ascii="Arial Narrow" w:hAnsi="Arial Narrow"/>
                <w:i/>
                <w:iCs/>
                <w:sz w:val="16"/>
                <w:szCs w:val="16"/>
              </w:rPr>
            </w:pPr>
            <w:r>
              <w:rPr>
                <w:rFonts w:ascii="Arial Narrow" w:hAnsi="Arial Narrow"/>
                <w:i/>
                <w:iCs/>
                <w:sz w:val="16"/>
                <w:szCs w:val="16"/>
              </w:rPr>
              <w:t>Ελληνικός Οργανισμός Τουρισμού (ΕΟΤ)</w:t>
            </w:r>
          </w:p>
        </w:tc>
      </w:tr>
    </w:tbl>
    <w:p w:rsidR="003625C5" w:rsidRPr="00FB12D3" w:rsidRDefault="00FB12D3" w:rsidP="00FB12D3">
      <w:pPr>
        <w:ind w:left="426" w:right="424"/>
        <w:rPr>
          <w:rFonts w:ascii="Arial Narrow" w:hAnsi="Arial Narrow"/>
          <w:sz w:val="16"/>
        </w:rPr>
      </w:pPr>
      <w:r>
        <w:rPr>
          <w:rFonts w:ascii="Arial Narrow" w:hAnsi="Arial Narrow"/>
          <w:sz w:val="16"/>
        </w:rPr>
        <w:t xml:space="preserve">*    </w:t>
      </w:r>
      <w:r w:rsidRPr="00FB12D3">
        <w:rPr>
          <w:rFonts w:ascii="Arial Narrow" w:hAnsi="Arial Narrow"/>
          <w:sz w:val="16"/>
        </w:rPr>
        <w:t>Η ΤΡΑΙΝΟΣΕ ΑΕ και η ΕΕΣΣΤΥ ΑΕ δεν περιλαμβάνονται στα στοιχεία του έτους 2018.</w:t>
      </w:r>
    </w:p>
    <w:p w:rsidR="00FB12D3" w:rsidRPr="00FB12D3" w:rsidRDefault="00FB12D3" w:rsidP="00FB12D3">
      <w:pPr>
        <w:ind w:left="426" w:right="424"/>
        <w:rPr>
          <w:sz w:val="20"/>
        </w:rPr>
      </w:pPr>
    </w:p>
    <w:p w:rsidR="003625C5" w:rsidRPr="00C978ED" w:rsidRDefault="00446090" w:rsidP="003625C5">
      <w:pPr>
        <w:jc w:val="both"/>
        <w:rPr>
          <w:sz w:val="22"/>
          <w:szCs w:val="22"/>
        </w:rPr>
      </w:pPr>
      <w:r>
        <w:rPr>
          <w:sz w:val="22"/>
          <w:szCs w:val="22"/>
        </w:rPr>
        <w:t>Στον πίνακα 3.27</w:t>
      </w:r>
      <w:r w:rsidR="003625C5" w:rsidRPr="00BE2D6D">
        <w:rPr>
          <w:sz w:val="22"/>
          <w:szCs w:val="22"/>
        </w:rPr>
        <w:t xml:space="preserve"> </w:t>
      </w:r>
      <w:r w:rsidR="003625C5">
        <w:rPr>
          <w:sz w:val="22"/>
          <w:szCs w:val="22"/>
        </w:rPr>
        <w:t xml:space="preserve">αποτυπώνονται </w:t>
      </w:r>
      <w:r w:rsidR="003625C5" w:rsidRPr="00BE2D6D">
        <w:rPr>
          <w:sz w:val="22"/>
          <w:szCs w:val="22"/>
        </w:rPr>
        <w:t>τα συνολικά οικονομικά μεγέθη των προϋπολογισμών των επανατ</w:t>
      </w:r>
      <w:r w:rsidR="003625C5" w:rsidRPr="00BE2D6D">
        <w:rPr>
          <w:sz w:val="22"/>
          <w:szCs w:val="22"/>
        </w:rPr>
        <w:t>α</w:t>
      </w:r>
      <w:r w:rsidR="003625C5">
        <w:rPr>
          <w:sz w:val="22"/>
          <w:szCs w:val="22"/>
        </w:rPr>
        <w:t>ξινομημένων ΔΕΚΟ για τα έτη 201</w:t>
      </w:r>
      <w:r w:rsidR="003625C5" w:rsidRPr="00071BE6">
        <w:rPr>
          <w:sz w:val="22"/>
          <w:szCs w:val="22"/>
        </w:rPr>
        <w:t>7</w:t>
      </w:r>
      <w:r w:rsidR="003625C5" w:rsidRPr="00BE2D6D">
        <w:rPr>
          <w:sz w:val="22"/>
          <w:szCs w:val="22"/>
        </w:rPr>
        <w:t xml:space="preserve"> και 201</w:t>
      </w:r>
      <w:r w:rsidR="003625C5" w:rsidRPr="00071BE6">
        <w:rPr>
          <w:sz w:val="22"/>
          <w:szCs w:val="22"/>
        </w:rPr>
        <w:t>8</w:t>
      </w:r>
      <w:r w:rsidR="003625C5" w:rsidRPr="00BE2D6D">
        <w:rPr>
          <w:sz w:val="22"/>
          <w:szCs w:val="22"/>
        </w:rPr>
        <w:t>, ενώ στον</w:t>
      </w:r>
      <w:r>
        <w:rPr>
          <w:sz w:val="22"/>
          <w:szCs w:val="22"/>
        </w:rPr>
        <w:t xml:space="preserve"> πίνακα 3.28</w:t>
      </w:r>
      <w:r w:rsidR="003625C5">
        <w:rPr>
          <w:sz w:val="22"/>
          <w:szCs w:val="22"/>
        </w:rPr>
        <w:t xml:space="preserve"> απεικονίζεται το ισοζύγιό</w:t>
      </w:r>
      <w:r w:rsidR="003625C5" w:rsidRPr="00BE2D6D">
        <w:rPr>
          <w:sz w:val="22"/>
          <w:szCs w:val="22"/>
        </w:rPr>
        <w:t xml:space="preserve"> </w:t>
      </w:r>
      <w:r w:rsidR="003625C5">
        <w:rPr>
          <w:sz w:val="22"/>
          <w:szCs w:val="22"/>
        </w:rPr>
        <w:t xml:space="preserve">τους </w:t>
      </w:r>
      <w:r w:rsidR="003625C5" w:rsidRPr="00BE2D6D">
        <w:rPr>
          <w:sz w:val="22"/>
          <w:szCs w:val="22"/>
        </w:rPr>
        <w:t>ανά υπουργείο</w:t>
      </w:r>
      <w:r w:rsidR="003625C5">
        <w:rPr>
          <w:sz w:val="22"/>
          <w:szCs w:val="22"/>
        </w:rPr>
        <w:t>,</w:t>
      </w:r>
      <w:r w:rsidR="003625C5" w:rsidRPr="00BE2D6D">
        <w:rPr>
          <w:sz w:val="22"/>
          <w:szCs w:val="22"/>
        </w:rPr>
        <w:t xml:space="preserve"> σύμφωνα με τη μεθοδολογία Ε</w:t>
      </w:r>
      <w:r w:rsidR="003625C5" w:rsidRPr="00BE2D6D">
        <w:rPr>
          <w:sz w:val="22"/>
          <w:szCs w:val="22"/>
          <w:lang w:val="en-US"/>
        </w:rPr>
        <w:t>S</w:t>
      </w:r>
      <w:r w:rsidR="003625C5" w:rsidRPr="00BE2D6D">
        <w:rPr>
          <w:sz w:val="22"/>
          <w:szCs w:val="22"/>
        </w:rPr>
        <w:t>Α</w:t>
      </w:r>
      <w:r w:rsidR="003625C5">
        <w:rPr>
          <w:sz w:val="22"/>
          <w:szCs w:val="22"/>
        </w:rPr>
        <w:t>.</w:t>
      </w:r>
    </w:p>
    <w:p w:rsidR="003625C5" w:rsidRPr="00C977E8" w:rsidRDefault="003625C5">
      <w:pPr>
        <w:rPr>
          <w:sz w:val="20"/>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101"/>
        <w:gridCol w:w="2101"/>
      </w:tblGrid>
      <w:tr w:rsidR="003625C5" w:rsidRPr="006009B4" w:rsidTr="003625C5">
        <w:tc>
          <w:tcPr>
            <w:tcW w:w="7742" w:type="dxa"/>
            <w:gridSpan w:val="3"/>
            <w:tcBorders>
              <w:top w:val="single" w:sz="4" w:space="0" w:color="auto"/>
              <w:bottom w:val="nil"/>
            </w:tcBorders>
            <w:shd w:val="clear" w:color="auto" w:fill="404040"/>
            <w:noWrap/>
          </w:tcPr>
          <w:p w:rsidR="003625C5" w:rsidRDefault="003625C5" w:rsidP="003625C5">
            <w:pPr>
              <w:jc w:val="center"/>
              <w:rPr>
                <w:rFonts w:ascii="Arial Narrow" w:hAnsi="Arial Narrow"/>
                <w:b/>
                <w:color w:val="FFFFFF"/>
                <w:szCs w:val="16"/>
              </w:rPr>
            </w:pPr>
            <w:r w:rsidRPr="006009B4">
              <w:rPr>
                <w:rFonts w:ascii="Arial Narrow" w:hAnsi="Arial Narrow"/>
                <w:b/>
                <w:color w:val="FFFFFF"/>
                <w:szCs w:val="16"/>
              </w:rPr>
              <w:t xml:space="preserve">Πίνακας </w:t>
            </w:r>
            <w:r w:rsidRPr="007A74AF">
              <w:rPr>
                <w:rFonts w:ascii="Arial Narrow" w:hAnsi="Arial Narrow"/>
                <w:b/>
                <w:color w:val="FFFFFF"/>
                <w:szCs w:val="16"/>
              </w:rPr>
              <w:t>3</w:t>
            </w:r>
            <w:r w:rsidR="00446090">
              <w:rPr>
                <w:rFonts w:ascii="Arial Narrow" w:hAnsi="Arial Narrow"/>
                <w:b/>
                <w:color w:val="FFFFFF"/>
                <w:szCs w:val="16"/>
              </w:rPr>
              <w:t>.27</w:t>
            </w:r>
            <w:r w:rsidRPr="006009B4">
              <w:rPr>
                <w:rFonts w:ascii="Arial Narrow" w:hAnsi="Arial Narrow"/>
                <w:b/>
                <w:color w:val="FFFFFF"/>
                <w:szCs w:val="16"/>
              </w:rPr>
              <w:t xml:space="preserve">  Ενοποιημένος Προϋπολογισμός ΔΕΚΟ</w:t>
            </w:r>
            <w:r>
              <w:rPr>
                <w:rFonts w:ascii="Arial Narrow" w:hAnsi="Arial Narrow"/>
                <w:b/>
                <w:color w:val="FFFFFF"/>
                <w:szCs w:val="16"/>
              </w:rPr>
              <w:t xml:space="preserve"> Γενικής Κυβέρνησης</w:t>
            </w:r>
          </w:p>
          <w:p w:rsidR="003625C5" w:rsidRPr="006009B4" w:rsidRDefault="003625C5" w:rsidP="003625C5">
            <w:pPr>
              <w:jc w:val="center"/>
              <w:rPr>
                <w:rFonts w:ascii="Arial Narrow" w:hAnsi="Arial Narrow"/>
                <w:b/>
                <w:color w:val="FFFFFF"/>
                <w:szCs w:val="16"/>
              </w:rPr>
            </w:pPr>
            <w:r w:rsidRPr="006009B4">
              <w:rPr>
                <w:rFonts w:ascii="Arial Narrow" w:hAnsi="Arial Narrow"/>
                <w:b/>
                <w:color w:val="FFFFFF"/>
                <w:szCs w:val="16"/>
              </w:rPr>
              <w:t>(σε εκατ. ευρώ)</w:t>
            </w:r>
          </w:p>
        </w:tc>
      </w:tr>
      <w:tr w:rsidR="003625C5" w:rsidRPr="00FA0771" w:rsidTr="003625C5">
        <w:tc>
          <w:tcPr>
            <w:tcW w:w="7742" w:type="dxa"/>
            <w:gridSpan w:val="3"/>
            <w:tcBorders>
              <w:top w:val="nil"/>
              <w:bottom w:val="nil"/>
            </w:tcBorders>
            <w:shd w:val="clear" w:color="auto" w:fill="auto"/>
            <w:noWrap/>
          </w:tcPr>
          <w:p w:rsidR="003625C5" w:rsidRPr="00FA0771" w:rsidRDefault="003625C5" w:rsidP="003625C5">
            <w:pPr>
              <w:ind w:right="907"/>
              <w:jc w:val="right"/>
              <w:rPr>
                <w:rFonts w:ascii="Arial Narrow" w:hAnsi="Arial Narrow"/>
                <w:sz w:val="12"/>
                <w:szCs w:val="16"/>
              </w:rPr>
            </w:pPr>
          </w:p>
        </w:tc>
      </w:tr>
      <w:tr w:rsidR="003625C5" w:rsidRPr="006009B4" w:rsidTr="003625C5">
        <w:tc>
          <w:tcPr>
            <w:tcW w:w="3540" w:type="dxa"/>
            <w:tcBorders>
              <w:bottom w:val="single" w:sz="4" w:space="0" w:color="auto"/>
            </w:tcBorders>
            <w:shd w:val="clear" w:color="auto" w:fill="auto"/>
            <w:noWrap/>
          </w:tcPr>
          <w:p w:rsidR="003625C5" w:rsidRPr="00071BE6" w:rsidRDefault="003625C5" w:rsidP="003625C5">
            <w:pPr>
              <w:ind w:right="170"/>
              <w:jc w:val="both"/>
              <w:rPr>
                <w:rFonts w:ascii="Arial Narrow" w:hAnsi="Arial Narrow"/>
                <w:b/>
                <w:bCs/>
                <w:sz w:val="16"/>
                <w:szCs w:val="16"/>
                <w:highlight w:val="yellow"/>
              </w:rPr>
            </w:pPr>
          </w:p>
        </w:tc>
        <w:tc>
          <w:tcPr>
            <w:tcW w:w="2101" w:type="dxa"/>
            <w:tcBorders>
              <w:bottom w:val="single" w:sz="4" w:space="0" w:color="auto"/>
            </w:tcBorders>
            <w:shd w:val="clear" w:color="auto" w:fill="auto"/>
          </w:tcPr>
          <w:p w:rsidR="003625C5" w:rsidRPr="003625C5" w:rsidRDefault="003625C5" w:rsidP="003625C5">
            <w:pPr>
              <w:jc w:val="center"/>
              <w:rPr>
                <w:rFonts w:ascii="Arial Narrow" w:hAnsi="Arial Narrow"/>
                <w:b/>
                <w:bCs/>
                <w:sz w:val="16"/>
                <w:szCs w:val="16"/>
              </w:rPr>
            </w:pPr>
            <w:r w:rsidRPr="00F30C76">
              <w:rPr>
                <w:rFonts w:ascii="Arial Narrow" w:hAnsi="Arial Narrow"/>
                <w:b/>
                <w:bCs/>
                <w:sz w:val="16"/>
                <w:szCs w:val="16"/>
              </w:rPr>
              <w:t>201</w:t>
            </w:r>
            <w:r w:rsidRPr="003625C5">
              <w:rPr>
                <w:rFonts w:ascii="Arial Narrow" w:hAnsi="Arial Narrow"/>
                <w:b/>
                <w:bCs/>
                <w:sz w:val="16"/>
                <w:szCs w:val="16"/>
              </w:rPr>
              <w:t>7</w:t>
            </w:r>
          </w:p>
          <w:p w:rsidR="003625C5" w:rsidRPr="00F30C76" w:rsidRDefault="003625C5" w:rsidP="003625C5">
            <w:pPr>
              <w:jc w:val="center"/>
              <w:rPr>
                <w:rFonts w:ascii="Arial Narrow" w:hAnsi="Arial Narrow"/>
                <w:b/>
                <w:bCs/>
                <w:sz w:val="16"/>
                <w:szCs w:val="16"/>
              </w:rPr>
            </w:pPr>
            <w:r w:rsidRPr="00F30C76">
              <w:rPr>
                <w:rFonts w:ascii="Arial Narrow" w:hAnsi="Arial Narrow"/>
                <w:b/>
                <w:bCs/>
                <w:sz w:val="16"/>
                <w:szCs w:val="16"/>
              </w:rPr>
              <w:t>Εκτιμήσεις</w:t>
            </w:r>
          </w:p>
        </w:tc>
        <w:tc>
          <w:tcPr>
            <w:tcW w:w="2101" w:type="dxa"/>
            <w:tcBorders>
              <w:bottom w:val="single" w:sz="4" w:space="0" w:color="auto"/>
            </w:tcBorders>
            <w:shd w:val="clear" w:color="auto" w:fill="auto"/>
          </w:tcPr>
          <w:p w:rsidR="003625C5" w:rsidRPr="003625C5" w:rsidRDefault="003625C5" w:rsidP="003625C5">
            <w:pPr>
              <w:jc w:val="center"/>
              <w:rPr>
                <w:rFonts w:ascii="Arial Narrow" w:hAnsi="Arial Narrow"/>
                <w:b/>
                <w:bCs/>
                <w:sz w:val="16"/>
                <w:szCs w:val="16"/>
              </w:rPr>
            </w:pPr>
            <w:r w:rsidRPr="00F30C76">
              <w:rPr>
                <w:rFonts w:ascii="Arial Narrow" w:hAnsi="Arial Narrow"/>
                <w:b/>
                <w:bCs/>
                <w:sz w:val="16"/>
                <w:szCs w:val="16"/>
              </w:rPr>
              <w:t>201</w:t>
            </w:r>
            <w:r w:rsidRPr="003625C5">
              <w:rPr>
                <w:rFonts w:ascii="Arial Narrow" w:hAnsi="Arial Narrow"/>
                <w:b/>
                <w:bCs/>
                <w:sz w:val="16"/>
                <w:szCs w:val="16"/>
              </w:rPr>
              <w:t>8</w:t>
            </w:r>
          </w:p>
          <w:p w:rsidR="003625C5" w:rsidRPr="00F30C76" w:rsidRDefault="003625C5" w:rsidP="003625C5">
            <w:pPr>
              <w:jc w:val="center"/>
              <w:rPr>
                <w:rFonts w:ascii="Arial Narrow" w:hAnsi="Arial Narrow"/>
                <w:b/>
                <w:bCs/>
                <w:sz w:val="16"/>
                <w:szCs w:val="16"/>
              </w:rPr>
            </w:pPr>
            <w:r w:rsidRPr="00F30C76">
              <w:rPr>
                <w:rFonts w:ascii="Arial Narrow" w:hAnsi="Arial Narrow"/>
                <w:b/>
                <w:bCs/>
                <w:sz w:val="16"/>
                <w:szCs w:val="16"/>
              </w:rPr>
              <w:t>Προβλέψεις</w:t>
            </w:r>
          </w:p>
        </w:tc>
      </w:tr>
      <w:tr w:rsidR="003625C5" w:rsidRPr="006009B4" w:rsidTr="003625C5">
        <w:tc>
          <w:tcPr>
            <w:tcW w:w="3540" w:type="dxa"/>
            <w:tcBorders>
              <w:bottom w:val="nil"/>
              <w:right w:val="nil"/>
            </w:tcBorders>
            <w:shd w:val="clear" w:color="auto" w:fill="BFBFBF" w:themeFill="background1" w:themeFillShade="BF"/>
            <w:noWrap/>
            <w:vAlign w:val="center"/>
          </w:tcPr>
          <w:p w:rsidR="003625C5" w:rsidRPr="00F30C76" w:rsidRDefault="003625C5" w:rsidP="003625C5">
            <w:pPr>
              <w:spacing w:line="228" w:lineRule="auto"/>
              <w:rPr>
                <w:rFonts w:ascii="Arial Narrow" w:hAnsi="Arial Narrow"/>
                <w:b/>
                <w:bCs/>
                <w:sz w:val="16"/>
                <w:szCs w:val="16"/>
              </w:rPr>
            </w:pPr>
            <w:r w:rsidRPr="00F30C76">
              <w:rPr>
                <w:rFonts w:ascii="Arial Narrow" w:hAnsi="Arial Narrow"/>
                <w:b/>
                <w:bCs/>
                <w:sz w:val="16"/>
                <w:szCs w:val="16"/>
              </w:rPr>
              <w:t>Έσοδα</w:t>
            </w:r>
          </w:p>
        </w:tc>
        <w:tc>
          <w:tcPr>
            <w:tcW w:w="2101" w:type="dxa"/>
            <w:tcBorders>
              <w:left w:val="nil"/>
              <w:bottom w:val="nil"/>
              <w:right w:val="nil"/>
            </w:tcBorders>
            <w:shd w:val="clear" w:color="auto" w:fill="BFBFBF" w:themeFill="background1" w:themeFillShade="BF"/>
            <w:vAlign w:val="center"/>
          </w:tcPr>
          <w:p w:rsidR="003625C5" w:rsidRPr="003625C5" w:rsidRDefault="003625C5" w:rsidP="003625C5">
            <w:pPr>
              <w:spacing w:line="228" w:lineRule="auto"/>
              <w:ind w:right="794"/>
              <w:jc w:val="right"/>
              <w:rPr>
                <w:rFonts w:ascii="Arial Narrow" w:hAnsi="Arial Narrow"/>
                <w:b/>
                <w:bCs/>
                <w:color w:val="000000"/>
                <w:sz w:val="16"/>
                <w:szCs w:val="16"/>
              </w:rPr>
            </w:pPr>
            <w:r w:rsidRPr="00F30C76">
              <w:rPr>
                <w:rFonts w:ascii="Arial Narrow" w:hAnsi="Arial Narrow"/>
                <w:b/>
                <w:bCs/>
                <w:color w:val="000000"/>
                <w:sz w:val="16"/>
                <w:szCs w:val="16"/>
              </w:rPr>
              <w:t>3.</w:t>
            </w:r>
            <w:r w:rsidRPr="003625C5">
              <w:rPr>
                <w:rFonts w:ascii="Arial Narrow" w:hAnsi="Arial Narrow"/>
                <w:b/>
                <w:bCs/>
                <w:color w:val="000000"/>
                <w:sz w:val="16"/>
                <w:szCs w:val="16"/>
              </w:rPr>
              <w:t>212</w:t>
            </w:r>
          </w:p>
        </w:tc>
        <w:tc>
          <w:tcPr>
            <w:tcW w:w="2101" w:type="dxa"/>
            <w:tcBorders>
              <w:left w:val="nil"/>
              <w:bottom w:val="nil"/>
            </w:tcBorders>
            <w:shd w:val="clear" w:color="auto" w:fill="BFBFBF" w:themeFill="background1" w:themeFillShade="BF"/>
            <w:vAlign w:val="center"/>
          </w:tcPr>
          <w:p w:rsidR="003625C5" w:rsidRPr="00F30C76" w:rsidRDefault="003625C5" w:rsidP="003625C5">
            <w:pPr>
              <w:spacing w:line="228" w:lineRule="auto"/>
              <w:ind w:right="794"/>
              <w:jc w:val="right"/>
              <w:rPr>
                <w:rFonts w:ascii="Arial Narrow" w:hAnsi="Arial Narrow"/>
                <w:b/>
                <w:bCs/>
                <w:color w:val="000000"/>
                <w:sz w:val="16"/>
                <w:szCs w:val="16"/>
              </w:rPr>
            </w:pPr>
            <w:r w:rsidRPr="00F30C76">
              <w:rPr>
                <w:rFonts w:ascii="Arial Narrow" w:hAnsi="Arial Narrow"/>
                <w:b/>
                <w:bCs/>
                <w:color w:val="000000"/>
                <w:sz w:val="16"/>
                <w:szCs w:val="16"/>
              </w:rPr>
              <w:t>2.</w:t>
            </w:r>
            <w:r w:rsidRPr="003625C5">
              <w:rPr>
                <w:rFonts w:ascii="Arial Narrow" w:hAnsi="Arial Narrow"/>
                <w:b/>
                <w:bCs/>
                <w:color w:val="000000"/>
                <w:sz w:val="16"/>
                <w:szCs w:val="16"/>
              </w:rPr>
              <w:t>822</w:t>
            </w:r>
          </w:p>
        </w:tc>
      </w:tr>
      <w:tr w:rsidR="003625C5" w:rsidRPr="006009B4" w:rsidTr="003625C5">
        <w:tc>
          <w:tcPr>
            <w:tcW w:w="3540" w:type="dxa"/>
            <w:tcBorders>
              <w:top w:val="nil"/>
              <w:bottom w:val="nil"/>
              <w:right w:val="nil"/>
            </w:tcBorders>
            <w:shd w:val="clear" w:color="auto" w:fill="auto"/>
            <w:noWrap/>
            <w:vAlign w:val="center"/>
          </w:tcPr>
          <w:p w:rsidR="003625C5" w:rsidRPr="00F30C76" w:rsidRDefault="003625C5" w:rsidP="003625C5">
            <w:pPr>
              <w:spacing w:line="228" w:lineRule="auto"/>
              <w:rPr>
                <w:rFonts w:ascii="Arial Narrow" w:hAnsi="Arial Narrow"/>
                <w:sz w:val="16"/>
                <w:szCs w:val="16"/>
              </w:rPr>
            </w:pPr>
            <w:r w:rsidRPr="00F30C76">
              <w:rPr>
                <w:rFonts w:ascii="Arial Narrow" w:hAnsi="Arial Narrow"/>
                <w:sz w:val="16"/>
                <w:szCs w:val="16"/>
              </w:rPr>
              <w:t>Έσοδα από πωλήσεις</w:t>
            </w:r>
          </w:p>
        </w:tc>
        <w:tc>
          <w:tcPr>
            <w:tcW w:w="2101" w:type="dxa"/>
            <w:tcBorders>
              <w:top w:val="nil"/>
              <w:left w:val="nil"/>
              <w:bottom w:val="nil"/>
              <w:right w:val="nil"/>
            </w:tcBorders>
            <w:shd w:val="clear" w:color="auto" w:fill="auto"/>
            <w:vAlign w:val="center"/>
          </w:tcPr>
          <w:p w:rsidR="003625C5" w:rsidRPr="003625C5"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rPr>
              <w:t>1.</w:t>
            </w:r>
            <w:r w:rsidRPr="003625C5">
              <w:rPr>
                <w:rFonts w:ascii="Arial Narrow" w:hAnsi="Arial Narrow"/>
                <w:color w:val="000000"/>
                <w:sz w:val="16"/>
                <w:szCs w:val="16"/>
              </w:rPr>
              <w:t>3</w:t>
            </w:r>
            <w:r w:rsidRPr="00F30C76">
              <w:rPr>
                <w:rFonts w:ascii="Arial Narrow" w:hAnsi="Arial Narrow"/>
                <w:color w:val="000000"/>
                <w:sz w:val="16"/>
                <w:szCs w:val="16"/>
              </w:rPr>
              <w:t>8</w:t>
            </w:r>
            <w:r w:rsidRPr="003625C5">
              <w:rPr>
                <w:rFonts w:ascii="Arial Narrow" w:hAnsi="Arial Narrow"/>
                <w:color w:val="000000"/>
                <w:sz w:val="16"/>
                <w:szCs w:val="16"/>
              </w:rPr>
              <w:t>4</w:t>
            </w:r>
          </w:p>
        </w:tc>
        <w:tc>
          <w:tcPr>
            <w:tcW w:w="2101" w:type="dxa"/>
            <w:tcBorders>
              <w:top w:val="nil"/>
              <w:left w:val="nil"/>
              <w:bottom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rPr>
              <w:t>1.3</w:t>
            </w:r>
            <w:r>
              <w:rPr>
                <w:rFonts w:ascii="Arial Narrow" w:hAnsi="Arial Narrow"/>
                <w:color w:val="000000"/>
                <w:sz w:val="16"/>
                <w:szCs w:val="16"/>
              </w:rPr>
              <w:t>6</w:t>
            </w:r>
            <w:r w:rsidRPr="00F30C76">
              <w:rPr>
                <w:rFonts w:ascii="Arial Narrow" w:hAnsi="Arial Narrow"/>
                <w:color w:val="000000"/>
                <w:sz w:val="16"/>
                <w:szCs w:val="16"/>
              </w:rPr>
              <w:t>2</w:t>
            </w:r>
          </w:p>
        </w:tc>
      </w:tr>
      <w:tr w:rsidR="003625C5" w:rsidRPr="006009B4" w:rsidTr="003625C5">
        <w:tc>
          <w:tcPr>
            <w:tcW w:w="3540" w:type="dxa"/>
            <w:tcBorders>
              <w:top w:val="nil"/>
              <w:bottom w:val="nil"/>
              <w:right w:val="nil"/>
            </w:tcBorders>
            <w:shd w:val="clear" w:color="auto" w:fill="auto"/>
            <w:noWrap/>
            <w:vAlign w:val="center"/>
          </w:tcPr>
          <w:p w:rsidR="003625C5" w:rsidRPr="00F30C76" w:rsidRDefault="003625C5" w:rsidP="00C977E8">
            <w:pPr>
              <w:spacing w:line="228" w:lineRule="auto"/>
              <w:rPr>
                <w:rFonts w:ascii="Arial Narrow" w:hAnsi="Arial Narrow"/>
                <w:sz w:val="16"/>
                <w:szCs w:val="16"/>
              </w:rPr>
            </w:pPr>
            <w:r w:rsidRPr="00F30C76">
              <w:rPr>
                <w:rFonts w:ascii="Arial Narrow" w:hAnsi="Arial Narrow"/>
                <w:sz w:val="16"/>
                <w:szCs w:val="16"/>
              </w:rPr>
              <w:t>Έσοδα από τόκους</w:t>
            </w:r>
          </w:p>
        </w:tc>
        <w:tc>
          <w:tcPr>
            <w:tcW w:w="2101" w:type="dxa"/>
            <w:tcBorders>
              <w:top w:val="nil"/>
              <w:left w:val="nil"/>
              <w:bottom w:val="nil"/>
              <w:right w:val="nil"/>
            </w:tcBorders>
            <w:shd w:val="clear" w:color="auto" w:fill="auto"/>
            <w:vAlign w:val="center"/>
          </w:tcPr>
          <w:p w:rsidR="003625C5" w:rsidRPr="003625C5" w:rsidRDefault="003625C5" w:rsidP="003625C5">
            <w:pPr>
              <w:spacing w:line="228" w:lineRule="auto"/>
              <w:ind w:right="794"/>
              <w:jc w:val="right"/>
              <w:rPr>
                <w:rFonts w:ascii="Arial Narrow" w:hAnsi="Arial Narrow"/>
                <w:color w:val="000000"/>
                <w:sz w:val="16"/>
                <w:szCs w:val="16"/>
              </w:rPr>
            </w:pPr>
            <w:r w:rsidRPr="003625C5">
              <w:rPr>
                <w:rFonts w:ascii="Arial Narrow" w:hAnsi="Arial Narrow"/>
                <w:color w:val="000000"/>
                <w:sz w:val="16"/>
                <w:szCs w:val="16"/>
              </w:rPr>
              <w:t>92</w:t>
            </w:r>
          </w:p>
        </w:tc>
        <w:tc>
          <w:tcPr>
            <w:tcW w:w="2101" w:type="dxa"/>
            <w:tcBorders>
              <w:top w:val="nil"/>
              <w:left w:val="nil"/>
              <w:bottom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rPr>
              <w:t>79</w:t>
            </w:r>
          </w:p>
        </w:tc>
      </w:tr>
      <w:tr w:rsidR="003625C5" w:rsidRPr="006009B4" w:rsidTr="003625C5">
        <w:tc>
          <w:tcPr>
            <w:tcW w:w="3540" w:type="dxa"/>
            <w:tcBorders>
              <w:top w:val="nil"/>
              <w:bottom w:val="nil"/>
              <w:right w:val="nil"/>
            </w:tcBorders>
            <w:shd w:val="clear" w:color="auto" w:fill="auto"/>
            <w:noWrap/>
            <w:vAlign w:val="center"/>
          </w:tcPr>
          <w:p w:rsidR="003625C5" w:rsidRPr="00F30C76" w:rsidRDefault="003625C5" w:rsidP="003625C5">
            <w:pPr>
              <w:spacing w:line="228" w:lineRule="auto"/>
              <w:rPr>
                <w:rFonts w:ascii="Arial Narrow" w:hAnsi="Arial Narrow"/>
                <w:sz w:val="16"/>
                <w:szCs w:val="16"/>
              </w:rPr>
            </w:pPr>
            <w:r w:rsidRPr="00F30C76">
              <w:rPr>
                <w:rFonts w:ascii="Arial Narrow" w:hAnsi="Arial Narrow"/>
                <w:sz w:val="16"/>
                <w:szCs w:val="16"/>
              </w:rPr>
              <w:t>Μεταβιβάσεις από Τακτικό Προϋπολογισμό</w:t>
            </w:r>
          </w:p>
        </w:tc>
        <w:tc>
          <w:tcPr>
            <w:tcW w:w="2101" w:type="dxa"/>
            <w:tcBorders>
              <w:top w:val="nil"/>
              <w:left w:val="nil"/>
              <w:bottom w:val="nil"/>
              <w:right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lang w:val="en-US"/>
              </w:rPr>
            </w:pPr>
            <w:r w:rsidRPr="00F30C76">
              <w:rPr>
                <w:rFonts w:ascii="Arial Narrow" w:hAnsi="Arial Narrow"/>
                <w:color w:val="000000"/>
                <w:sz w:val="16"/>
                <w:szCs w:val="16"/>
                <w:lang w:val="en-US"/>
              </w:rPr>
              <w:t>610</w:t>
            </w:r>
          </w:p>
        </w:tc>
        <w:tc>
          <w:tcPr>
            <w:tcW w:w="2101" w:type="dxa"/>
            <w:tcBorders>
              <w:top w:val="nil"/>
              <w:left w:val="nil"/>
              <w:bottom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rPr>
              <w:t>325</w:t>
            </w:r>
          </w:p>
        </w:tc>
      </w:tr>
      <w:tr w:rsidR="003625C5" w:rsidRPr="006009B4" w:rsidTr="003625C5">
        <w:tc>
          <w:tcPr>
            <w:tcW w:w="3540" w:type="dxa"/>
            <w:tcBorders>
              <w:top w:val="nil"/>
              <w:bottom w:val="nil"/>
              <w:right w:val="nil"/>
            </w:tcBorders>
            <w:shd w:val="clear" w:color="auto" w:fill="auto"/>
            <w:noWrap/>
            <w:vAlign w:val="center"/>
          </w:tcPr>
          <w:p w:rsidR="003625C5" w:rsidRPr="00F30C76" w:rsidRDefault="003625C5" w:rsidP="003625C5">
            <w:pPr>
              <w:spacing w:line="228" w:lineRule="auto"/>
              <w:rPr>
                <w:rFonts w:ascii="Arial Narrow" w:hAnsi="Arial Narrow"/>
                <w:sz w:val="16"/>
                <w:szCs w:val="16"/>
              </w:rPr>
            </w:pPr>
            <w:r w:rsidRPr="00F30C76">
              <w:rPr>
                <w:rFonts w:ascii="Arial Narrow" w:hAnsi="Arial Narrow"/>
                <w:sz w:val="16"/>
                <w:szCs w:val="16"/>
              </w:rPr>
              <w:t>Μεταβιβάσεις από ΠΔΕ</w:t>
            </w:r>
          </w:p>
        </w:tc>
        <w:tc>
          <w:tcPr>
            <w:tcW w:w="2101" w:type="dxa"/>
            <w:tcBorders>
              <w:top w:val="nil"/>
              <w:left w:val="nil"/>
              <w:bottom w:val="nil"/>
              <w:right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lang w:val="en-US"/>
              </w:rPr>
            </w:pPr>
            <w:r w:rsidRPr="00F30C76">
              <w:rPr>
                <w:rFonts w:ascii="Arial Narrow" w:hAnsi="Arial Narrow"/>
                <w:color w:val="000000"/>
                <w:sz w:val="16"/>
                <w:szCs w:val="16"/>
                <w:lang w:val="en-US"/>
              </w:rPr>
              <w:t>8</w:t>
            </w:r>
            <w:r>
              <w:rPr>
                <w:rFonts w:ascii="Arial Narrow" w:hAnsi="Arial Narrow"/>
                <w:color w:val="000000"/>
                <w:sz w:val="16"/>
                <w:szCs w:val="16"/>
              </w:rPr>
              <w:t>6</w:t>
            </w:r>
            <w:r w:rsidRPr="00F30C76">
              <w:rPr>
                <w:rFonts w:ascii="Arial Narrow" w:hAnsi="Arial Narrow"/>
                <w:color w:val="000000"/>
                <w:sz w:val="16"/>
                <w:szCs w:val="16"/>
                <w:lang w:val="en-US"/>
              </w:rPr>
              <w:t>9</w:t>
            </w:r>
          </w:p>
        </w:tc>
        <w:tc>
          <w:tcPr>
            <w:tcW w:w="2101" w:type="dxa"/>
            <w:tcBorders>
              <w:top w:val="nil"/>
              <w:left w:val="nil"/>
              <w:bottom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rPr>
              <w:t>793</w:t>
            </w:r>
          </w:p>
        </w:tc>
      </w:tr>
      <w:tr w:rsidR="003625C5" w:rsidRPr="006009B4" w:rsidTr="003625C5">
        <w:tc>
          <w:tcPr>
            <w:tcW w:w="3540" w:type="dxa"/>
            <w:tcBorders>
              <w:top w:val="nil"/>
              <w:bottom w:val="nil"/>
              <w:right w:val="nil"/>
            </w:tcBorders>
            <w:shd w:val="clear" w:color="auto" w:fill="auto"/>
            <w:noWrap/>
            <w:vAlign w:val="center"/>
          </w:tcPr>
          <w:p w:rsidR="003625C5" w:rsidRPr="00F30C76" w:rsidRDefault="003625C5" w:rsidP="00C977E8">
            <w:pPr>
              <w:spacing w:line="228" w:lineRule="auto"/>
              <w:rPr>
                <w:rFonts w:ascii="Arial Narrow" w:hAnsi="Arial Narrow"/>
                <w:sz w:val="16"/>
                <w:szCs w:val="16"/>
              </w:rPr>
            </w:pPr>
            <w:r w:rsidRPr="00F30C76">
              <w:rPr>
                <w:rFonts w:ascii="Arial Narrow" w:hAnsi="Arial Narrow"/>
                <w:sz w:val="16"/>
                <w:szCs w:val="16"/>
              </w:rPr>
              <w:t>Λοιπά έσοδα</w:t>
            </w:r>
          </w:p>
        </w:tc>
        <w:tc>
          <w:tcPr>
            <w:tcW w:w="2101" w:type="dxa"/>
            <w:tcBorders>
              <w:top w:val="nil"/>
              <w:left w:val="nil"/>
              <w:bottom w:val="nil"/>
              <w:right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lang w:val="en-US"/>
              </w:rPr>
            </w:pPr>
            <w:r w:rsidRPr="00F30C76">
              <w:rPr>
                <w:rFonts w:ascii="Arial Narrow" w:hAnsi="Arial Narrow"/>
                <w:color w:val="000000"/>
                <w:sz w:val="16"/>
                <w:szCs w:val="16"/>
                <w:lang w:val="en-US"/>
              </w:rPr>
              <w:t>257</w:t>
            </w:r>
          </w:p>
        </w:tc>
        <w:tc>
          <w:tcPr>
            <w:tcW w:w="2101" w:type="dxa"/>
            <w:tcBorders>
              <w:top w:val="nil"/>
              <w:left w:val="nil"/>
              <w:bottom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rPr>
              <w:t>262</w:t>
            </w:r>
          </w:p>
        </w:tc>
      </w:tr>
      <w:tr w:rsidR="003625C5" w:rsidRPr="006009B4" w:rsidTr="003625C5">
        <w:tc>
          <w:tcPr>
            <w:tcW w:w="3540" w:type="dxa"/>
            <w:tcBorders>
              <w:top w:val="nil"/>
              <w:bottom w:val="nil"/>
              <w:right w:val="nil"/>
            </w:tcBorders>
            <w:shd w:val="clear" w:color="auto" w:fill="BFBFBF" w:themeFill="background1" w:themeFillShade="BF"/>
            <w:noWrap/>
            <w:vAlign w:val="center"/>
          </w:tcPr>
          <w:p w:rsidR="003625C5" w:rsidRPr="00F30C76" w:rsidRDefault="003625C5" w:rsidP="003625C5">
            <w:pPr>
              <w:spacing w:line="228" w:lineRule="auto"/>
              <w:rPr>
                <w:rFonts w:ascii="Arial Narrow" w:hAnsi="Arial Narrow"/>
                <w:b/>
                <w:bCs/>
                <w:sz w:val="16"/>
                <w:szCs w:val="16"/>
              </w:rPr>
            </w:pPr>
            <w:r w:rsidRPr="00F30C76">
              <w:rPr>
                <w:rFonts w:ascii="Arial Narrow" w:hAnsi="Arial Narrow"/>
                <w:b/>
                <w:bCs/>
                <w:sz w:val="16"/>
                <w:szCs w:val="16"/>
              </w:rPr>
              <w:t xml:space="preserve">Δαπάνες </w:t>
            </w:r>
          </w:p>
        </w:tc>
        <w:tc>
          <w:tcPr>
            <w:tcW w:w="2101" w:type="dxa"/>
            <w:tcBorders>
              <w:top w:val="nil"/>
              <w:left w:val="nil"/>
              <w:bottom w:val="nil"/>
              <w:right w:val="nil"/>
            </w:tcBorders>
            <w:shd w:val="clear" w:color="auto" w:fill="BFBFBF" w:themeFill="background1" w:themeFillShade="BF"/>
            <w:vAlign w:val="center"/>
          </w:tcPr>
          <w:p w:rsidR="003625C5" w:rsidRPr="00CC1CE8" w:rsidRDefault="003625C5" w:rsidP="003625C5">
            <w:pPr>
              <w:spacing w:line="228" w:lineRule="auto"/>
              <w:ind w:right="794"/>
              <w:jc w:val="right"/>
              <w:rPr>
                <w:rFonts w:ascii="Arial Narrow" w:hAnsi="Arial Narrow"/>
                <w:b/>
                <w:bCs/>
                <w:color w:val="000000"/>
                <w:sz w:val="16"/>
                <w:szCs w:val="16"/>
              </w:rPr>
            </w:pPr>
            <w:r w:rsidRPr="00F30C76">
              <w:rPr>
                <w:rFonts w:ascii="Arial Narrow" w:hAnsi="Arial Narrow"/>
                <w:b/>
                <w:bCs/>
                <w:color w:val="000000"/>
                <w:sz w:val="16"/>
                <w:szCs w:val="16"/>
                <w:lang w:val="en-US"/>
              </w:rPr>
              <w:t>3</w:t>
            </w:r>
            <w:r>
              <w:rPr>
                <w:rFonts w:ascii="Arial Narrow" w:hAnsi="Arial Narrow"/>
                <w:b/>
                <w:bCs/>
                <w:color w:val="000000"/>
                <w:sz w:val="16"/>
                <w:szCs w:val="16"/>
              </w:rPr>
              <w:t>.</w:t>
            </w:r>
            <w:r w:rsidRPr="00F30C76">
              <w:rPr>
                <w:rFonts w:ascii="Arial Narrow" w:hAnsi="Arial Narrow"/>
                <w:b/>
                <w:bCs/>
                <w:color w:val="000000"/>
                <w:sz w:val="16"/>
                <w:szCs w:val="16"/>
                <w:lang w:val="en-US"/>
              </w:rPr>
              <w:t>53</w:t>
            </w:r>
            <w:r w:rsidR="00CC1CE8">
              <w:rPr>
                <w:rFonts w:ascii="Arial Narrow" w:hAnsi="Arial Narrow"/>
                <w:b/>
                <w:bCs/>
                <w:color w:val="000000"/>
                <w:sz w:val="16"/>
                <w:szCs w:val="16"/>
              </w:rPr>
              <w:t>7</w:t>
            </w:r>
          </w:p>
        </w:tc>
        <w:tc>
          <w:tcPr>
            <w:tcW w:w="2101" w:type="dxa"/>
            <w:tcBorders>
              <w:top w:val="nil"/>
              <w:left w:val="nil"/>
              <w:bottom w:val="nil"/>
            </w:tcBorders>
            <w:shd w:val="clear" w:color="auto" w:fill="BFBFBF" w:themeFill="background1" w:themeFillShade="BF"/>
            <w:vAlign w:val="center"/>
          </w:tcPr>
          <w:p w:rsidR="003625C5" w:rsidRPr="00F30C76" w:rsidRDefault="003625C5" w:rsidP="003625C5">
            <w:pPr>
              <w:spacing w:line="228" w:lineRule="auto"/>
              <w:ind w:right="794"/>
              <w:jc w:val="right"/>
              <w:rPr>
                <w:rFonts w:ascii="Arial Narrow" w:hAnsi="Arial Narrow"/>
                <w:b/>
                <w:bCs/>
                <w:color w:val="000000"/>
                <w:sz w:val="16"/>
                <w:szCs w:val="16"/>
              </w:rPr>
            </w:pPr>
            <w:r w:rsidRPr="00F30C76">
              <w:rPr>
                <w:rFonts w:ascii="Arial Narrow" w:hAnsi="Arial Narrow"/>
                <w:b/>
                <w:bCs/>
                <w:color w:val="000000"/>
                <w:sz w:val="16"/>
                <w:szCs w:val="16"/>
              </w:rPr>
              <w:t>2.983</w:t>
            </w:r>
          </w:p>
        </w:tc>
      </w:tr>
      <w:tr w:rsidR="003625C5" w:rsidRPr="006009B4" w:rsidTr="003625C5">
        <w:tc>
          <w:tcPr>
            <w:tcW w:w="3540" w:type="dxa"/>
            <w:tcBorders>
              <w:top w:val="nil"/>
              <w:bottom w:val="nil"/>
              <w:right w:val="nil"/>
            </w:tcBorders>
            <w:shd w:val="clear" w:color="auto" w:fill="auto"/>
            <w:noWrap/>
            <w:vAlign w:val="center"/>
          </w:tcPr>
          <w:p w:rsidR="003625C5" w:rsidRPr="00F30C76" w:rsidRDefault="00793ECE" w:rsidP="003625C5">
            <w:pPr>
              <w:spacing w:line="228" w:lineRule="auto"/>
              <w:rPr>
                <w:rFonts w:ascii="Arial Narrow" w:hAnsi="Arial Narrow"/>
                <w:sz w:val="16"/>
                <w:szCs w:val="16"/>
              </w:rPr>
            </w:pPr>
            <w:r>
              <w:rPr>
                <w:rFonts w:ascii="Arial Narrow" w:hAnsi="Arial Narrow"/>
                <w:sz w:val="16"/>
                <w:szCs w:val="16"/>
              </w:rPr>
              <w:t>Αμοιβές</w:t>
            </w:r>
            <w:r w:rsidR="003625C5" w:rsidRPr="00F30C76">
              <w:rPr>
                <w:rFonts w:ascii="Arial Narrow" w:hAnsi="Arial Narrow"/>
                <w:sz w:val="16"/>
                <w:szCs w:val="16"/>
              </w:rPr>
              <w:t xml:space="preserve"> προσωπικού</w:t>
            </w:r>
          </w:p>
        </w:tc>
        <w:tc>
          <w:tcPr>
            <w:tcW w:w="2101" w:type="dxa"/>
            <w:tcBorders>
              <w:top w:val="nil"/>
              <w:left w:val="nil"/>
              <w:bottom w:val="nil"/>
              <w:right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lang w:val="en-US"/>
              </w:rPr>
            </w:pPr>
            <w:r w:rsidRPr="00F30C76">
              <w:rPr>
                <w:rFonts w:ascii="Arial Narrow" w:hAnsi="Arial Narrow"/>
                <w:color w:val="000000"/>
                <w:sz w:val="16"/>
                <w:szCs w:val="16"/>
              </w:rPr>
              <w:t>63</w:t>
            </w:r>
            <w:r w:rsidRPr="00F30C76">
              <w:rPr>
                <w:rFonts w:ascii="Arial Narrow" w:hAnsi="Arial Narrow"/>
                <w:color w:val="000000"/>
                <w:sz w:val="16"/>
                <w:szCs w:val="16"/>
                <w:lang w:val="en-US"/>
              </w:rPr>
              <w:t>3</w:t>
            </w:r>
          </w:p>
        </w:tc>
        <w:tc>
          <w:tcPr>
            <w:tcW w:w="2101" w:type="dxa"/>
            <w:tcBorders>
              <w:top w:val="nil"/>
              <w:left w:val="nil"/>
              <w:bottom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rPr>
              <w:t>591</w:t>
            </w:r>
          </w:p>
        </w:tc>
      </w:tr>
      <w:tr w:rsidR="003625C5" w:rsidRPr="006009B4" w:rsidTr="003625C5">
        <w:tc>
          <w:tcPr>
            <w:tcW w:w="3540" w:type="dxa"/>
            <w:tcBorders>
              <w:top w:val="nil"/>
              <w:bottom w:val="nil"/>
              <w:right w:val="nil"/>
            </w:tcBorders>
            <w:shd w:val="clear" w:color="auto" w:fill="auto"/>
            <w:noWrap/>
            <w:vAlign w:val="center"/>
          </w:tcPr>
          <w:p w:rsidR="003625C5" w:rsidRPr="00F30C76" w:rsidRDefault="003625C5" w:rsidP="003625C5">
            <w:pPr>
              <w:spacing w:line="228" w:lineRule="auto"/>
              <w:rPr>
                <w:rFonts w:ascii="Arial Narrow" w:hAnsi="Arial Narrow"/>
                <w:sz w:val="16"/>
                <w:szCs w:val="16"/>
              </w:rPr>
            </w:pPr>
            <w:r w:rsidRPr="00F30C76">
              <w:rPr>
                <w:rFonts w:ascii="Arial Narrow" w:hAnsi="Arial Narrow"/>
                <w:sz w:val="16"/>
                <w:szCs w:val="16"/>
              </w:rPr>
              <w:t>Τόκοι</w:t>
            </w:r>
          </w:p>
        </w:tc>
        <w:tc>
          <w:tcPr>
            <w:tcW w:w="2101" w:type="dxa"/>
            <w:tcBorders>
              <w:top w:val="nil"/>
              <w:left w:val="nil"/>
              <w:bottom w:val="nil"/>
              <w:right w:val="nil"/>
            </w:tcBorders>
            <w:shd w:val="clear" w:color="auto" w:fill="auto"/>
            <w:vAlign w:val="center"/>
          </w:tcPr>
          <w:p w:rsidR="003625C5" w:rsidRPr="00CC1CE8"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lang w:val="en-US"/>
              </w:rPr>
              <w:t>41</w:t>
            </w:r>
            <w:r w:rsidR="00CC1CE8">
              <w:rPr>
                <w:rFonts w:ascii="Arial Narrow" w:hAnsi="Arial Narrow"/>
                <w:color w:val="000000"/>
                <w:sz w:val="16"/>
                <w:szCs w:val="16"/>
              </w:rPr>
              <w:t>4</w:t>
            </w:r>
          </w:p>
        </w:tc>
        <w:tc>
          <w:tcPr>
            <w:tcW w:w="2101" w:type="dxa"/>
            <w:tcBorders>
              <w:top w:val="nil"/>
              <w:left w:val="nil"/>
              <w:bottom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rPr>
              <w:t>381</w:t>
            </w:r>
          </w:p>
        </w:tc>
      </w:tr>
      <w:tr w:rsidR="003625C5" w:rsidRPr="006009B4" w:rsidTr="003625C5">
        <w:tc>
          <w:tcPr>
            <w:tcW w:w="3540" w:type="dxa"/>
            <w:tcBorders>
              <w:top w:val="nil"/>
              <w:bottom w:val="nil"/>
              <w:right w:val="nil"/>
            </w:tcBorders>
            <w:shd w:val="clear" w:color="auto" w:fill="auto"/>
            <w:noWrap/>
            <w:vAlign w:val="center"/>
          </w:tcPr>
          <w:p w:rsidR="003625C5" w:rsidRPr="00F30C76" w:rsidRDefault="003625C5" w:rsidP="003625C5">
            <w:pPr>
              <w:spacing w:line="228" w:lineRule="auto"/>
              <w:rPr>
                <w:rFonts w:ascii="Arial Narrow" w:hAnsi="Arial Narrow"/>
                <w:sz w:val="16"/>
                <w:szCs w:val="16"/>
              </w:rPr>
            </w:pPr>
            <w:r w:rsidRPr="00F30C76">
              <w:rPr>
                <w:rFonts w:ascii="Arial Narrow" w:hAnsi="Arial Narrow"/>
                <w:sz w:val="16"/>
                <w:szCs w:val="16"/>
              </w:rPr>
              <w:t>Δαπάνες επενδύσεων</w:t>
            </w:r>
          </w:p>
        </w:tc>
        <w:tc>
          <w:tcPr>
            <w:tcW w:w="2101" w:type="dxa"/>
            <w:tcBorders>
              <w:top w:val="nil"/>
              <w:left w:val="nil"/>
              <w:bottom w:val="nil"/>
              <w:right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rPr>
              <w:t>1.</w:t>
            </w:r>
            <w:r w:rsidRPr="00F30C76">
              <w:rPr>
                <w:rFonts w:ascii="Arial Narrow" w:hAnsi="Arial Narrow"/>
                <w:color w:val="000000"/>
                <w:sz w:val="16"/>
                <w:szCs w:val="16"/>
                <w:lang w:val="en-US"/>
              </w:rPr>
              <w:t>07</w:t>
            </w:r>
            <w:r>
              <w:rPr>
                <w:rFonts w:ascii="Arial Narrow" w:hAnsi="Arial Narrow"/>
                <w:color w:val="000000"/>
                <w:sz w:val="16"/>
                <w:szCs w:val="16"/>
              </w:rPr>
              <w:t>9</w:t>
            </w:r>
          </w:p>
        </w:tc>
        <w:tc>
          <w:tcPr>
            <w:tcW w:w="2101" w:type="dxa"/>
            <w:tcBorders>
              <w:top w:val="nil"/>
              <w:left w:val="nil"/>
              <w:bottom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rPr>
              <w:t>783</w:t>
            </w:r>
          </w:p>
        </w:tc>
      </w:tr>
      <w:tr w:rsidR="003625C5" w:rsidRPr="006009B4" w:rsidTr="003625C5">
        <w:tc>
          <w:tcPr>
            <w:tcW w:w="3540" w:type="dxa"/>
            <w:tcBorders>
              <w:top w:val="nil"/>
              <w:bottom w:val="nil"/>
              <w:right w:val="nil"/>
            </w:tcBorders>
            <w:shd w:val="clear" w:color="auto" w:fill="auto"/>
            <w:noWrap/>
            <w:vAlign w:val="center"/>
          </w:tcPr>
          <w:p w:rsidR="003625C5" w:rsidRPr="00F30C76" w:rsidRDefault="003625C5" w:rsidP="003625C5">
            <w:pPr>
              <w:spacing w:line="228" w:lineRule="auto"/>
              <w:rPr>
                <w:rFonts w:ascii="Arial Narrow" w:hAnsi="Arial Narrow"/>
                <w:sz w:val="16"/>
                <w:szCs w:val="16"/>
              </w:rPr>
            </w:pPr>
            <w:r w:rsidRPr="00F30C76">
              <w:rPr>
                <w:rFonts w:ascii="Arial Narrow" w:hAnsi="Arial Narrow"/>
                <w:sz w:val="16"/>
                <w:szCs w:val="16"/>
              </w:rPr>
              <w:t>Λοιπές δαπάνες</w:t>
            </w:r>
          </w:p>
        </w:tc>
        <w:tc>
          <w:tcPr>
            <w:tcW w:w="2101" w:type="dxa"/>
            <w:tcBorders>
              <w:top w:val="nil"/>
              <w:left w:val="nil"/>
              <w:bottom w:val="nil"/>
              <w:right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lang w:val="en-US"/>
              </w:rPr>
            </w:pPr>
            <w:r w:rsidRPr="00F30C76">
              <w:rPr>
                <w:rFonts w:ascii="Arial Narrow" w:hAnsi="Arial Narrow"/>
                <w:color w:val="000000"/>
                <w:sz w:val="16"/>
                <w:szCs w:val="16"/>
              </w:rPr>
              <w:t>1.</w:t>
            </w:r>
            <w:r w:rsidRPr="00F30C76">
              <w:rPr>
                <w:rFonts w:ascii="Arial Narrow" w:hAnsi="Arial Narrow"/>
                <w:color w:val="000000"/>
                <w:sz w:val="16"/>
                <w:szCs w:val="16"/>
                <w:lang w:val="en-US"/>
              </w:rPr>
              <w:t>411</w:t>
            </w:r>
          </w:p>
        </w:tc>
        <w:tc>
          <w:tcPr>
            <w:tcW w:w="2101" w:type="dxa"/>
            <w:tcBorders>
              <w:top w:val="nil"/>
              <w:left w:val="nil"/>
              <w:bottom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r w:rsidRPr="00F30C76">
              <w:rPr>
                <w:rFonts w:ascii="Arial Narrow" w:hAnsi="Arial Narrow"/>
                <w:color w:val="000000"/>
                <w:sz w:val="16"/>
                <w:szCs w:val="16"/>
              </w:rPr>
              <w:t>1.228</w:t>
            </w:r>
          </w:p>
        </w:tc>
      </w:tr>
      <w:tr w:rsidR="003625C5" w:rsidRPr="006009B4" w:rsidTr="003625C5">
        <w:tc>
          <w:tcPr>
            <w:tcW w:w="3540" w:type="dxa"/>
            <w:tcBorders>
              <w:top w:val="nil"/>
              <w:bottom w:val="nil"/>
              <w:right w:val="nil"/>
            </w:tcBorders>
            <w:shd w:val="clear" w:color="auto" w:fill="BFBFBF" w:themeFill="background1" w:themeFillShade="BF"/>
            <w:noWrap/>
            <w:vAlign w:val="center"/>
          </w:tcPr>
          <w:p w:rsidR="003625C5" w:rsidRPr="00F30C76" w:rsidRDefault="003625C5" w:rsidP="003625C5">
            <w:pPr>
              <w:spacing w:line="228" w:lineRule="auto"/>
              <w:rPr>
                <w:rFonts w:ascii="Arial Narrow" w:hAnsi="Arial Narrow"/>
                <w:b/>
                <w:bCs/>
                <w:sz w:val="16"/>
                <w:szCs w:val="16"/>
              </w:rPr>
            </w:pPr>
            <w:r w:rsidRPr="00F30C76">
              <w:rPr>
                <w:rFonts w:ascii="Arial Narrow" w:hAnsi="Arial Narrow"/>
                <w:b/>
                <w:bCs/>
                <w:sz w:val="16"/>
                <w:szCs w:val="16"/>
              </w:rPr>
              <w:t>Ισοζύγιο (προ καταπτώσεων εγγυήσεων)</w:t>
            </w:r>
          </w:p>
        </w:tc>
        <w:tc>
          <w:tcPr>
            <w:tcW w:w="2101" w:type="dxa"/>
            <w:tcBorders>
              <w:top w:val="nil"/>
              <w:left w:val="nil"/>
              <w:bottom w:val="nil"/>
              <w:right w:val="nil"/>
            </w:tcBorders>
            <w:shd w:val="clear" w:color="auto" w:fill="BFBFBF" w:themeFill="background1" w:themeFillShade="BF"/>
            <w:vAlign w:val="center"/>
          </w:tcPr>
          <w:p w:rsidR="003625C5" w:rsidRPr="00CC1CE8" w:rsidRDefault="003625C5" w:rsidP="003625C5">
            <w:pPr>
              <w:spacing w:line="228" w:lineRule="auto"/>
              <w:ind w:right="794"/>
              <w:jc w:val="right"/>
              <w:rPr>
                <w:rFonts w:ascii="Arial Narrow" w:hAnsi="Arial Narrow"/>
                <w:b/>
                <w:bCs/>
                <w:color w:val="000000"/>
                <w:sz w:val="16"/>
                <w:szCs w:val="16"/>
              </w:rPr>
            </w:pPr>
            <w:r w:rsidRPr="00F30C76">
              <w:rPr>
                <w:rFonts w:ascii="Arial Narrow" w:hAnsi="Arial Narrow"/>
                <w:b/>
                <w:bCs/>
                <w:color w:val="000000"/>
                <w:sz w:val="16"/>
                <w:szCs w:val="16"/>
                <w:lang w:val="en-US"/>
              </w:rPr>
              <w:t>-32</w:t>
            </w:r>
            <w:r w:rsidR="00CC1CE8">
              <w:rPr>
                <w:rFonts w:ascii="Arial Narrow" w:hAnsi="Arial Narrow"/>
                <w:b/>
                <w:bCs/>
                <w:color w:val="000000"/>
                <w:sz w:val="16"/>
                <w:szCs w:val="16"/>
              </w:rPr>
              <w:t>5</w:t>
            </w:r>
          </w:p>
        </w:tc>
        <w:tc>
          <w:tcPr>
            <w:tcW w:w="2101" w:type="dxa"/>
            <w:tcBorders>
              <w:top w:val="nil"/>
              <w:left w:val="nil"/>
              <w:bottom w:val="nil"/>
            </w:tcBorders>
            <w:shd w:val="clear" w:color="auto" w:fill="BFBFBF" w:themeFill="background1" w:themeFillShade="BF"/>
            <w:vAlign w:val="center"/>
          </w:tcPr>
          <w:p w:rsidR="003625C5" w:rsidRPr="00F30C76" w:rsidRDefault="003625C5" w:rsidP="003625C5">
            <w:pPr>
              <w:spacing w:line="228" w:lineRule="auto"/>
              <w:ind w:right="794"/>
              <w:jc w:val="right"/>
              <w:rPr>
                <w:rFonts w:ascii="Arial Narrow" w:hAnsi="Arial Narrow"/>
                <w:b/>
                <w:bCs/>
                <w:color w:val="000000"/>
                <w:sz w:val="16"/>
                <w:szCs w:val="16"/>
              </w:rPr>
            </w:pPr>
            <w:r w:rsidRPr="00F30C76">
              <w:rPr>
                <w:rFonts w:ascii="Arial Narrow" w:hAnsi="Arial Narrow"/>
                <w:b/>
                <w:bCs/>
                <w:color w:val="000000"/>
                <w:sz w:val="16"/>
                <w:szCs w:val="16"/>
              </w:rPr>
              <w:t>-161</w:t>
            </w:r>
          </w:p>
        </w:tc>
      </w:tr>
      <w:tr w:rsidR="003625C5" w:rsidRPr="00FA0771" w:rsidTr="003625C5">
        <w:tc>
          <w:tcPr>
            <w:tcW w:w="3540" w:type="dxa"/>
            <w:tcBorders>
              <w:top w:val="nil"/>
              <w:bottom w:val="nil"/>
              <w:right w:val="nil"/>
            </w:tcBorders>
            <w:shd w:val="clear" w:color="auto" w:fill="auto"/>
            <w:noWrap/>
            <w:vAlign w:val="center"/>
          </w:tcPr>
          <w:p w:rsidR="003625C5" w:rsidRPr="00F30C76" w:rsidRDefault="003625C5" w:rsidP="003625C5">
            <w:pPr>
              <w:spacing w:line="228" w:lineRule="auto"/>
              <w:rPr>
                <w:rFonts w:ascii="Arial Narrow" w:hAnsi="Arial Narrow"/>
                <w:sz w:val="12"/>
                <w:szCs w:val="16"/>
              </w:rPr>
            </w:pPr>
          </w:p>
        </w:tc>
        <w:tc>
          <w:tcPr>
            <w:tcW w:w="2101" w:type="dxa"/>
            <w:tcBorders>
              <w:top w:val="nil"/>
              <w:left w:val="nil"/>
              <w:bottom w:val="nil"/>
              <w:right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2"/>
                <w:szCs w:val="16"/>
              </w:rPr>
            </w:pPr>
            <w:r w:rsidRPr="00F30C76">
              <w:rPr>
                <w:rFonts w:ascii="Arial Narrow" w:hAnsi="Arial Narrow"/>
                <w:color w:val="000000"/>
                <w:sz w:val="12"/>
                <w:szCs w:val="16"/>
              </w:rPr>
              <w:t> </w:t>
            </w:r>
          </w:p>
        </w:tc>
        <w:tc>
          <w:tcPr>
            <w:tcW w:w="2101" w:type="dxa"/>
            <w:tcBorders>
              <w:top w:val="nil"/>
              <w:left w:val="nil"/>
              <w:bottom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2"/>
                <w:szCs w:val="16"/>
              </w:rPr>
            </w:pPr>
            <w:r w:rsidRPr="00F30C76">
              <w:rPr>
                <w:rFonts w:ascii="Arial Narrow" w:hAnsi="Arial Narrow"/>
                <w:color w:val="000000"/>
                <w:sz w:val="12"/>
                <w:szCs w:val="16"/>
              </w:rPr>
              <w:t> </w:t>
            </w:r>
          </w:p>
        </w:tc>
      </w:tr>
      <w:tr w:rsidR="003625C5" w:rsidRPr="00126268" w:rsidTr="003625C5">
        <w:tc>
          <w:tcPr>
            <w:tcW w:w="3540" w:type="dxa"/>
            <w:tcBorders>
              <w:top w:val="nil"/>
              <w:bottom w:val="nil"/>
              <w:right w:val="nil"/>
            </w:tcBorders>
            <w:shd w:val="clear" w:color="auto" w:fill="BFBFBF" w:themeFill="background1" w:themeFillShade="BF"/>
            <w:noWrap/>
            <w:vAlign w:val="center"/>
          </w:tcPr>
          <w:p w:rsidR="003625C5" w:rsidRPr="00F30C76" w:rsidRDefault="003625C5" w:rsidP="00793ECE">
            <w:pPr>
              <w:spacing w:line="228" w:lineRule="auto"/>
              <w:rPr>
                <w:rFonts w:ascii="Arial Narrow" w:hAnsi="Arial Narrow"/>
                <w:b/>
                <w:bCs/>
                <w:sz w:val="16"/>
                <w:szCs w:val="16"/>
              </w:rPr>
            </w:pPr>
            <w:r w:rsidRPr="00F30C76">
              <w:rPr>
                <w:rFonts w:ascii="Arial Narrow" w:hAnsi="Arial Narrow"/>
                <w:b/>
                <w:bCs/>
                <w:sz w:val="16"/>
                <w:szCs w:val="16"/>
              </w:rPr>
              <w:t xml:space="preserve">Έσοδα </w:t>
            </w:r>
            <w:r w:rsidR="00793ECE">
              <w:rPr>
                <w:rFonts w:ascii="Arial Narrow" w:hAnsi="Arial Narrow"/>
                <w:b/>
                <w:bCs/>
                <w:sz w:val="16"/>
                <w:szCs w:val="16"/>
              </w:rPr>
              <w:t>από καταπτώσεις εγγυήσεων που εξυπηρ</w:t>
            </w:r>
            <w:r w:rsidR="00793ECE">
              <w:rPr>
                <w:rFonts w:ascii="Arial Narrow" w:hAnsi="Arial Narrow"/>
                <w:b/>
                <w:bCs/>
                <w:sz w:val="16"/>
                <w:szCs w:val="16"/>
              </w:rPr>
              <w:t>ε</w:t>
            </w:r>
            <w:r w:rsidR="00793ECE">
              <w:rPr>
                <w:rFonts w:ascii="Arial Narrow" w:hAnsi="Arial Narrow"/>
                <w:b/>
                <w:bCs/>
                <w:sz w:val="16"/>
                <w:szCs w:val="16"/>
              </w:rPr>
              <w:t>τούνται από τον Κρατικό Προϋπολογισμό</w:t>
            </w:r>
            <w:r w:rsidRPr="00F30C76">
              <w:rPr>
                <w:rFonts w:ascii="Arial Narrow" w:hAnsi="Arial Narrow"/>
                <w:b/>
                <w:bCs/>
                <w:sz w:val="16"/>
                <w:szCs w:val="16"/>
              </w:rPr>
              <w:t>*</w:t>
            </w:r>
          </w:p>
        </w:tc>
        <w:tc>
          <w:tcPr>
            <w:tcW w:w="2101" w:type="dxa"/>
            <w:tcBorders>
              <w:top w:val="nil"/>
              <w:left w:val="nil"/>
              <w:bottom w:val="nil"/>
              <w:right w:val="nil"/>
            </w:tcBorders>
            <w:shd w:val="clear" w:color="auto" w:fill="BFBFBF" w:themeFill="background1" w:themeFillShade="BF"/>
            <w:vAlign w:val="center"/>
          </w:tcPr>
          <w:p w:rsidR="003625C5" w:rsidRPr="00CC1CE8" w:rsidRDefault="003625C5" w:rsidP="003625C5">
            <w:pPr>
              <w:spacing w:line="228" w:lineRule="auto"/>
              <w:ind w:right="794"/>
              <w:jc w:val="right"/>
              <w:rPr>
                <w:rFonts w:ascii="Arial Narrow" w:hAnsi="Arial Narrow"/>
                <w:b/>
                <w:bCs/>
                <w:color w:val="000000"/>
                <w:sz w:val="16"/>
                <w:szCs w:val="16"/>
              </w:rPr>
            </w:pPr>
            <w:r w:rsidRPr="00F30C76">
              <w:rPr>
                <w:rFonts w:ascii="Arial Narrow" w:hAnsi="Arial Narrow"/>
                <w:b/>
                <w:bCs/>
                <w:color w:val="000000"/>
                <w:sz w:val="16"/>
                <w:szCs w:val="16"/>
                <w:lang w:val="en-US"/>
              </w:rPr>
              <w:t>85</w:t>
            </w:r>
            <w:r w:rsidR="00CC1CE8">
              <w:rPr>
                <w:rFonts w:ascii="Arial Narrow" w:hAnsi="Arial Narrow"/>
                <w:b/>
                <w:bCs/>
                <w:color w:val="000000"/>
                <w:sz w:val="16"/>
                <w:szCs w:val="16"/>
              </w:rPr>
              <w:t>5</w:t>
            </w:r>
          </w:p>
        </w:tc>
        <w:tc>
          <w:tcPr>
            <w:tcW w:w="2101" w:type="dxa"/>
            <w:tcBorders>
              <w:top w:val="nil"/>
              <w:left w:val="nil"/>
              <w:bottom w:val="nil"/>
            </w:tcBorders>
            <w:shd w:val="clear" w:color="auto" w:fill="BFBFBF" w:themeFill="background1" w:themeFillShade="BF"/>
            <w:vAlign w:val="center"/>
          </w:tcPr>
          <w:p w:rsidR="003625C5" w:rsidRPr="00F30C76" w:rsidRDefault="003625C5" w:rsidP="003625C5">
            <w:pPr>
              <w:spacing w:line="228" w:lineRule="auto"/>
              <w:ind w:right="794"/>
              <w:jc w:val="right"/>
              <w:rPr>
                <w:rFonts w:ascii="Arial Narrow" w:hAnsi="Arial Narrow"/>
                <w:b/>
                <w:bCs/>
                <w:color w:val="000000"/>
                <w:sz w:val="16"/>
                <w:szCs w:val="16"/>
              </w:rPr>
            </w:pPr>
            <w:r w:rsidRPr="00F30C76">
              <w:rPr>
                <w:rFonts w:ascii="Arial Narrow" w:hAnsi="Arial Narrow"/>
                <w:b/>
                <w:bCs/>
                <w:color w:val="000000"/>
                <w:sz w:val="16"/>
                <w:szCs w:val="16"/>
              </w:rPr>
              <w:t>927</w:t>
            </w:r>
          </w:p>
        </w:tc>
      </w:tr>
      <w:tr w:rsidR="003625C5" w:rsidRPr="006009B4" w:rsidTr="003625C5">
        <w:tc>
          <w:tcPr>
            <w:tcW w:w="3540" w:type="dxa"/>
            <w:tcBorders>
              <w:top w:val="nil"/>
              <w:bottom w:val="nil"/>
              <w:right w:val="nil"/>
            </w:tcBorders>
            <w:shd w:val="clear" w:color="auto" w:fill="auto"/>
            <w:noWrap/>
            <w:vAlign w:val="center"/>
          </w:tcPr>
          <w:p w:rsidR="003625C5" w:rsidRPr="00F30C76" w:rsidRDefault="003625C5" w:rsidP="003625C5">
            <w:pPr>
              <w:spacing w:line="228" w:lineRule="auto"/>
              <w:rPr>
                <w:rFonts w:ascii="Arial Narrow" w:hAnsi="Arial Narrow"/>
                <w:sz w:val="16"/>
                <w:szCs w:val="16"/>
              </w:rPr>
            </w:pPr>
          </w:p>
        </w:tc>
        <w:tc>
          <w:tcPr>
            <w:tcW w:w="2101" w:type="dxa"/>
            <w:tcBorders>
              <w:top w:val="nil"/>
              <w:left w:val="nil"/>
              <w:bottom w:val="nil"/>
              <w:right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p>
        </w:tc>
        <w:tc>
          <w:tcPr>
            <w:tcW w:w="2101" w:type="dxa"/>
            <w:tcBorders>
              <w:top w:val="nil"/>
              <w:left w:val="nil"/>
              <w:bottom w:val="nil"/>
            </w:tcBorders>
            <w:shd w:val="clear" w:color="auto" w:fill="auto"/>
            <w:vAlign w:val="center"/>
          </w:tcPr>
          <w:p w:rsidR="003625C5" w:rsidRPr="00F30C76" w:rsidRDefault="003625C5" w:rsidP="003625C5">
            <w:pPr>
              <w:spacing w:line="228" w:lineRule="auto"/>
              <w:ind w:right="794"/>
              <w:jc w:val="right"/>
              <w:rPr>
                <w:rFonts w:ascii="Arial Narrow" w:hAnsi="Arial Narrow"/>
                <w:color w:val="000000"/>
                <w:sz w:val="16"/>
                <w:szCs w:val="16"/>
              </w:rPr>
            </w:pPr>
          </w:p>
        </w:tc>
      </w:tr>
      <w:tr w:rsidR="003625C5" w:rsidRPr="006009B4" w:rsidTr="003625C5">
        <w:tc>
          <w:tcPr>
            <w:tcW w:w="3540" w:type="dxa"/>
            <w:tcBorders>
              <w:top w:val="nil"/>
              <w:bottom w:val="single" w:sz="4" w:space="0" w:color="auto"/>
              <w:right w:val="nil"/>
            </w:tcBorders>
            <w:shd w:val="clear" w:color="auto" w:fill="BFBFBF" w:themeFill="background1" w:themeFillShade="BF"/>
            <w:noWrap/>
            <w:vAlign w:val="center"/>
          </w:tcPr>
          <w:p w:rsidR="003625C5" w:rsidRPr="00F30C76" w:rsidRDefault="003625C5" w:rsidP="00793ECE">
            <w:pPr>
              <w:spacing w:line="228" w:lineRule="auto"/>
              <w:rPr>
                <w:rFonts w:ascii="Arial Narrow" w:hAnsi="Arial Narrow"/>
                <w:b/>
                <w:bCs/>
                <w:sz w:val="16"/>
                <w:szCs w:val="16"/>
              </w:rPr>
            </w:pPr>
            <w:r w:rsidRPr="00F30C76">
              <w:rPr>
                <w:rFonts w:ascii="Arial Narrow" w:hAnsi="Arial Narrow"/>
                <w:b/>
                <w:bCs/>
                <w:sz w:val="16"/>
                <w:szCs w:val="16"/>
              </w:rPr>
              <w:t xml:space="preserve">Ισοζύγιο κατά </w:t>
            </w:r>
            <w:r w:rsidRPr="00F30C76">
              <w:rPr>
                <w:rFonts w:ascii="Arial Narrow" w:hAnsi="Arial Narrow"/>
                <w:b/>
                <w:bCs/>
                <w:sz w:val="16"/>
                <w:szCs w:val="16"/>
                <w:lang w:val="en-GB"/>
              </w:rPr>
              <w:t>ESA</w:t>
            </w:r>
            <w:r w:rsidRPr="00F30C76">
              <w:rPr>
                <w:rFonts w:ascii="Arial Narrow" w:hAnsi="Arial Narrow"/>
                <w:b/>
                <w:bCs/>
                <w:sz w:val="16"/>
                <w:szCs w:val="16"/>
              </w:rPr>
              <w:t xml:space="preserve"> μετά καταπτώσεων εγγυήσεων </w:t>
            </w:r>
          </w:p>
        </w:tc>
        <w:tc>
          <w:tcPr>
            <w:tcW w:w="2101" w:type="dxa"/>
            <w:tcBorders>
              <w:top w:val="nil"/>
              <w:left w:val="nil"/>
              <w:bottom w:val="single" w:sz="4" w:space="0" w:color="auto"/>
              <w:right w:val="nil"/>
            </w:tcBorders>
            <w:shd w:val="clear" w:color="auto" w:fill="BFBFBF" w:themeFill="background1" w:themeFillShade="BF"/>
            <w:vAlign w:val="center"/>
          </w:tcPr>
          <w:p w:rsidR="003625C5" w:rsidRPr="00F30C76" w:rsidRDefault="003625C5" w:rsidP="003625C5">
            <w:pPr>
              <w:spacing w:line="228" w:lineRule="auto"/>
              <w:ind w:right="794"/>
              <w:jc w:val="right"/>
              <w:rPr>
                <w:rFonts w:ascii="Arial Narrow" w:hAnsi="Arial Narrow"/>
                <w:b/>
                <w:bCs/>
                <w:color w:val="000000"/>
                <w:sz w:val="16"/>
                <w:szCs w:val="16"/>
              </w:rPr>
            </w:pPr>
            <w:r w:rsidRPr="00F30C76">
              <w:rPr>
                <w:rFonts w:ascii="Arial Narrow" w:hAnsi="Arial Narrow"/>
                <w:b/>
                <w:bCs/>
                <w:color w:val="000000"/>
                <w:sz w:val="16"/>
                <w:szCs w:val="16"/>
              </w:rPr>
              <w:t>530</w:t>
            </w:r>
          </w:p>
        </w:tc>
        <w:tc>
          <w:tcPr>
            <w:tcW w:w="2101" w:type="dxa"/>
            <w:tcBorders>
              <w:top w:val="nil"/>
              <w:left w:val="nil"/>
              <w:bottom w:val="single" w:sz="4" w:space="0" w:color="auto"/>
            </w:tcBorders>
            <w:shd w:val="clear" w:color="auto" w:fill="BFBFBF" w:themeFill="background1" w:themeFillShade="BF"/>
            <w:vAlign w:val="center"/>
          </w:tcPr>
          <w:p w:rsidR="003625C5" w:rsidRPr="00F30C76" w:rsidRDefault="003625C5" w:rsidP="003625C5">
            <w:pPr>
              <w:spacing w:line="228" w:lineRule="auto"/>
              <w:ind w:right="794"/>
              <w:jc w:val="right"/>
              <w:rPr>
                <w:rFonts w:ascii="Arial Narrow" w:hAnsi="Arial Narrow"/>
                <w:b/>
                <w:bCs/>
                <w:color w:val="000000"/>
                <w:sz w:val="16"/>
                <w:szCs w:val="16"/>
              </w:rPr>
            </w:pPr>
            <w:r w:rsidRPr="00F30C76">
              <w:rPr>
                <w:rFonts w:ascii="Arial Narrow" w:hAnsi="Arial Narrow"/>
                <w:b/>
                <w:bCs/>
                <w:color w:val="000000"/>
                <w:sz w:val="16"/>
                <w:szCs w:val="16"/>
              </w:rPr>
              <w:t>766</w:t>
            </w:r>
          </w:p>
        </w:tc>
      </w:tr>
    </w:tbl>
    <w:p w:rsidR="003625C5" w:rsidRDefault="003625C5" w:rsidP="00793ECE">
      <w:pPr>
        <w:tabs>
          <w:tab w:val="left" w:pos="709"/>
          <w:tab w:val="left" w:pos="851"/>
        </w:tabs>
        <w:spacing w:line="228" w:lineRule="auto"/>
        <w:ind w:right="709"/>
        <w:jc w:val="both"/>
        <w:rPr>
          <w:rFonts w:ascii="Arial Narrow" w:hAnsi="Arial Narrow"/>
          <w:color w:val="000000"/>
          <w:sz w:val="16"/>
          <w:szCs w:val="16"/>
        </w:rPr>
      </w:pPr>
      <w:r w:rsidRPr="006009B4">
        <w:rPr>
          <w:rFonts w:ascii="Arial Narrow" w:hAnsi="Arial Narrow"/>
          <w:color w:val="000000"/>
          <w:sz w:val="16"/>
          <w:szCs w:val="16"/>
        </w:rPr>
        <w:tab/>
      </w:r>
      <w:r w:rsidRPr="00F30C76">
        <w:rPr>
          <w:rFonts w:ascii="Arial Narrow" w:hAnsi="Arial Narrow"/>
          <w:color w:val="000000"/>
          <w:sz w:val="16"/>
          <w:szCs w:val="16"/>
        </w:rPr>
        <w:t>*</w:t>
      </w:r>
      <w:r w:rsidRPr="00F30C76">
        <w:rPr>
          <w:rFonts w:ascii="Arial Narrow" w:hAnsi="Arial Narrow"/>
          <w:color w:val="000000"/>
          <w:sz w:val="16"/>
          <w:szCs w:val="16"/>
        </w:rPr>
        <w:tab/>
      </w:r>
      <w:r w:rsidR="00793ECE">
        <w:rPr>
          <w:rFonts w:ascii="Arial Narrow" w:hAnsi="Arial Narrow"/>
          <w:color w:val="000000"/>
          <w:sz w:val="16"/>
          <w:szCs w:val="16"/>
        </w:rPr>
        <w:t xml:space="preserve">Τα </w:t>
      </w:r>
      <w:r w:rsidRPr="00743AE2">
        <w:rPr>
          <w:rFonts w:ascii="Arial Narrow" w:hAnsi="Arial Narrow"/>
          <w:color w:val="000000"/>
          <w:sz w:val="16"/>
          <w:szCs w:val="16"/>
        </w:rPr>
        <w:t>ποσά που αφορούν έσοδα από καταπτώσεις εγγυήσεων είναι σε ακαθάριστη βάση.</w:t>
      </w:r>
    </w:p>
    <w:p w:rsidR="00793ECE" w:rsidRDefault="00793ECE">
      <w:pPr>
        <w:rPr>
          <w:rFonts w:ascii="Arial Narrow" w:hAnsi="Arial Narrow"/>
          <w:color w:val="000000"/>
          <w:sz w:val="16"/>
          <w:szCs w:val="16"/>
        </w:rPr>
      </w:pPr>
      <w:r>
        <w:rPr>
          <w:rFonts w:ascii="Arial Narrow" w:hAnsi="Arial Narrow"/>
          <w:color w:val="000000"/>
          <w:sz w:val="16"/>
          <w:szCs w:val="16"/>
        </w:rPr>
        <w:br w:type="page"/>
      </w:r>
    </w:p>
    <w:p w:rsidR="00C977E8" w:rsidRDefault="00C977E8" w:rsidP="003625C5">
      <w:pPr>
        <w:tabs>
          <w:tab w:val="left" w:pos="709"/>
          <w:tab w:val="left" w:pos="851"/>
        </w:tabs>
        <w:spacing w:line="228" w:lineRule="auto"/>
        <w:ind w:right="709"/>
        <w:jc w:val="both"/>
        <w:rPr>
          <w:rFonts w:ascii="Arial Narrow" w:hAnsi="Arial Narrow"/>
          <w:color w:val="000000"/>
          <w:sz w:val="16"/>
          <w:szCs w:val="16"/>
        </w:rPr>
      </w:pPr>
    </w:p>
    <w:p w:rsidR="00793ECE" w:rsidRPr="00743AE2" w:rsidRDefault="00793ECE" w:rsidP="003625C5">
      <w:pPr>
        <w:tabs>
          <w:tab w:val="left" w:pos="709"/>
          <w:tab w:val="left" w:pos="851"/>
        </w:tabs>
        <w:spacing w:line="228" w:lineRule="auto"/>
        <w:ind w:right="709"/>
        <w:jc w:val="both"/>
        <w:rPr>
          <w:rFonts w:ascii="Arial Narrow" w:hAnsi="Arial Narrow"/>
          <w:color w:val="000000"/>
          <w:sz w:val="16"/>
          <w:szCs w:val="16"/>
        </w:rPr>
      </w:pPr>
    </w:p>
    <w:tbl>
      <w:tblPr>
        <w:tblW w:w="851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2"/>
        <w:gridCol w:w="4788"/>
        <w:gridCol w:w="1701"/>
        <w:gridCol w:w="1559"/>
      </w:tblGrid>
      <w:tr w:rsidR="003625C5" w:rsidRPr="00961785" w:rsidTr="003625C5">
        <w:trPr>
          <w:trHeight w:val="170"/>
          <w:jc w:val="center"/>
        </w:trPr>
        <w:tc>
          <w:tcPr>
            <w:tcW w:w="8510" w:type="dxa"/>
            <w:gridSpan w:val="4"/>
            <w:shd w:val="clear" w:color="auto" w:fill="404040" w:themeFill="text1" w:themeFillTint="BF"/>
            <w:vAlign w:val="center"/>
            <w:hideMark/>
          </w:tcPr>
          <w:p w:rsidR="003625C5" w:rsidRPr="00074034" w:rsidRDefault="003625C5" w:rsidP="003625C5">
            <w:pPr>
              <w:jc w:val="center"/>
              <w:rPr>
                <w:rFonts w:ascii="Arial Narrow" w:hAnsi="Arial Narrow" w:cs="Segoe UI"/>
                <w:b/>
                <w:bCs/>
                <w:color w:val="FFFFFF" w:themeColor="background1"/>
                <w:szCs w:val="16"/>
              </w:rPr>
            </w:pPr>
            <w:r w:rsidRPr="00961785">
              <w:rPr>
                <w:rFonts w:ascii="Arial Narrow" w:hAnsi="Arial Narrow" w:cs="Segoe UI"/>
                <w:b/>
                <w:bCs/>
                <w:color w:val="FFFFFF" w:themeColor="background1"/>
                <w:szCs w:val="16"/>
              </w:rPr>
              <w:t xml:space="preserve">Πίνακας </w:t>
            </w:r>
            <w:r w:rsidRPr="007A74AF">
              <w:rPr>
                <w:rFonts w:ascii="Arial Narrow" w:hAnsi="Arial Narrow" w:cs="Segoe UI"/>
                <w:b/>
                <w:bCs/>
                <w:color w:val="FFFFFF" w:themeColor="background1"/>
                <w:szCs w:val="16"/>
              </w:rPr>
              <w:t>3</w:t>
            </w:r>
            <w:r w:rsidR="00446090">
              <w:rPr>
                <w:rFonts w:ascii="Arial Narrow" w:hAnsi="Arial Narrow" w:cs="Segoe UI"/>
                <w:b/>
                <w:bCs/>
                <w:color w:val="FFFFFF" w:themeColor="background1"/>
                <w:szCs w:val="16"/>
              </w:rPr>
              <w:t>.28</w:t>
            </w:r>
            <w:r>
              <w:rPr>
                <w:rFonts w:ascii="Arial Narrow" w:hAnsi="Arial Narrow" w:cs="Segoe UI"/>
                <w:b/>
                <w:bCs/>
                <w:color w:val="FFFFFF" w:themeColor="background1"/>
                <w:szCs w:val="16"/>
              </w:rPr>
              <w:t xml:space="preserve"> </w:t>
            </w:r>
            <w:r w:rsidRPr="00961785">
              <w:rPr>
                <w:rFonts w:ascii="Arial Narrow" w:hAnsi="Arial Narrow" w:cs="Segoe UI"/>
                <w:b/>
                <w:bCs/>
                <w:color w:val="FFFFFF" w:themeColor="background1"/>
                <w:szCs w:val="16"/>
              </w:rPr>
              <w:t xml:space="preserve"> Ισοζύγιο ΔΕΚΟ ανά Υπουργείο</w:t>
            </w:r>
            <w:r w:rsidRPr="00074034">
              <w:rPr>
                <w:rFonts w:ascii="Arial Narrow" w:hAnsi="Arial Narrow" w:cs="Segoe UI"/>
                <w:b/>
                <w:bCs/>
                <w:color w:val="FFFFFF" w:themeColor="background1"/>
                <w:szCs w:val="16"/>
              </w:rPr>
              <w:t xml:space="preserve"> </w:t>
            </w:r>
          </w:p>
          <w:p w:rsidR="003625C5" w:rsidRPr="00961785" w:rsidRDefault="003625C5" w:rsidP="003625C5">
            <w:pPr>
              <w:jc w:val="center"/>
              <w:rPr>
                <w:rFonts w:ascii="Arial Narrow" w:hAnsi="Arial Narrow" w:cs="Segoe UI"/>
                <w:b/>
                <w:bCs/>
                <w:color w:val="FFFFFF" w:themeColor="background1"/>
                <w:szCs w:val="16"/>
              </w:rPr>
            </w:pPr>
            <w:r w:rsidRPr="00961785">
              <w:rPr>
                <w:rFonts w:ascii="Arial Narrow" w:hAnsi="Arial Narrow" w:cs="Segoe UI"/>
                <w:b/>
                <w:bCs/>
                <w:color w:val="FFFFFF" w:themeColor="background1"/>
                <w:szCs w:val="16"/>
              </w:rPr>
              <w:t>(σε εκατ. ευρώ)</w:t>
            </w:r>
          </w:p>
        </w:tc>
      </w:tr>
      <w:tr w:rsidR="003625C5" w:rsidRPr="00961785" w:rsidTr="003625C5">
        <w:trPr>
          <w:trHeight w:val="170"/>
          <w:jc w:val="center"/>
        </w:trPr>
        <w:tc>
          <w:tcPr>
            <w:tcW w:w="8510" w:type="dxa"/>
            <w:gridSpan w:val="4"/>
            <w:tcBorders>
              <w:bottom w:val="single" w:sz="4" w:space="0" w:color="auto"/>
            </w:tcBorders>
            <w:shd w:val="clear" w:color="auto" w:fill="auto"/>
            <w:vAlign w:val="center"/>
            <w:hideMark/>
          </w:tcPr>
          <w:p w:rsidR="003625C5" w:rsidRPr="00961785" w:rsidRDefault="003625C5" w:rsidP="003625C5">
            <w:pPr>
              <w:jc w:val="center"/>
              <w:rPr>
                <w:rFonts w:ascii="Arial Narrow" w:hAnsi="Arial Narrow" w:cs="Segoe UI"/>
                <w:b/>
                <w:bCs/>
                <w:sz w:val="16"/>
                <w:szCs w:val="16"/>
              </w:rPr>
            </w:pPr>
          </w:p>
        </w:tc>
      </w:tr>
      <w:tr w:rsidR="003625C5" w:rsidRPr="00961785" w:rsidTr="003625C5">
        <w:trPr>
          <w:trHeight w:val="170"/>
          <w:jc w:val="center"/>
        </w:trPr>
        <w:tc>
          <w:tcPr>
            <w:tcW w:w="5250" w:type="dxa"/>
            <w:gridSpan w:val="2"/>
            <w:tcBorders>
              <w:top w:val="single" w:sz="4" w:space="0" w:color="auto"/>
              <w:bottom w:val="single" w:sz="4" w:space="0" w:color="auto"/>
              <w:right w:val="single" w:sz="4" w:space="0" w:color="auto"/>
            </w:tcBorders>
            <w:shd w:val="clear" w:color="auto" w:fill="auto"/>
            <w:vAlign w:val="center"/>
            <w:hideMark/>
          </w:tcPr>
          <w:p w:rsidR="003625C5" w:rsidRPr="00961785" w:rsidRDefault="003625C5" w:rsidP="003625C5">
            <w:pPr>
              <w:rPr>
                <w:rFonts w:ascii="Arial Narrow" w:hAnsi="Arial Narrow" w:cs="Segoe UI"/>
                <w:b/>
                <w:bCs/>
                <w:sz w:val="16"/>
                <w:szCs w:val="16"/>
              </w:rPr>
            </w:pPr>
            <w:r w:rsidRPr="00961785">
              <w:rPr>
                <w:rFonts w:ascii="Arial Narrow" w:hAnsi="Arial Narrow" w:cs="Segoe UI"/>
                <w:b/>
                <w:bCs/>
                <w:sz w:val="16"/>
                <w:szCs w:val="16"/>
              </w:rPr>
              <w:t> </w:t>
            </w:r>
          </w:p>
          <w:p w:rsidR="003625C5" w:rsidRPr="00961785" w:rsidRDefault="003625C5" w:rsidP="003625C5">
            <w:pPr>
              <w:rPr>
                <w:rFonts w:ascii="Arial Narrow" w:hAnsi="Arial Narrow" w:cs="Segoe UI"/>
                <w:b/>
                <w:bCs/>
                <w:sz w:val="16"/>
                <w:szCs w:val="16"/>
              </w:rPr>
            </w:pPr>
            <w:r w:rsidRPr="00961785">
              <w:rPr>
                <w:rFonts w:ascii="Arial Narrow" w:hAnsi="Arial Narrow" w:cs="Segoe UI"/>
                <w:b/>
                <w:bCs/>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5C5" w:rsidRPr="00961785" w:rsidRDefault="003625C5" w:rsidP="003625C5">
            <w:pPr>
              <w:jc w:val="center"/>
              <w:rPr>
                <w:rFonts w:ascii="Arial Narrow" w:hAnsi="Arial Narrow" w:cs="Segoe UI"/>
                <w:b/>
                <w:bCs/>
                <w:sz w:val="16"/>
                <w:szCs w:val="16"/>
              </w:rPr>
            </w:pPr>
            <w:r>
              <w:rPr>
                <w:rFonts w:ascii="Arial Narrow" w:hAnsi="Arial Narrow" w:cs="Segoe UI"/>
                <w:b/>
                <w:bCs/>
                <w:sz w:val="16"/>
                <w:szCs w:val="16"/>
              </w:rPr>
              <w:t>2017</w:t>
            </w:r>
          </w:p>
          <w:p w:rsidR="003625C5" w:rsidRPr="00961785" w:rsidRDefault="003625C5" w:rsidP="003625C5">
            <w:pPr>
              <w:jc w:val="center"/>
              <w:rPr>
                <w:rFonts w:ascii="Arial Narrow" w:hAnsi="Arial Narrow" w:cs="Segoe UI"/>
                <w:b/>
                <w:bCs/>
                <w:sz w:val="16"/>
                <w:szCs w:val="16"/>
              </w:rPr>
            </w:pPr>
            <w:r w:rsidRPr="00961785">
              <w:rPr>
                <w:rFonts w:ascii="Arial Narrow" w:hAnsi="Arial Narrow" w:cs="Segoe UI"/>
                <w:b/>
                <w:bCs/>
                <w:sz w:val="16"/>
                <w:szCs w:val="16"/>
              </w:rPr>
              <w:t>Εκτιμήσεις</w:t>
            </w:r>
          </w:p>
        </w:tc>
        <w:tc>
          <w:tcPr>
            <w:tcW w:w="1559" w:type="dxa"/>
            <w:tcBorders>
              <w:top w:val="single" w:sz="4" w:space="0" w:color="auto"/>
              <w:left w:val="single" w:sz="4" w:space="0" w:color="auto"/>
              <w:bottom w:val="single" w:sz="4" w:space="0" w:color="auto"/>
            </w:tcBorders>
            <w:shd w:val="clear" w:color="auto" w:fill="auto"/>
            <w:vAlign w:val="center"/>
            <w:hideMark/>
          </w:tcPr>
          <w:p w:rsidR="003625C5" w:rsidRPr="00961785" w:rsidRDefault="003625C5" w:rsidP="003625C5">
            <w:pPr>
              <w:jc w:val="center"/>
              <w:rPr>
                <w:rFonts w:ascii="Arial Narrow" w:hAnsi="Arial Narrow" w:cs="Segoe UI"/>
                <w:b/>
                <w:bCs/>
                <w:sz w:val="16"/>
                <w:szCs w:val="16"/>
              </w:rPr>
            </w:pPr>
            <w:r>
              <w:rPr>
                <w:rFonts w:ascii="Arial Narrow" w:hAnsi="Arial Narrow" w:cs="Segoe UI"/>
                <w:b/>
                <w:bCs/>
                <w:sz w:val="16"/>
                <w:szCs w:val="16"/>
              </w:rPr>
              <w:t>2018</w:t>
            </w:r>
          </w:p>
          <w:p w:rsidR="003625C5" w:rsidRPr="00961785" w:rsidRDefault="003625C5" w:rsidP="003625C5">
            <w:pPr>
              <w:jc w:val="center"/>
              <w:rPr>
                <w:rFonts w:ascii="Arial Narrow" w:hAnsi="Arial Narrow" w:cs="Segoe UI"/>
                <w:b/>
                <w:bCs/>
                <w:sz w:val="16"/>
                <w:szCs w:val="16"/>
              </w:rPr>
            </w:pPr>
            <w:r w:rsidRPr="00961785">
              <w:rPr>
                <w:rFonts w:ascii="Arial Narrow" w:hAnsi="Arial Narrow" w:cs="Segoe UI"/>
                <w:b/>
                <w:bCs/>
                <w:sz w:val="16"/>
                <w:szCs w:val="16"/>
              </w:rPr>
              <w:t>Προβλέψεις</w:t>
            </w:r>
          </w:p>
        </w:tc>
      </w:tr>
      <w:tr w:rsidR="003625C5" w:rsidRPr="00961785" w:rsidTr="003625C5">
        <w:trPr>
          <w:trHeight w:val="170"/>
          <w:jc w:val="center"/>
        </w:trPr>
        <w:tc>
          <w:tcPr>
            <w:tcW w:w="462" w:type="dxa"/>
            <w:tcBorders>
              <w:top w:val="single" w:sz="4" w:space="0" w:color="auto"/>
            </w:tcBorders>
            <w:shd w:val="clear" w:color="auto" w:fill="A6A6A6" w:themeFill="background1" w:themeFillShade="A6"/>
            <w:hideMark/>
          </w:tcPr>
          <w:p w:rsidR="003625C5" w:rsidRPr="00961785" w:rsidRDefault="003625C5" w:rsidP="003625C5">
            <w:pPr>
              <w:jc w:val="center"/>
              <w:rPr>
                <w:rFonts w:ascii="Arial Narrow" w:hAnsi="Arial Narrow" w:cs="Segoe UI"/>
                <w:b/>
                <w:bCs/>
                <w:sz w:val="16"/>
                <w:szCs w:val="16"/>
              </w:rPr>
            </w:pPr>
            <w:r w:rsidRPr="00961785">
              <w:rPr>
                <w:rFonts w:ascii="Arial Narrow" w:hAnsi="Arial Narrow" w:cs="Segoe UI"/>
                <w:b/>
                <w:bCs/>
                <w:sz w:val="16"/>
                <w:szCs w:val="16"/>
              </w:rPr>
              <w:t>1</w:t>
            </w:r>
          </w:p>
        </w:tc>
        <w:tc>
          <w:tcPr>
            <w:tcW w:w="4788" w:type="dxa"/>
            <w:tcBorders>
              <w:top w:val="single" w:sz="4" w:space="0" w:color="auto"/>
            </w:tcBorders>
            <w:shd w:val="clear" w:color="auto" w:fill="A6A6A6" w:themeFill="background1" w:themeFillShade="A6"/>
            <w:vAlign w:val="center"/>
            <w:hideMark/>
          </w:tcPr>
          <w:p w:rsidR="003625C5" w:rsidRDefault="003625C5" w:rsidP="003625C5">
            <w:pPr>
              <w:rPr>
                <w:rFonts w:ascii="Arial Narrow" w:hAnsi="Arial Narrow"/>
                <w:b/>
                <w:bCs/>
                <w:sz w:val="16"/>
                <w:szCs w:val="16"/>
              </w:rPr>
            </w:pPr>
            <w:r>
              <w:rPr>
                <w:rFonts w:ascii="Arial Narrow" w:hAnsi="Arial Narrow"/>
                <w:b/>
                <w:bCs/>
                <w:sz w:val="16"/>
                <w:szCs w:val="16"/>
              </w:rPr>
              <w:t>Υπουργείο Οικονομίας και Ανάπτυξης</w:t>
            </w:r>
          </w:p>
        </w:tc>
        <w:tc>
          <w:tcPr>
            <w:tcW w:w="1701" w:type="dxa"/>
            <w:tcBorders>
              <w:top w:val="single" w:sz="4" w:space="0" w:color="auto"/>
            </w:tcBorders>
            <w:shd w:val="clear" w:color="auto" w:fill="A6A6A6" w:themeFill="background1" w:themeFillShade="A6"/>
            <w:vAlign w:val="center"/>
            <w:hideMark/>
          </w:tcPr>
          <w:p w:rsidR="003625C5" w:rsidRDefault="003625C5" w:rsidP="003625C5">
            <w:pPr>
              <w:ind w:right="589"/>
              <w:jc w:val="right"/>
              <w:rPr>
                <w:rFonts w:ascii="Arial Narrow" w:hAnsi="Arial Narrow"/>
                <w:b/>
                <w:bCs/>
                <w:color w:val="000000"/>
                <w:sz w:val="16"/>
                <w:szCs w:val="16"/>
              </w:rPr>
            </w:pPr>
            <w:r>
              <w:rPr>
                <w:rFonts w:ascii="Arial Narrow" w:hAnsi="Arial Narrow"/>
                <w:b/>
                <w:bCs/>
                <w:color w:val="000000"/>
                <w:sz w:val="16"/>
                <w:szCs w:val="16"/>
              </w:rPr>
              <w:t>0</w:t>
            </w:r>
          </w:p>
        </w:tc>
        <w:tc>
          <w:tcPr>
            <w:tcW w:w="1559" w:type="dxa"/>
            <w:tcBorders>
              <w:top w:val="single" w:sz="4" w:space="0" w:color="auto"/>
            </w:tcBorders>
            <w:shd w:val="clear" w:color="auto" w:fill="A6A6A6" w:themeFill="background1" w:themeFillShade="A6"/>
            <w:vAlign w:val="center"/>
            <w:hideMark/>
          </w:tcPr>
          <w:p w:rsidR="003625C5" w:rsidRDefault="003625C5" w:rsidP="003625C5">
            <w:pPr>
              <w:ind w:right="589"/>
              <w:jc w:val="right"/>
              <w:rPr>
                <w:rFonts w:ascii="Arial Narrow" w:hAnsi="Arial Narrow"/>
                <w:b/>
                <w:bCs/>
                <w:color w:val="000000"/>
                <w:sz w:val="16"/>
                <w:szCs w:val="16"/>
              </w:rPr>
            </w:pPr>
            <w:r>
              <w:rPr>
                <w:rFonts w:ascii="Arial Narrow" w:hAnsi="Arial Narrow"/>
                <w:b/>
                <w:bCs/>
                <w:color w:val="000000"/>
                <w:sz w:val="16"/>
                <w:szCs w:val="16"/>
              </w:rPr>
              <w:t>0</w:t>
            </w:r>
          </w:p>
        </w:tc>
      </w:tr>
      <w:tr w:rsidR="003625C5" w:rsidRPr="00071BE6" w:rsidTr="003625C5">
        <w:trPr>
          <w:trHeight w:val="170"/>
          <w:jc w:val="center"/>
        </w:trPr>
        <w:tc>
          <w:tcPr>
            <w:tcW w:w="462" w:type="dxa"/>
            <w:tcBorders>
              <w:bottom w:val="nil"/>
            </w:tcBorders>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tcBorders>
              <w:bottom w:val="nil"/>
            </w:tcBorders>
            <w:shd w:val="clear" w:color="auto" w:fill="auto"/>
            <w:vAlign w:val="center"/>
            <w:hideMark/>
          </w:tcPr>
          <w:p w:rsidR="003625C5" w:rsidRPr="003A5A9B" w:rsidRDefault="003625C5" w:rsidP="003625C5">
            <w:pPr>
              <w:rPr>
                <w:rFonts w:ascii="Arial Narrow" w:hAnsi="Arial Narrow"/>
                <w:i/>
                <w:iCs/>
                <w:sz w:val="16"/>
                <w:szCs w:val="16"/>
              </w:rPr>
            </w:pPr>
            <w:r w:rsidRPr="003A5A9B">
              <w:rPr>
                <w:rFonts w:ascii="Arial Narrow" w:hAnsi="Arial Narrow"/>
                <w:i/>
                <w:iCs/>
                <w:sz w:val="16"/>
                <w:szCs w:val="16"/>
              </w:rPr>
              <w:t>Ισοζύγιο</w:t>
            </w:r>
          </w:p>
        </w:tc>
        <w:tc>
          <w:tcPr>
            <w:tcW w:w="1701" w:type="dxa"/>
            <w:tcBorders>
              <w:bottom w:val="nil"/>
            </w:tcBorders>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c>
          <w:tcPr>
            <w:tcW w:w="1559" w:type="dxa"/>
            <w:tcBorders>
              <w:bottom w:val="nil"/>
            </w:tcBorders>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r>
      <w:tr w:rsidR="003625C5" w:rsidRPr="00071BE6" w:rsidTr="003625C5">
        <w:trPr>
          <w:trHeight w:val="170"/>
          <w:jc w:val="center"/>
        </w:trPr>
        <w:tc>
          <w:tcPr>
            <w:tcW w:w="462" w:type="dxa"/>
            <w:tcBorders>
              <w:top w:val="nil"/>
              <w:bottom w:val="nil"/>
            </w:tcBorders>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tcBorders>
              <w:top w:val="nil"/>
              <w:bottom w:val="nil"/>
            </w:tcBorders>
            <w:shd w:val="clear" w:color="auto" w:fill="auto"/>
            <w:vAlign w:val="center"/>
            <w:hideMark/>
          </w:tcPr>
          <w:p w:rsidR="003625C5" w:rsidRPr="003A5A9B" w:rsidRDefault="00267240" w:rsidP="003625C5">
            <w:pPr>
              <w:rPr>
                <w:rFonts w:ascii="Arial Narrow" w:hAnsi="Arial Narrow"/>
                <w:i/>
                <w:iCs/>
                <w:sz w:val="16"/>
                <w:szCs w:val="16"/>
              </w:rPr>
            </w:pPr>
            <w:r>
              <w:rPr>
                <w:rFonts w:ascii="Arial Narrow" w:hAnsi="Arial Narrow"/>
                <w:i/>
                <w:iCs/>
                <w:sz w:val="16"/>
                <w:szCs w:val="16"/>
              </w:rPr>
              <w:t>Έσοδα από καταπτώσεις εγγυήσεων</w:t>
            </w:r>
          </w:p>
        </w:tc>
        <w:tc>
          <w:tcPr>
            <w:tcW w:w="1701" w:type="dxa"/>
            <w:tcBorders>
              <w:top w:val="nil"/>
              <w:bottom w:val="nil"/>
            </w:tcBorders>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c>
          <w:tcPr>
            <w:tcW w:w="1559" w:type="dxa"/>
            <w:tcBorders>
              <w:top w:val="nil"/>
              <w:bottom w:val="nil"/>
            </w:tcBorders>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r>
      <w:tr w:rsidR="003625C5" w:rsidRPr="003A5A9B" w:rsidTr="003625C5">
        <w:trPr>
          <w:trHeight w:val="170"/>
          <w:jc w:val="center"/>
        </w:trPr>
        <w:tc>
          <w:tcPr>
            <w:tcW w:w="462" w:type="dxa"/>
            <w:tcBorders>
              <w:top w:val="nil"/>
            </w:tcBorders>
            <w:shd w:val="clear" w:color="auto" w:fill="A6A6A6" w:themeFill="background1" w:themeFillShade="A6"/>
            <w:hideMark/>
          </w:tcPr>
          <w:p w:rsidR="003625C5" w:rsidRPr="003A5A9B" w:rsidRDefault="003625C5" w:rsidP="003625C5">
            <w:pPr>
              <w:jc w:val="center"/>
              <w:rPr>
                <w:rFonts w:ascii="Arial Narrow" w:hAnsi="Arial Narrow" w:cs="Segoe UI"/>
                <w:b/>
                <w:bCs/>
                <w:sz w:val="16"/>
                <w:szCs w:val="16"/>
              </w:rPr>
            </w:pPr>
            <w:r w:rsidRPr="003A5A9B">
              <w:rPr>
                <w:rFonts w:ascii="Arial Narrow" w:hAnsi="Arial Narrow" w:cs="Segoe UI"/>
                <w:b/>
                <w:bCs/>
                <w:sz w:val="16"/>
                <w:szCs w:val="16"/>
              </w:rPr>
              <w:t>2</w:t>
            </w:r>
          </w:p>
        </w:tc>
        <w:tc>
          <w:tcPr>
            <w:tcW w:w="4788" w:type="dxa"/>
            <w:tcBorders>
              <w:top w:val="nil"/>
            </w:tcBorders>
            <w:shd w:val="clear" w:color="auto" w:fill="A6A6A6" w:themeFill="background1" w:themeFillShade="A6"/>
            <w:vAlign w:val="center"/>
            <w:hideMark/>
          </w:tcPr>
          <w:p w:rsidR="003625C5" w:rsidRPr="003A5A9B" w:rsidRDefault="003625C5" w:rsidP="003625C5">
            <w:pPr>
              <w:rPr>
                <w:rFonts w:ascii="Arial Narrow" w:hAnsi="Arial Narrow"/>
                <w:b/>
                <w:bCs/>
                <w:sz w:val="16"/>
                <w:szCs w:val="16"/>
              </w:rPr>
            </w:pPr>
            <w:r w:rsidRPr="003A5A9B">
              <w:rPr>
                <w:rFonts w:ascii="Arial Narrow" w:hAnsi="Arial Narrow"/>
                <w:b/>
                <w:bCs/>
                <w:sz w:val="16"/>
                <w:szCs w:val="16"/>
              </w:rPr>
              <w:t>Υπουργείο Ψηφιακής Πολιτικής, Τηλεπικοινωνιών και Ενημέρωσης</w:t>
            </w:r>
          </w:p>
        </w:tc>
        <w:tc>
          <w:tcPr>
            <w:tcW w:w="1701" w:type="dxa"/>
            <w:tcBorders>
              <w:top w:val="nil"/>
            </w:tcBorders>
            <w:shd w:val="clear" w:color="auto" w:fill="A6A6A6" w:themeFill="background1" w:themeFillShade="A6"/>
            <w:vAlign w:val="center"/>
            <w:hideMark/>
          </w:tcPr>
          <w:p w:rsidR="003625C5" w:rsidRPr="003A5A9B" w:rsidRDefault="003625C5" w:rsidP="003625C5">
            <w:pPr>
              <w:ind w:right="589"/>
              <w:jc w:val="center"/>
              <w:rPr>
                <w:rFonts w:ascii="Arial Narrow" w:hAnsi="Arial Narrow"/>
                <w:b/>
                <w:bCs/>
                <w:color w:val="000000"/>
                <w:sz w:val="16"/>
                <w:szCs w:val="16"/>
              </w:rPr>
            </w:pPr>
            <w:r w:rsidRPr="003A5A9B">
              <w:rPr>
                <w:rFonts w:ascii="Arial Narrow" w:hAnsi="Arial Narrow"/>
                <w:b/>
                <w:bCs/>
                <w:color w:val="000000"/>
                <w:sz w:val="16"/>
                <w:szCs w:val="16"/>
              </w:rPr>
              <w:t xml:space="preserve">                    -5</w:t>
            </w:r>
          </w:p>
        </w:tc>
        <w:tc>
          <w:tcPr>
            <w:tcW w:w="1559" w:type="dxa"/>
            <w:tcBorders>
              <w:top w:val="nil"/>
            </w:tcBorders>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40</w:t>
            </w:r>
          </w:p>
        </w:tc>
      </w:tr>
      <w:tr w:rsidR="003625C5" w:rsidRPr="003A5A9B"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3625C5" w:rsidP="003625C5">
            <w:pPr>
              <w:rPr>
                <w:rFonts w:ascii="Arial Narrow" w:hAnsi="Arial Narrow"/>
                <w:i/>
                <w:iCs/>
                <w:sz w:val="16"/>
                <w:szCs w:val="16"/>
              </w:rPr>
            </w:pPr>
            <w:r w:rsidRPr="003A5A9B">
              <w:rPr>
                <w:rFonts w:ascii="Arial Narrow" w:hAnsi="Arial Narrow"/>
                <w:i/>
                <w:iCs/>
                <w:sz w:val="16"/>
                <w:szCs w:val="16"/>
              </w:rPr>
              <w:t>Ισοζύγιο</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-5</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40</w:t>
            </w:r>
          </w:p>
        </w:tc>
      </w:tr>
      <w:tr w:rsidR="003625C5" w:rsidRPr="003A5A9B"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267240" w:rsidP="003625C5">
            <w:pPr>
              <w:rPr>
                <w:rFonts w:ascii="Arial Narrow" w:hAnsi="Arial Narrow"/>
                <w:i/>
                <w:iCs/>
                <w:sz w:val="16"/>
                <w:szCs w:val="16"/>
              </w:rPr>
            </w:pPr>
            <w:r>
              <w:rPr>
                <w:rFonts w:ascii="Arial Narrow" w:hAnsi="Arial Narrow"/>
                <w:i/>
                <w:iCs/>
                <w:sz w:val="16"/>
                <w:szCs w:val="16"/>
              </w:rPr>
              <w:t>Έσοδα από καταπτώσεις εγγυήσεων</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r>
      <w:tr w:rsidR="003625C5" w:rsidRPr="003A5A9B" w:rsidTr="003625C5">
        <w:trPr>
          <w:trHeight w:val="170"/>
          <w:jc w:val="center"/>
        </w:trPr>
        <w:tc>
          <w:tcPr>
            <w:tcW w:w="462" w:type="dxa"/>
            <w:shd w:val="clear" w:color="auto" w:fill="A6A6A6" w:themeFill="background1" w:themeFillShade="A6"/>
            <w:hideMark/>
          </w:tcPr>
          <w:p w:rsidR="003625C5" w:rsidRPr="003A5A9B" w:rsidRDefault="003625C5" w:rsidP="003625C5">
            <w:pPr>
              <w:jc w:val="center"/>
              <w:rPr>
                <w:rFonts w:ascii="Arial Narrow" w:hAnsi="Arial Narrow" w:cs="Segoe UI"/>
                <w:b/>
                <w:bCs/>
                <w:sz w:val="16"/>
                <w:szCs w:val="16"/>
              </w:rPr>
            </w:pPr>
            <w:r w:rsidRPr="003A5A9B">
              <w:rPr>
                <w:rFonts w:ascii="Arial Narrow" w:hAnsi="Arial Narrow" w:cs="Segoe UI"/>
                <w:b/>
                <w:bCs/>
                <w:sz w:val="16"/>
                <w:szCs w:val="16"/>
              </w:rPr>
              <w:t>3</w:t>
            </w:r>
          </w:p>
        </w:tc>
        <w:tc>
          <w:tcPr>
            <w:tcW w:w="4788" w:type="dxa"/>
            <w:shd w:val="clear" w:color="auto" w:fill="A6A6A6" w:themeFill="background1" w:themeFillShade="A6"/>
            <w:vAlign w:val="center"/>
            <w:hideMark/>
          </w:tcPr>
          <w:p w:rsidR="003625C5" w:rsidRPr="003A5A9B" w:rsidRDefault="003625C5" w:rsidP="003625C5">
            <w:pPr>
              <w:rPr>
                <w:rFonts w:ascii="Arial Narrow" w:hAnsi="Arial Narrow"/>
                <w:b/>
                <w:bCs/>
                <w:sz w:val="16"/>
                <w:szCs w:val="16"/>
              </w:rPr>
            </w:pPr>
            <w:r w:rsidRPr="003A5A9B">
              <w:rPr>
                <w:rFonts w:ascii="Arial Narrow" w:hAnsi="Arial Narrow"/>
                <w:b/>
                <w:bCs/>
                <w:sz w:val="16"/>
                <w:szCs w:val="16"/>
              </w:rPr>
              <w:t xml:space="preserve">Υπουργείο Εθνικής Άμυνας </w:t>
            </w:r>
          </w:p>
        </w:tc>
        <w:tc>
          <w:tcPr>
            <w:tcW w:w="1701"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6</w:t>
            </w:r>
            <w:r w:rsidR="0075243E">
              <w:rPr>
                <w:rFonts w:ascii="Arial Narrow" w:hAnsi="Arial Narrow"/>
                <w:b/>
                <w:bCs/>
                <w:color w:val="000000"/>
                <w:sz w:val="16"/>
                <w:szCs w:val="16"/>
              </w:rPr>
              <w:t>5</w:t>
            </w:r>
          </w:p>
        </w:tc>
        <w:tc>
          <w:tcPr>
            <w:tcW w:w="1559"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53</w:t>
            </w:r>
          </w:p>
        </w:tc>
      </w:tr>
      <w:tr w:rsidR="003625C5" w:rsidRPr="003A5A9B"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3625C5" w:rsidP="003625C5">
            <w:pPr>
              <w:rPr>
                <w:rFonts w:ascii="Arial Narrow" w:hAnsi="Arial Narrow"/>
                <w:i/>
                <w:iCs/>
                <w:sz w:val="16"/>
                <w:szCs w:val="16"/>
              </w:rPr>
            </w:pPr>
            <w:r w:rsidRPr="003A5A9B">
              <w:rPr>
                <w:rFonts w:ascii="Arial Narrow" w:hAnsi="Arial Narrow"/>
                <w:i/>
                <w:iCs/>
                <w:sz w:val="16"/>
                <w:szCs w:val="16"/>
              </w:rPr>
              <w:t>Ισοζύγιο</w:t>
            </w:r>
          </w:p>
        </w:tc>
        <w:tc>
          <w:tcPr>
            <w:tcW w:w="1701" w:type="dxa"/>
            <w:shd w:val="clear" w:color="auto" w:fill="auto"/>
            <w:vAlign w:val="center"/>
            <w:hideMark/>
          </w:tcPr>
          <w:p w:rsidR="003625C5" w:rsidRPr="003A5A9B" w:rsidRDefault="0075243E" w:rsidP="003625C5">
            <w:pPr>
              <w:ind w:right="589"/>
              <w:jc w:val="right"/>
              <w:rPr>
                <w:rFonts w:ascii="Arial Narrow" w:hAnsi="Arial Narrow"/>
                <w:i/>
                <w:iCs/>
                <w:sz w:val="16"/>
                <w:szCs w:val="16"/>
              </w:rPr>
            </w:pPr>
            <w:r>
              <w:rPr>
                <w:rFonts w:ascii="Arial Narrow" w:hAnsi="Arial Narrow"/>
                <w:i/>
                <w:iCs/>
                <w:sz w:val="16"/>
                <w:szCs w:val="16"/>
              </w:rPr>
              <w:t>-</w:t>
            </w:r>
            <w:r w:rsidR="003625C5" w:rsidRPr="003A5A9B">
              <w:rPr>
                <w:rFonts w:ascii="Arial Narrow" w:hAnsi="Arial Narrow"/>
                <w:i/>
                <w:iCs/>
                <w:sz w:val="16"/>
                <w:szCs w:val="16"/>
              </w:rPr>
              <w:t>1</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1</w:t>
            </w:r>
          </w:p>
        </w:tc>
      </w:tr>
      <w:tr w:rsidR="003625C5" w:rsidRPr="00071BE6"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267240" w:rsidP="003625C5">
            <w:pPr>
              <w:rPr>
                <w:rFonts w:ascii="Arial Narrow" w:hAnsi="Arial Narrow"/>
                <w:i/>
                <w:iCs/>
                <w:sz w:val="16"/>
                <w:szCs w:val="16"/>
              </w:rPr>
            </w:pPr>
            <w:r>
              <w:rPr>
                <w:rFonts w:ascii="Arial Narrow" w:hAnsi="Arial Narrow"/>
                <w:i/>
                <w:iCs/>
                <w:sz w:val="16"/>
                <w:szCs w:val="16"/>
              </w:rPr>
              <w:t>Έσοδα από καταπτώσεις εγγυήσεων</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6</w:t>
            </w:r>
            <w:r w:rsidR="0075243E">
              <w:rPr>
                <w:rFonts w:ascii="Arial Narrow" w:hAnsi="Arial Narrow"/>
                <w:i/>
                <w:iCs/>
                <w:sz w:val="16"/>
                <w:szCs w:val="16"/>
              </w:rPr>
              <w:t>6</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52</w:t>
            </w:r>
          </w:p>
        </w:tc>
      </w:tr>
      <w:tr w:rsidR="003625C5" w:rsidRPr="00071BE6" w:rsidTr="003625C5">
        <w:trPr>
          <w:trHeight w:val="170"/>
          <w:jc w:val="center"/>
        </w:trPr>
        <w:tc>
          <w:tcPr>
            <w:tcW w:w="462" w:type="dxa"/>
            <w:shd w:val="clear" w:color="auto" w:fill="A6A6A6" w:themeFill="background1" w:themeFillShade="A6"/>
            <w:hideMark/>
          </w:tcPr>
          <w:p w:rsidR="003625C5" w:rsidRPr="003A5A9B" w:rsidRDefault="003625C5" w:rsidP="003625C5">
            <w:pPr>
              <w:jc w:val="center"/>
              <w:rPr>
                <w:rFonts w:ascii="Arial Narrow" w:hAnsi="Arial Narrow" w:cs="Segoe UI"/>
                <w:b/>
                <w:bCs/>
                <w:sz w:val="16"/>
                <w:szCs w:val="16"/>
              </w:rPr>
            </w:pPr>
            <w:r w:rsidRPr="003A5A9B">
              <w:rPr>
                <w:rFonts w:ascii="Arial Narrow" w:hAnsi="Arial Narrow" w:cs="Segoe UI"/>
                <w:b/>
                <w:bCs/>
                <w:sz w:val="16"/>
                <w:szCs w:val="16"/>
              </w:rPr>
              <w:t>4</w:t>
            </w:r>
          </w:p>
        </w:tc>
        <w:tc>
          <w:tcPr>
            <w:tcW w:w="4788" w:type="dxa"/>
            <w:shd w:val="clear" w:color="auto" w:fill="A6A6A6" w:themeFill="background1" w:themeFillShade="A6"/>
            <w:vAlign w:val="center"/>
            <w:hideMark/>
          </w:tcPr>
          <w:p w:rsidR="003625C5" w:rsidRPr="003A5A9B" w:rsidRDefault="003625C5" w:rsidP="003625C5">
            <w:pPr>
              <w:rPr>
                <w:rFonts w:ascii="Arial Narrow" w:hAnsi="Arial Narrow"/>
                <w:b/>
                <w:bCs/>
                <w:sz w:val="16"/>
                <w:szCs w:val="16"/>
              </w:rPr>
            </w:pPr>
            <w:r w:rsidRPr="003A5A9B">
              <w:rPr>
                <w:rFonts w:ascii="Arial Narrow" w:hAnsi="Arial Narrow"/>
                <w:b/>
                <w:bCs/>
                <w:sz w:val="16"/>
                <w:szCs w:val="16"/>
              </w:rPr>
              <w:t>Υπουργείο Οικονομικών</w:t>
            </w:r>
          </w:p>
        </w:tc>
        <w:tc>
          <w:tcPr>
            <w:tcW w:w="1701"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30</w:t>
            </w:r>
          </w:p>
        </w:tc>
        <w:tc>
          <w:tcPr>
            <w:tcW w:w="1559"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68</w:t>
            </w:r>
          </w:p>
        </w:tc>
      </w:tr>
      <w:tr w:rsidR="003625C5" w:rsidRPr="00071BE6"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3625C5" w:rsidP="003625C5">
            <w:pPr>
              <w:rPr>
                <w:rFonts w:ascii="Arial Narrow" w:hAnsi="Arial Narrow"/>
                <w:i/>
                <w:iCs/>
                <w:sz w:val="16"/>
                <w:szCs w:val="16"/>
              </w:rPr>
            </w:pPr>
            <w:r w:rsidRPr="003A5A9B">
              <w:rPr>
                <w:rFonts w:ascii="Arial Narrow" w:hAnsi="Arial Narrow"/>
                <w:i/>
                <w:iCs/>
                <w:sz w:val="16"/>
                <w:szCs w:val="16"/>
              </w:rPr>
              <w:t>Ισοζύγιο</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-15</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9</w:t>
            </w:r>
          </w:p>
        </w:tc>
      </w:tr>
      <w:tr w:rsidR="003625C5" w:rsidRPr="00071BE6"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267240" w:rsidP="003625C5">
            <w:pPr>
              <w:rPr>
                <w:rFonts w:ascii="Arial Narrow" w:hAnsi="Arial Narrow"/>
                <w:i/>
                <w:iCs/>
                <w:sz w:val="16"/>
                <w:szCs w:val="16"/>
              </w:rPr>
            </w:pPr>
            <w:r>
              <w:rPr>
                <w:rFonts w:ascii="Arial Narrow" w:hAnsi="Arial Narrow"/>
                <w:i/>
                <w:iCs/>
                <w:sz w:val="16"/>
                <w:szCs w:val="16"/>
              </w:rPr>
              <w:t>Έσοδα από καταπτώσεις εγγυήσεων</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45</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58</w:t>
            </w:r>
          </w:p>
        </w:tc>
      </w:tr>
      <w:tr w:rsidR="003625C5" w:rsidRPr="00071BE6" w:rsidTr="003625C5">
        <w:trPr>
          <w:trHeight w:val="170"/>
          <w:jc w:val="center"/>
        </w:trPr>
        <w:tc>
          <w:tcPr>
            <w:tcW w:w="462" w:type="dxa"/>
            <w:shd w:val="clear" w:color="auto" w:fill="A6A6A6" w:themeFill="background1" w:themeFillShade="A6"/>
            <w:hideMark/>
          </w:tcPr>
          <w:p w:rsidR="003625C5" w:rsidRPr="003A5A9B" w:rsidRDefault="003625C5" w:rsidP="003625C5">
            <w:pPr>
              <w:jc w:val="center"/>
              <w:rPr>
                <w:rFonts w:ascii="Arial Narrow" w:hAnsi="Arial Narrow" w:cs="Segoe UI"/>
                <w:b/>
                <w:bCs/>
                <w:sz w:val="16"/>
                <w:szCs w:val="16"/>
              </w:rPr>
            </w:pPr>
            <w:r w:rsidRPr="003A5A9B">
              <w:rPr>
                <w:rFonts w:ascii="Arial Narrow" w:hAnsi="Arial Narrow" w:cs="Segoe UI"/>
                <w:b/>
                <w:bCs/>
                <w:sz w:val="16"/>
                <w:szCs w:val="16"/>
              </w:rPr>
              <w:t>5</w:t>
            </w:r>
          </w:p>
        </w:tc>
        <w:tc>
          <w:tcPr>
            <w:tcW w:w="4788" w:type="dxa"/>
            <w:shd w:val="clear" w:color="auto" w:fill="A6A6A6" w:themeFill="background1" w:themeFillShade="A6"/>
            <w:vAlign w:val="center"/>
            <w:hideMark/>
          </w:tcPr>
          <w:p w:rsidR="003625C5" w:rsidRPr="003A5A9B" w:rsidRDefault="003625C5" w:rsidP="003625C5">
            <w:pPr>
              <w:rPr>
                <w:rFonts w:ascii="Arial Narrow" w:hAnsi="Arial Narrow"/>
                <w:b/>
                <w:bCs/>
                <w:sz w:val="16"/>
                <w:szCs w:val="16"/>
              </w:rPr>
            </w:pPr>
            <w:r w:rsidRPr="003A5A9B">
              <w:rPr>
                <w:rFonts w:ascii="Arial Narrow" w:hAnsi="Arial Narrow"/>
                <w:b/>
                <w:bCs/>
                <w:sz w:val="16"/>
                <w:szCs w:val="16"/>
              </w:rPr>
              <w:t xml:space="preserve">Υπουργείο Υγείας </w:t>
            </w:r>
          </w:p>
        </w:tc>
        <w:tc>
          <w:tcPr>
            <w:tcW w:w="1701"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Pr>
                <w:rFonts w:ascii="Arial Narrow" w:hAnsi="Arial Narrow"/>
                <w:b/>
                <w:bCs/>
                <w:color w:val="000000"/>
                <w:sz w:val="16"/>
                <w:szCs w:val="16"/>
              </w:rPr>
              <w:t>0</w:t>
            </w:r>
          </w:p>
        </w:tc>
        <w:tc>
          <w:tcPr>
            <w:tcW w:w="1559"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0</w:t>
            </w:r>
          </w:p>
        </w:tc>
      </w:tr>
      <w:tr w:rsidR="003625C5" w:rsidRPr="00071BE6"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3625C5" w:rsidP="003625C5">
            <w:pPr>
              <w:rPr>
                <w:rFonts w:ascii="Arial Narrow" w:hAnsi="Arial Narrow"/>
                <w:i/>
                <w:iCs/>
                <w:sz w:val="16"/>
                <w:szCs w:val="16"/>
              </w:rPr>
            </w:pPr>
            <w:r w:rsidRPr="003A5A9B">
              <w:rPr>
                <w:rFonts w:ascii="Arial Narrow" w:hAnsi="Arial Narrow"/>
                <w:i/>
                <w:iCs/>
                <w:sz w:val="16"/>
                <w:szCs w:val="16"/>
              </w:rPr>
              <w:t>Ισοζύγιο</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Pr>
                <w:rFonts w:ascii="Arial Narrow" w:hAnsi="Arial Narrow"/>
                <w:i/>
                <w:iCs/>
                <w:sz w:val="16"/>
                <w:szCs w:val="16"/>
              </w:rPr>
              <w:t>0</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r>
      <w:tr w:rsidR="003625C5" w:rsidRPr="00071BE6"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267240" w:rsidP="003625C5">
            <w:pPr>
              <w:rPr>
                <w:rFonts w:ascii="Arial Narrow" w:hAnsi="Arial Narrow"/>
                <w:i/>
                <w:iCs/>
                <w:sz w:val="16"/>
                <w:szCs w:val="16"/>
              </w:rPr>
            </w:pPr>
            <w:r>
              <w:rPr>
                <w:rFonts w:ascii="Arial Narrow" w:hAnsi="Arial Narrow"/>
                <w:i/>
                <w:iCs/>
                <w:sz w:val="16"/>
                <w:szCs w:val="16"/>
              </w:rPr>
              <w:t>Έσοδα από καταπτώσεις εγγυήσεων</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r>
      <w:tr w:rsidR="003625C5" w:rsidRPr="00071BE6" w:rsidTr="003625C5">
        <w:trPr>
          <w:trHeight w:val="170"/>
          <w:jc w:val="center"/>
        </w:trPr>
        <w:tc>
          <w:tcPr>
            <w:tcW w:w="462" w:type="dxa"/>
            <w:shd w:val="clear" w:color="auto" w:fill="A6A6A6" w:themeFill="background1" w:themeFillShade="A6"/>
            <w:hideMark/>
          </w:tcPr>
          <w:p w:rsidR="003625C5" w:rsidRPr="003A5A9B" w:rsidRDefault="003625C5" w:rsidP="003625C5">
            <w:pPr>
              <w:jc w:val="center"/>
              <w:rPr>
                <w:rFonts w:ascii="Arial Narrow" w:hAnsi="Arial Narrow" w:cs="Segoe UI"/>
                <w:b/>
                <w:bCs/>
                <w:sz w:val="16"/>
                <w:szCs w:val="16"/>
              </w:rPr>
            </w:pPr>
            <w:r w:rsidRPr="003A5A9B">
              <w:rPr>
                <w:rFonts w:ascii="Arial Narrow" w:hAnsi="Arial Narrow" w:cs="Segoe UI"/>
                <w:b/>
                <w:bCs/>
                <w:sz w:val="16"/>
                <w:szCs w:val="16"/>
              </w:rPr>
              <w:t>6</w:t>
            </w:r>
          </w:p>
        </w:tc>
        <w:tc>
          <w:tcPr>
            <w:tcW w:w="4788" w:type="dxa"/>
            <w:shd w:val="clear" w:color="auto" w:fill="A6A6A6" w:themeFill="background1" w:themeFillShade="A6"/>
            <w:vAlign w:val="center"/>
            <w:hideMark/>
          </w:tcPr>
          <w:p w:rsidR="003625C5" w:rsidRPr="003A5A9B" w:rsidRDefault="003625C5" w:rsidP="003625C5">
            <w:pPr>
              <w:rPr>
                <w:rFonts w:ascii="Arial Narrow" w:hAnsi="Arial Narrow"/>
                <w:b/>
                <w:bCs/>
                <w:sz w:val="16"/>
                <w:szCs w:val="16"/>
              </w:rPr>
            </w:pPr>
            <w:r w:rsidRPr="003A5A9B">
              <w:rPr>
                <w:rFonts w:ascii="Arial Narrow" w:hAnsi="Arial Narrow"/>
                <w:b/>
                <w:bCs/>
                <w:sz w:val="16"/>
                <w:szCs w:val="16"/>
              </w:rPr>
              <w:t>Υπουργείο Διοικητικής Ανασυγκρότησης</w:t>
            </w:r>
          </w:p>
        </w:tc>
        <w:tc>
          <w:tcPr>
            <w:tcW w:w="1701"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0</w:t>
            </w:r>
          </w:p>
        </w:tc>
        <w:tc>
          <w:tcPr>
            <w:tcW w:w="1559"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0</w:t>
            </w:r>
          </w:p>
        </w:tc>
      </w:tr>
      <w:tr w:rsidR="003625C5" w:rsidRPr="00071BE6"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3625C5" w:rsidP="003625C5">
            <w:pPr>
              <w:rPr>
                <w:rFonts w:ascii="Arial Narrow" w:hAnsi="Arial Narrow"/>
                <w:i/>
                <w:iCs/>
                <w:sz w:val="16"/>
                <w:szCs w:val="16"/>
              </w:rPr>
            </w:pPr>
            <w:r w:rsidRPr="003A5A9B">
              <w:rPr>
                <w:rFonts w:ascii="Arial Narrow" w:hAnsi="Arial Narrow"/>
                <w:i/>
                <w:iCs/>
                <w:sz w:val="16"/>
                <w:szCs w:val="16"/>
              </w:rPr>
              <w:t>Ισοζύγιο</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r>
      <w:tr w:rsidR="003625C5" w:rsidRPr="00071BE6"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267240" w:rsidP="003625C5">
            <w:pPr>
              <w:rPr>
                <w:rFonts w:ascii="Arial Narrow" w:hAnsi="Arial Narrow"/>
                <w:i/>
                <w:iCs/>
                <w:sz w:val="16"/>
                <w:szCs w:val="16"/>
              </w:rPr>
            </w:pPr>
            <w:r>
              <w:rPr>
                <w:rFonts w:ascii="Arial Narrow" w:hAnsi="Arial Narrow"/>
                <w:i/>
                <w:iCs/>
                <w:sz w:val="16"/>
                <w:szCs w:val="16"/>
              </w:rPr>
              <w:t>Έσοδα από καταπτώσεις εγγυήσεων</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r>
      <w:tr w:rsidR="003625C5" w:rsidRPr="003A5A9B" w:rsidTr="003625C5">
        <w:trPr>
          <w:trHeight w:val="170"/>
          <w:jc w:val="center"/>
        </w:trPr>
        <w:tc>
          <w:tcPr>
            <w:tcW w:w="462" w:type="dxa"/>
            <w:shd w:val="clear" w:color="auto" w:fill="A6A6A6" w:themeFill="background1" w:themeFillShade="A6"/>
            <w:hideMark/>
          </w:tcPr>
          <w:p w:rsidR="003625C5" w:rsidRPr="003A5A9B" w:rsidRDefault="003625C5" w:rsidP="003625C5">
            <w:pPr>
              <w:jc w:val="center"/>
              <w:rPr>
                <w:rFonts w:ascii="Arial Narrow" w:hAnsi="Arial Narrow" w:cs="Segoe UI"/>
                <w:b/>
                <w:bCs/>
                <w:sz w:val="16"/>
                <w:szCs w:val="16"/>
              </w:rPr>
            </w:pPr>
            <w:r w:rsidRPr="003A5A9B">
              <w:rPr>
                <w:rFonts w:ascii="Arial Narrow" w:hAnsi="Arial Narrow" w:cs="Segoe UI"/>
                <w:b/>
                <w:bCs/>
                <w:sz w:val="16"/>
                <w:szCs w:val="16"/>
              </w:rPr>
              <w:t>7</w:t>
            </w:r>
          </w:p>
        </w:tc>
        <w:tc>
          <w:tcPr>
            <w:tcW w:w="4788" w:type="dxa"/>
            <w:shd w:val="clear" w:color="auto" w:fill="A6A6A6" w:themeFill="background1" w:themeFillShade="A6"/>
            <w:vAlign w:val="center"/>
            <w:hideMark/>
          </w:tcPr>
          <w:p w:rsidR="003625C5" w:rsidRPr="003A5A9B" w:rsidRDefault="003625C5" w:rsidP="003625C5">
            <w:pPr>
              <w:rPr>
                <w:rFonts w:ascii="Arial Narrow" w:hAnsi="Arial Narrow"/>
                <w:b/>
                <w:bCs/>
                <w:sz w:val="16"/>
                <w:szCs w:val="16"/>
              </w:rPr>
            </w:pPr>
            <w:r w:rsidRPr="003A5A9B">
              <w:rPr>
                <w:rFonts w:ascii="Arial Narrow" w:hAnsi="Arial Narrow"/>
                <w:b/>
                <w:bCs/>
                <w:sz w:val="16"/>
                <w:szCs w:val="16"/>
              </w:rPr>
              <w:t>Υπουργείο Περιβάλλοντος και Ενέργειας</w:t>
            </w:r>
          </w:p>
        </w:tc>
        <w:tc>
          <w:tcPr>
            <w:tcW w:w="1701"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223</w:t>
            </w:r>
          </w:p>
        </w:tc>
        <w:tc>
          <w:tcPr>
            <w:tcW w:w="1559"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158</w:t>
            </w:r>
          </w:p>
        </w:tc>
      </w:tr>
      <w:tr w:rsidR="003625C5" w:rsidRPr="003A5A9B"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3625C5" w:rsidP="003625C5">
            <w:pPr>
              <w:rPr>
                <w:rFonts w:ascii="Arial Narrow" w:hAnsi="Arial Narrow"/>
                <w:i/>
                <w:iCs/>
                <w:sz w:val="16"/>
                <w:szCs w:val="16"/>
              </w:rPr>
            </w:pPr>
            <w:r w:rsidRPr="003A5A9B">
              <w:rPr>
                <w:rFonts w:ascii="Arial Narrow" w:hAnsi="Arial Narrow"/>
                <w:i/>
                <w:iCs/>
                <w:sz w:val="16"/>
                <w:szCs w:val="16"/>
              </w:rPr>
              <w:t>Ισοζύγιο</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223</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158</w:t>
            </w:r>
          </w:p>
        </w:tc>
      </w:tr>
      <w:tr w:rsidR="003625C5" w:rsidRPr="00071BE6"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267240" w:rsidP="003625C5">
            <w:pPr>
              <w:rPr>
                <w:rFonts w:ascii="Arial Narrow" w:hAnsi="Arial Narrow"/>
                <w:i/>
                <w:iCs/>
                <w:sz w:val="16"/>
                <w:szCs w:val="16"/>
              </w:rPr>
            </w:pPr>
            <w:r>
              <w:rPr>
                <w:rFonts w:ascii="Arial Narrow" w:hAnsi="Arial Narrow"/>
                <w:i/>
                <w:iCs/>
                <w:sz w:val="16"/>
                <w:szCs w:val="16"/>
              </w:rPr>
              <w:t>Έσοδα από καταπτώσεις εγγυήσεων</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r>
      <w:tr w:rsidR="003625C5" w:rsidRPr="003A5A9B" w:rsidTr="003625C5">
        <w:trPr>
          <w:trHeight w:val="170"/>
          <w:jc w:val="center"/>
        </w:trPr>
        <w:tc>
          <w:tcPr>
            <w:tcW w:w="462" w:type="dxa"/>
            <w:shd w:val="clear" w:color="auto" w:fill="A6A6A6" w:themeFill="background1" w:themeFillShade="A6"/>
            <w:hideMark/>
          </w:tcPr>
          <w:p w:rsidR="003625C5" w:rsidRPr="003A5A9B" w:rsidRDefault="003625C5" w:rsidP="003625C5">
            <w:pPr>
              <w:jc w:val="center"/>
              <w:rPr>
                <w:rFonts w:ascii="Arial Narrow" w:hAnsi="Arial Narrow" w:cs="Segoe UI"/>
                <w:b/>
                <w:bCs/>
                <w:sz w:val="16"/>
                <w:szCs w:val="16"/>
              </w:rPr>
            </w:pPr>
            <w:r w:rsidRPr="003A5A9B">
              <w:rPr>
                <w:rFonts w:ascii="Arial Narrow" w:hAnsi="Arial Narrow" w:cs="Segoe UI"/>
                <w:b/>
                <w:bCs/>
                <w:sz w:val="16"/>
                <w:szCs w:val="16"/>
              </w:rPr>
              <w:t>8</w:t>
            </w:r>
          </w:p>
        </w:tc>
        <w:tc>
          <w:tcPr>
            <w:tcW w:w="4788" w:type="dxa"/>
            <w:shd w:val="clear" w:color="auto" w:fill="A6A6A6" w:themeFill="background1" w:themeFillShade="A6"/>
            <w:vAlign w:val="center"/>
            <w:hideMark/>
          </w:tcPr>
          <w:p w:rsidR="003625C5" w:rsidRPr="003A5A9B" w:rsidRDefault="003625C5" w:rsidP="003625C5">
            <w:pPr>
              <w:rPr>
                <w:rFonts w:ascii="Arial Narrow" w:hAnsi="Arial Narrow"/>
                <w:b/>
                <w:bCs/>
                <w:sz w:val="16"/>
                <w:szCs w:val="16"/>
              </w:rPr>
            </w:pPr>
            <w:r w:rsidRPr="003A5A9B">
              <w:rPr>
                <w:rFonts w:ascii="Arial Narrow" w:hAnsi="Arial Narrow"/>
                <w:b/>
                <w:bCs/>
                <w:sz w:val="16"/>
                <w:szCs w:val="16"/>
              </w:rPr>
              <w:t>Υπουργείο Υποδομών και Μεταφορών</w:t>
            </w:r>
          </w:p>
        </w:tc>
        <w:tc>
          <w:tcPr>
            <w:tcW w:w="1701"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131</w:t>
            </w:r>
          </w:p>
        </w:tc>
        <w:tc>
          <w:tcPr>
            <w:tcW w:w="1559"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484</w:t>
            </w:r>
          </w:p>
        </w:tc>
      </w:tr>
      <w:tr w:rsidR="003625C5" w:rsidRPr="003A5A9B"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3625C5" w:rsidP="003625C5">
            <w:pPr>
              <w:rPr>
                <w:rFonts w:ascii="Arial Narrow" w:hAnsi="Arial Narrow"/>
                <w:i/>
                <w:iCs/>
                <w:sz w:val="16"/>
                <w:szCs w:val="16"/>
              </w:rPr>
            </w:pPr>
            <w:r w:rsidRPr="003A5A9B">
              <w:rPr>
                <w:rFonts w:ascii="Arial Narrow" w:hAnsi="Arial Narrow"/>
                <w:i/>
                <w:iCs/>
                <w:sz w:val="16"/>
                <w:szCs w:val="16"/>
              </w:rPr>
              <w:t>Ισοζύγιο</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-614</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-332</w:t>
            </w:r>
          </w:p>
        </w:tc>
      </w:tr>
      <w:tr w:rsidR="003625C5" w:rsidRPr="00071BE6"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267240" w:rsidP="003625C5">
            <w:pPr>
              <w:rPr>
                <w:rFonts w:ascii="Arial Narrow" w:hAnsi="Arial Narrow"/>
                <w:i/>
                <w:iCs/>
                <w:sz w:val="16"/>
                <w:szCs w:val="16"/>
              </w:rPr>
            </w:pPr>
            <w:r>
              <w:rPr>
                <w:rFonts w:ascii="Arial Narrow" w:hAnsi="Arial Narrow"/>
                <w:i/>
                <w:iCs/>
                <w:sz w:val="16"/>
                <w:szCs w:val="16"/>
              </w:rPr>
              <w:t>Έσοδα από καταπτώσεις εγγυήσεων</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744</w:t>
            </w:r>
          </w:p>
        </w:tc>
        <w:tc>
          <w:tcPr>
            <w:tcW w:w="1559" w:type="dxa"/>
            <w:shd w:val="clear" w:color="auto" w:fill="auto"/>
            <w:vAlign w:val="center"/>
            <w:hideMark/>
          </w:tcPr>
          <w:p w:rsidR="003625C5" w:rsidRPr="003A5A9B" w:rsidRDefault="00853496" w:rsidP="003625C5">
            <w:pPr>
              <w:ind w:right="589"/>
              <w:jc w:val="right"/>
              <w:rPr>
                <w:rFonts w:ascii="Arial Narrow" w:hAnsi="Arial Narrow"/>
                <w:i/>
                <w:iCs/>
                <w:sz w:val="16"/>
                <w:szCs w:val="16"/>
              </w:rPr>
            </w:pPr>
            <w:r>
              <w:rPr>
                <w:rFonts w:ascii="Arial Narrow" w:hAnsi="Arial Narrow"/>
                <w:i/>
                <w:iCs/>
                <w:sz w:val="16"/>
                <w:szCs w:val="16"/>
              </w:rPr>
              <w:t>816</w:t>
            </w:r>
          </w:p>
        </w:tc>
      </w:tr>
      <w:tr w:rsidR="003625C5" w:rsidRPr="003A5A9B" w:rsidTr="003625C5">
        <w:trPr>
          <w:trHeight w:val="170"/>
          <w:jc w:val="center"/>
        </w:trPr>
        <w:tc>
          <w:tcPr>
            <w:tcW w:w="462" w:type="dxa"/>
            <w:shd w:val="clear" w:color="auto" w:fill="A6A6A6" w:themeFill="background1" w:themeFillShade="A6"/>
            <w:hideMark/>
          </w:tcPr>
          <w:p w:rsidR="003625C5" w:rsidRPr="003A5A9B" w:rsidRDefault="003625C5" w:rsidP="003625C5">
            <w:pPr>
              <w:jc w:val="center"/>
              <w:rPr>
                <w:rFonts w:ascii="Arial Narrow" w:hAnsi="Arial Narrow" w:cs="Segoe UI"/>
                <w:b/>
                <w:bCs/>
                <w:sz w:val="16"/>
                <w:szCs w:val="16"/>
              </w:rPr>
            </w:pPr>
            <w:r w:rsidRPr="003A5A9B">
              <w:rPr>
                <w:rFonts w:ascii="Arial Narrow" w:hAnsi="Arial Narrow" w:cs="Segoe UI"/>
                <w:b/>
                <w:bCs/>
                <w:sz w:val="16"/>
                <w:szCs w:val="16"/>
              </w:rPr>
              <w:t>9</w:t>
            </w:r>
          </w:p>
        </w:tc>
        <w:tc>
          <w:tcPr>
            <w:tcW w:w="4788" w:type="dxa"/>
            <w:shd w:val="clear" w:color="auto" w:fill="A6A6A6" w:themeFill="background1" w:themeFillShade="A6"/>
            <w:vAlign w:val="center"/>
            <w:hideMark/>
          </w:tcPr>
          <w:p w:rsidR="003625C5" w:rsidRPr="003A5A9B" w:rsidRDefault="003625C5" w:rsidP="003625C5">
            <w:pPr>
              <w:rPr>
                <w:rFonts w:ascii="Arial Narrow" w:hAnsi="Arial Narrow"/>
                <w:b/>
                <w:bCs/>
                <w:sz w:val="16"/>
                <w:szCs w:val="16"/>
              </w:rPr>
            </w:pPr>
            <w:r w:rsidRPr="003A5A9B">
              <w:rPr>
                <w:rFonts w:ascii="Arial Narrow" w:hAnsi="Arial Narrow"/>
                <w:b/>
                <w:bCs/>
                <w:sz w:val="16"/>
                <w:szCs w:val="16"/>
              </w:rPr>
              <w:t>Υπουργείο Αγροτικής Ανάπτυξης και Τροφίμων</w:t>
            </w:r>
          </w:p>
        </w:tc>
        <w:tc>
          <w:tcPr>
            <w:tcW w:w="1701"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74</w:t>
            </w:r>
          </w:p>
        </w:tc>
        <w:tc>
          <w:tcPr>
            <w:tcW w:w="1559"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-39</w:t>
            </w:r>
          </w:p>
        </w:tc>
      </w:tr>
      <w:tr w:rsidR="003625C5" w:rsidRPr="003A5A9B"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3625C5" w:rsidP="003625C5">
            <w:pPr>
              <w:rPr>
                <w:rFonts w:ascii="Arial Narrow" w:hAnsi="Arial Narrow"/>
                <w:i/>
                <w:iCs/>
                <w:sz w:val="16"/>
                <w:szCs w:val="16"/>
              </w:rPr>
            </w:pPr>
            <w:r w:rsidRPr="003A5A9B">
              <w:rPr>
                <w:rFonts w:ascii="Arial Narrow" w:hAnsi="Arial Narrow"/>
                <w:i/>
                <w:iCs/>
                <w:sz w:val="16"/>
                <w:szCs w:val="16"/>
              </w:rPr>
              <w:t>Ισοζύγιο</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74</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-39</w:t>
            </w:r>
          </w:p>
        </w:tc>
      </w:tr>
      <w:tr w:rsidR="003625C5" w:rsidRPr="00071BE6"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267240" w:rsidP="003625C5">
            <w:pPr>
              <w:rPr>
                <w:rFonts w:ascii="Arial Narrow" w:hAnsi="Arial Narrow"/>
                <w:i/>
                <w:iCs/>
                <w:sz w:val="16"/>
                <w:szCs w:val="16"/>
              </w:rPr>
            </w:pPr>
            <w:r>
              <w:rPr>
                <w:rFonts w:ascii="Arial Narrow" w:hAnsi="Arial Narrow"/>
                <w:i/>
                <w:iCs/>
                <w:sz w:val="16"/>
                <w:szCs w:val="16"/>
              </w:rPr>
              <w:t>Έσοδα από καταπτώσεις εγγυήσεων</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r>
      <w:tr w:rsidR="003625C5" w:rsidRPr="003A5A9B" w:rsidTr="003625C5">
        <w:trPr>
          <w:trHeight w:val="170"/>
          <w:jc w:val="center"/>
        </w:trPr>
        <w:tc>
          <w:tcPr>
            <w:tcW w:w="462" w:type="dxa"/>
            <w:shd w:val="clear" w:color="auto" w:fill="A6A6A6" w:themeFill="background1" w:themeFillShade="A6"/>
            <w:hideMark/>
          </w:tcPr>
          <w:p w:rsidR="003625C5" w:rsidRPr="003A5A9B" w:rsidRDefault="003625C5" w:rsidP="003625C5">
            <w:pPr>
              <w:jc w:val="center"/>
              <w:rPr>
                <w:rFonts w:ascii="Arial Narrow" w:hAnsi="Arial Narrow" w:cs="Segoe UI"/>
                <w:b/>
                <w:bCs/>
                <w:sz w:val="16"/>
                <w:szCs w:val="16"/>
              </w:rPr>
            </w:pPr>
            <w:r w:rsidRPr="003A5A9B">
              <w:rPr>
                <w:rFonts w:ascii="Arial Narrow" w:hAnsi="Arial Narrow" w:cs="Segoe UI"/>
                <w:b/>
                <w:bCs/>
                <w:sz w:val="16"/>
                <w:szCs w:val="16"/>
              </w:rPr>
              <w:t>10</w:t>
            </w:r>
          </w:p>
        </w:tc>
        <w:tc>
          <w:tcPr>
            <w:tcW w:w="4788" w:type="dxa"/>
            <w:shd w:val="clear" w:color="auto" w:fill="A6A6A6" w:themeFill="background1" w:themeFillShade="A6"/>
            <w:vAlign w:val="center"/>
            <w:hideMark/>
          </w:tcPr>
          <w:p w:rsidR="003625C5" w:rsidRPr="003A5A9B" w:rsidRDefault="003625C5" w:rsidP="003625C5">
            <w:pPr>
              <w:rPr>
                <w:rFonts w:ascii="Arial Narrow" w:hAnsi="Arial Narrow"/>
                <w:b/>
                <w:bCs/>
                <w:sz w:val="16"/>
                <w:szCs w:val="16"/>
              </w:rPr>
            </w:pPr>
            <w:r w:rsidRPr="003A5A9B">
              <w:rPr>
                <w:rFonts w:ascii="Arial Narrow" w:hAnsi="Arial Narrow"/>
                <w:b/>
                <w:bCs/>
                <w:sz w:val="16"/>
                <w:szCs w:val="16"/>
              </w:rPr>
              <w:t>Υπουργείο Τουρισμού</w:t>
            </w:r>
          </w:p>
        </w:tc>
        <w:tc>
          <w:tcPr>
            <w:tcW w:w="1701"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12</w:t>
            </w:r>
          </w:p>
        </w:tc>
        <w:tc>
          <w:tcPr>
            <w:tcW w:w="1559"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2</w:t>
            </w:r>
          </w:p>
        </w:tc>
      </w:tr>
      <w:tr w:rsidR="003625C5" w:rsidRPr="003A5A9B"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3625C5" w:rsidP="003625C5">
            <w:pPr>
              <w:rPr>
                <w:rFonts w:ascii="Arial Narrow" w:hAnsi="Arial Narrow"/>
                <w:i/>
                <w:iCs/>
                <w:sz w:val="16"/>
                <w:szCs w:val="16"/>
              </w:rPr>
            </w:pPr>
            <w:r w:rsidRPr="003A5A9B">
              <w:rPr>
                <w:rFonts w:ascii="Arial Narrow" w:hAnsi="Arial Narrow"/>
                <w:i/>
                <w:iCs/>
                <w:sz w:val="16"/>
                <w:szCs w:val="16"/>
              </w:rPr>
              <w:t>Ισοζύγιο</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12</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2</w:t>
            </w:r>
          </w:p>
        </w:tc>
      </w:tr>
      <w:tr w:rsidR="003625C5" w:rsidRPr="00071BE6" w:rsidTr="003625C5">
        <w:trPr>
          <w:trHeight w:val="170"/>
          <w:jc w:val="center"/>
        </w:trPr>
        <w:tc>
          <w:tcPr>
            <w:tcW w:w="462" w:type="dxa"/>
            <w:shd w:val="clear" w:color="auto" w:fill="auto"/>
            <w:hideMark/>
          </w:tcPr>
          <w:p w:rsidR="003625C5" w:rsidRPr="003A5A9B" w:rsidRDefault="003625C5" w:rsidP="003625C5">
            <w:pPr>
              <w:jc w:val="center"/>
              <w:rPr>
                <w:rFonts w:ascii="Arial Narrow" w:hAnsi="Arial Narrow" w:cs="Segoe UI"/>
                <w:i/>
                <w:iCs/>
                <w:sz w:val="16"/>
                <w:szCs w:val="16"/>
              </w:rPr>
            </w:pPr>
          </w:p>
        </w:tc>
        <w:tc>
          <w:tcPr>
            <w:tcW w:w="4788" w:type="dxa"/>
            <w:shd w:val="clear" w:color="auto" w:fill="auto"/>
            <w:vAlign w:val="center"/>
            <w:hideMark/>
          </w:tcPr>
          <w:p w:rsidR="003625C5" w:rsidRPr="003A5A9B" w:rsidRDefault="00267240" w:rsidP="003625C5">
            <w:pPr>
              <w:rPr>
                <w:rFonts w:ascii="Arial Narrow" w:hAnsi="Arial Narrow"/>
                <w:i/>
                <w:iCs/>
                <w:sz w:val="16"/>
                <w:szCs w:val="16"/>
              </w:rPr>
            </w:pPr>
            <w:r>
              <w:rPr>
                <w:rFonts w:ascii="Arial Narrow" w:hAnsi="Arial Narrow"/>
                <w:i/>
                <w:iCs/>
                <w:sz w:val="16"/>
                <w:szCs w:val="16"/>
              </w:rPr>
              <w:t>Έσοδα από καταπτώσεις εγγυήσεων</w:t>
            </w:r>
          </w:p>
        </w:tc>
        <w:tc>
          <w:tcPr>
            <w:tcW w:w="1701"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c>
          <w:tcPr>
            <w:tcW w:w="1559" w:type="dxa"/>
            <w:shd w:val="clear" w:color="auto" w:fill="auto"/>
            <w:vAlign w:val="center"/>
            <w:hideMark/>
          </w:tcPr>
          <w:p w:rsidR="003625C5" w:rsidRPr="003A5A9B" w:rsidRDefault="003625C5" w:rsidP="003625C5">
            <w:pPr>
              <w:ind w:right="589"/>
              <w:jc w:val="right"/>
              <w:rPr>
                <w:rFonts w:ascii="Arial Narrow" w:hAnsi="Arial Narrow"/>
                <w:i/>
                <w:iCs/>
                <w:sz w:val="16"/>
                <w:szCs w:val="16"/>
              </w:rPr>
            </w:pPr>
            <w:r w:rsidRPr="003A5A9B">
              <w:rPr>
                <w:rFonts w:ascii="Arial Narrow" w:hAnsi="Arial Narrow"/>
                <w:i/>
                <w:iCs/>
                <w:sz w:val="16"/>
                <w:szCs w:val="16"/>
              </w:rPr>
              <w:t>0</w:t>
            </w:r>
          </w:p>
        </w:tc>
      </w:tr>
      <w:tr w:rsidR="003625C5" w:rsidRPr="003A5A9B" w:rsidTr="003625C5">
        <w:trPr>
          <w:trHeight w:val="170"/>
          <w:jc w:val="center"/>
        </w:trPr>
        <w:tc>
          <w:tcPr>
            <w:tcW w:w="462" w:type="dxa"/>
            <w:shd w:val="clear" w:color="auto" w:fill="A6A6A6" w:themeFill="background1" w:themeFillShade="A6"/>
            <w:hideMark/>
          </w:tcPr>
          <w:p w:rsidR="003625C5" w:rsidRPr="003A5A9B" w:rsidRDefault="003625C5" w:rsidP="003625C5">
            <w:pPr>
              <w:spacing w:before="60" w:after="60"/>
              <w:jc w:val="center"/>
              <w:rPr>
                <w:rFonts w:ascii="Arial Narrow" w:hAnsi="Arial Narrow" w:cs="Segoe UI"/>
                <w:b/>
                <w:bCs/>
                <w:sz w:val="16"/>
                <w:szCs w:val="16"/>
              </w:rPr>
            </w:pPr>
          </w:p>
        </w:tc>
        <w:tc>
          <w:tcPr>
            <w:tcW w:w="4788" w:type="dxa"/>
            <w:shd w:val="clear" w:color="auto" w:fill="A6A6A6" w:themeFill="background1" w:themeFillShade="A6"/>
            <w:vAlign w:val="center"/>
            <w:hideMark/>
          </w:tcPr>
          <w:p w:rsidR="003625C5" w:rsidRPr="003A5A9B" w:rsidRDefault="003625C5" w:rsidP="007F3919">
            <w:pPr>
              <w:rPr>
                <w:rFonts w:ascii="Arial Narrow" w:hAnsi="Arial Narrow"/>
                <w:b/>
                <w:bCs/>
                <w:sz w:val="16"/>
                <w:szCs w:val="16"/>
              </w:rPr>
            </w:pPr>
            <w:r w:rsidRPr="003A5A9B">
              <w:rPr>
                <w:rFonts w:ascii="Arial Narrow" w:hAnsi="Arial Narrow"/>
                <w:b/>
                <w:bCs/>
                <w:sz w:val="16"/>
                <w:szCs w:val="16"/>
              </w:rPr>
              <w:t xml:space="preserve">Σύνολο </w:t>
            </w:r>
            <w:r w:rsidR="007F3919">
              <w:rPr>
                <w:rFonts w:ascii="Arial Narrow" w:hAnsi="Arial Narrow"/>
                <w:b/>
                <w:bCs/>
                <w:sz w:val="16"/>
                <w:szCs w:val="16"/>
              </w:rPr>
              <w:t>ΔΕΚΟ</w:t>
            </w:r>
            <w:r w:rsidRPr="003A5A9B">
              <w:rPr>
                <w:rFonts w:ascii="Arial Narrow" w:hAnsi="Arial Narrow"/>
                <w:b/>
                <w:bCs/>
                <w:sz w:val="16"/>
                <w:szCs w:val="16"/>
              </w:rPr>
              <w:t xml:space="preserve"> κατά ESA</w:t>
            </w:r>
          </w:p>
        </w:tc>
        <w:tc>
          <w:tcPr>
            <w:tcW w:w="1701"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53</w:t>
            </w:r>
            <w:r w:rsidR="0075243E">
              <w:rPr>
                <w:rFonts w:ascii="Arial Narrow" w:hAnsi="Arial Narrow"/>
                <w:b/>
                <w:bCs/>
                <w:color w:val="000000"/>
                <w:sz w:val="16"/>
                <w:szCs w:val="16"/>
              </w:rPr>
              <w:t>0</w:t>
            </w:r>
          </w:p>
        </w:tc>
        <w:tc>
          <w:tcPr>
            <w:tcW w:w="1559"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766</w:t>
            </w:r>
          </w:p>
        </w:tc>
      </w:tr>
      <w:tr w:rsidR="003625C5" w:rsidRPr="003A5A9B" w:rsidTr="003625C5">
        <w:trPr>
          <w:trHeight w:val="170"/>
          <w:jc w:val="center"/>
        </w:trPr>
        <w:tc>
          <w:tcPr>
            <w:tcW w:w="462" w:type="dxa"/>
            <w:shd w:val="clear" w:color="auto" w:fill="A6A6A6" w:themeFill="background1" w:themeFillShade="A6"/>
            <w:hideMark/>
          </w:tcPr>
          <w:p w:rsidR="003625C5" w:rsidRPr="003A5A9B" w:rsidRDefault="003625C5" w:rsidP="003625C5">
            <w:pPr>
              <w:spacing w:before="60" w:after="60"/>
              <w:jc w:val="center"/>
              <w:rPr>
                <w:rFonts w:ascii="Arial Narrow" w:hAnsi="Arial Narrow" w:cs="Segoe UI"/>
                <w:b/>
                <w:bCs/>
                <w:sz w:val="16"/>
                <w:szCs w:val="16"/>
              </w:rPr>
            </w:pPr>
          </w:p>
        </w:tc>
        <w:tc>
          <w:tcPr>
            <w:tcW w:w="4788" w:type="dxa"/>
            <w:shd w:val="clear" w:color="auto" w:fill="A6A6A6" w:themeFill="background1" w:themeFillShade="A6"/>
            <w:vAlign w:val="center"/>
            <w:hideMark/>
          </w:tcPr>
          <w:p w:rsidR="003625C5" w:rsidRPr="003A5A9B" w:rsidRDefault="003625C5" w:rsidP="003625C5">
            <w:pPr>
              <w:rPr>
                <w:rFonts w:ascii="Arial Narrow" w:hAnsi="Arial Narrow"/>
                <w:b/>
                <w:bCs/>
                <w:sz w:val="16"/>
                <w:szCs w:val="16"/>
              </w:rPr>
            </w:pPr>
            <w:r w:rsidRPr="003A5A9B">
              <w:rPr>
                <w:rFonts w:ascii="Arial Narrow" w:hAnsi="Arial Narrow"/>
                <w:b/>
                <w:bCs/>
                <w:sz w:val="16"/>
                <w:szCs w:val="16"/>
              </w:rPr>
              <w:t>Ισοζύγιο</w:t>
            </w:r>
          </w:p>
        </w:tc>
        <w:tc>
          <w:tcPr>
            <w:tcW w:w="1701"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-32</w:t>
            </w:r>
            <w:r w:rsidR="0075243E">
              <w:rPr>
                <w:rFonts w:ascii="Arial Narrow" w:hAnsi="Arial Narrow"/>
                <w:b/>
                <w:bCs/>
                <w:color w:val="000000"/>
                <w:sz w:val="16"/>
                <w:szCs w:val="16"/>
              </w:rPr>
              <w:t>5</w:t>
            </w:r>
          </w:p>
        </w:tc>
        <w:tc>
          <w:tcPr>
            <w:tcW w:w="1559"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-161</w:t>
            </w:r>
          </w:p>
        </w:tc>
      </w:tr>
      <w:tr w:rsidR="003625C5" w:rsidRPr="00961785" w:rsidTr="003625C5">
        <w:trPr>
          <w:trHeight w:val="170"/>
          <w:jc w:val="center"/>
        </w:trPr>
        <w:tc>
          <w:tcPr>
            <w:tcW w:w="462" w:type="dxa"/>
            <w:shd w:val="clear" w:color="auto" w:fill="A6A6A6" w:themeFill="background1" w:themeFillShade="A6"/>
            <w:hideMark/>
          </w:tcPr>
          <w:p w:rsidR="003625C5" w:rsidRPr="003A5A9B" w:rsidRDefault="003625C5" w:rsidP="003625C5">
            <w:pPr>
              <w:spacing w:before="60" w:after="60"/>
              <w:jc w:val="center"/>
              <w:rPr>
                <w:rFonts w:ascii="Arial Narrow" w:hAnsi="Arial Narrow" w:cs="Segoe UI"/>
                <w:iCs/>
                <w:sz w:val="16"/>
                <w:szCs w:val="16"/>
              </w:rPr>
            </w:pPr>
          </w:p>
        </w:tc>
        <w:tc>
          <w:tcPr>
            <w:tcW w:w="4788" w:type="dxa"/>
            <w:shd w:val="clear" w:color="auto" w:fill="A6A6A6" w:themeFill="background1" w:themeFillShade="A6"/>
            <w:vAlign w:val="center"/>
            <w:hideMark/>
          </w:tcPr>
          <w:p w:rsidR="003625C5" w:rsidRPr="003A5A9B" w:rsidRDefault="00267240" w:rsidP="003625C5">
            <w:pPr>
              <w:rPr>
                <w:rFonts w:ascii="Arial Narrow" w:hAnsi="Arial Narrow"/>
                <w:b/>
                <w:bCs/>
                <w:sz w:val="16"/>
                <w:szCs w:val="16"/>
              </w:rPr>
            </w:pPr>
            <w:r>
              <w:rPr>
                <w:rFonts w:ascii="Arial Narrow" w:hAnsi="Arial Narrow"/>
                <w:b/>
                <w:bCs/>
                <w:sz w:val="16"/>
                <w:szCs w:val="16"/>
              </w:rPr>
              <w:t>Έσοδα από καταπτώσεις εγγυήσεων</w:t>
            </w:r>
          </w:p>
        </w:tc>
        <w:tc>
          <w:tcPr>
            <w:tcW w:w="1701" w:type="dxa"/>
            <w:shd w:val="clear" w:color="auto" w:fill="A6A6A6" w:themeFill="background1" w:themeFillShade="A6"/>
            <w:vAlign w:val="center"/>
            <w:hideMark/>
          </w:tcPr>
          <w:p w:rsidR="003625C5" w:rsidRPr="003A5A9B"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85</w:t>
            </w:r>
            <w:r w:rsidR="00793ECE">
              <w:rPr>
                <w:rFonts w:ascii="Arial Narrow" w:hAnsi="Arial Narrow"/>
                <w:b/>
                <w:bCs/>
                <w:color w:val="000000"/>
                <w:sz w:val="16"/>
                <w:szCs w:val="16"/>
              </w:rPr>
              <w:t>5</w:t>
            </w:r>
          </w:p>
        </w:tc>
        <w:tc>
          <w:tcPr>
            <w:tcW w:w="1559" w:type="dxa"/>
            <w:shd w:val="clear" w:color="auto" w:fill="A6A6A6" w:themeFill="background1" w:themeFillShade="A6"/>
            <w:vAlign w:val="center"/>
            <w:hideMark/>
          </w:tcPr>
          <w:p w:rsidR="003625C5" w:rsidRDefault="003625C5" w:rsidP="003625C5">
            <w:pPr>
              <w:ind w:right="589"/>
              <w:jc w:val="right"/>
              <w:rPr>
                <w:rFonts w:ascii="Arial Narrow" w:hAnsi="Arial Narrow"/>
                <w:b/>
                <w:bCs/>
                <w:color w:val="000000"/>
                <w:sz w:val="16"/>
                <w:szCs w:val="16"/>
              </w:rPr>
            </w:pPr>
            <w:r w:rsidRPr="003A5A9B">
              <w:rPr>
                <w:rFonts w:ascii="Arial Narrow" w:hAnsi="Arial Narrow"/>
                <w:b/>
                <w:bCs/>
                <w:color w:val="000000"/>
                <w:sz w:val="16"/>
                <w:szCs w:val="16"/>
              </w:rPr>
              <w:t>927</w:t>
            </w:r>
          </w:p>
        </w:tc>
      </w:tr>
    </w:tbl>
    <w:p w:rsidR="003625C5" w:rsidRDefault="003625C5" w:rsidP="003625C5">
      <w:pPr>
        <w:rPr>
          <w:sz w:val="22"/>
        </w:rPr>
      </w:pPr>
    </w:p>
    <w:p w:rsidR="003625C5" w:rsidRDefault="003625C5">
      <w:pPr>
        <w:rPr>
          <w:sz w:val="22"/>
        </w:rPr>
      </w:pPr>
    </w:p>
    <w:p w:rsidR="009E495E" w:rsidRPr="002D063C" w:rsidRDefault="009E495E" w:rsidP="009E495E">
      <w:pPr>
        <w:jc w:val="both"/>
        <w:rPr>
          <w:sz w:val="22"/>
          <w:szCs w:val="22"/>
        </w:rPr>
      </w:pPr>
      <w:r w:rsidRPr="002D063C">
        <w:rPr>
          <w:sz w:val="22"/>
          <w:szCs w:val="22"/>
        </w:rPr>
        <w:t xml:space="preserve">Όπως προκύπτει από τα στοιχεία του ανωτέρω </w:t>
      </w:r>
      <w:r w:rsidRPr="00915302">
        <w:rPr>
          <w:sz w:val="22"/>
          <w:szCs w:val="22"/>
        </w:rPr>
        <w:t xml:space="preserve">πίνακα </w:t>
      </w:r>
      <w:r w:rsidR="00446090" w:rsidRPr="00915302">
        <w:rPr>
          <w:sz w:val="22"/>
          <w:szCs w:val="22"/>
        </w:rPr>
        <w:t>3.28</w:t>
      </w:r>
      <w:r w:rsidRPr="002D063C">
        <w:rPr>
          <w:sz w:val="22"/>
          <w:szCs w:val="22"/>
        </w:rPr>
        <w:t>, το ισοζύγιο των ΔΕΚΟ, προβλέπεται σε πλεόνασμα ύψους 766 εκατ. ευρώ στο 201</w:t>
      </w:r>
      <w:r w:rsidR="00433662">
        <w:rPr>
          <w:sz w:val="22"/>
          <w:szCs w:val="22"/>
        </w:rPr>
        <w:t>8, έναντι πλεονάσματος ύψους 53</w:t>
      </w:r>
      <w:r w:rsidR="008D4BC1">
        <w:rPr>
          <w:sz w:val="22"/>
          <w:szCs w:val="22"/>
        </w:rPr>
        <w:t>0</w:t>
      </w:r>
      <w:r w:rsidRPr="002D063C">
        <w:rPr>
          <w:sz w:val="22"/>
          <w:szCs w:val="22"/>
        </w:rPr>
        <w:t xml:space="preserve"> εκατ. ευρώ των εκτιμ</w:t>
      </w:r>
      <w:r w:rsidRPr="002D063C">
        <w:rPr>
          <w:sz w:val="22"/>
          <w:szCs w:val="22"/>
        </w:rPr>
        <w:t>ή</w:t>
      </w:r>
      <w:r w:rsidRPr="002D063C">
        <w:rPr>
          <w:sz w:val="22"/>
          <w:szCs w:val="22"/>
        </w:rPr>
        <w:t xml:space="preserve">σεων του έτους 2017. </w:t>
      </w:r>
    </w:p>
    <w:p w:rsidR="009E495E" w:rsidRDefault="009E495E" w:rsidP="009E495E">
      <w:pPr>
        <w:jc w:val="both"/>
        <w:rPr>
          <w:sz w:val="22"/>
          <w:szCs w:val="22"/>
        </w:rPr>
      </w:pPr>
    </w:p>
    <w:p w:rsidR="009E495E" w:rsidRPr="002D063C" w:rsidRDefault="009E495E" w:rsidP="009E495E">
      <w:pPr>
        <w:jc w:val="both"/>
        <w:rPr>
          <w:sz w:val="22"/>
          <w:szCs w:val="22"/>
        </w:rPr>
      </w:pPr>
      <w:r w:rsidRPr="002D063C">
        <w:rPr>
          <w:sz w:val="22"/>
          <w:szCs w:val="22"/>
        </w:rPr>
        <w:t>Κύρια</w:t>
      </w:r>
      <w:r w:rsidR="007A2E74">
        <w:rPr>
          <w:sz w:val="22"/>
          <w:szCs w:val="22"/>
        </w:rPr>
        <w:t xml:space="preserve"> πηγή εσόδων των ανωτέρω φορέων</w:t>
      </w:r>
      <w:r w:rsidRPr="002D063C">
        <w:rPr>
          <w:sz w:val="22"/>
          <w:szCs w:val="22"/>
        </w:rPr>
        <w:t xml:space="preserve"> αποτελούν τα έσοδα από πωλήσεις υπηρεσιών και δευτ</w:t>
      </w:r>
      <w:r w:rsidRPr="002D063C">
        <w:rPr>
          <w:sz w:val="22"/>
          <w:szCs w:val="22"/>
        </w:rPr>
        <w:t>ε</w:t>
      </w:r>
      <w:r w:rsidR="00433662">
        <w:rPr>
          <w:sz w:val="22"/>
          <w:szCs w:val="22"/>
        </w:rPr>
        <w:t>ρευόντως</w:t>
      </w:r>
      <w:r w:rsidRPr="002D063C">
        <w:rPr>
          <w:sz w:val="22"/>
          <w:szCs w:val="22"/>
        </w:rPr>
        <w:t xml:space="preserve"> οι επιχορηγήσεις του ΠΔΕ για την υλοποίηση επενδυτικών δαπανών, ιδιαίτερα στους τομείς των μεταφορών, των υποδομών, της πληροφορικής, των επικοινωνιών και των νέων τεχνολογιών.</w:t>
      </w:r>
    </w:p>
    <w:p w:rsidR="009E495E" w:rsidRPr="002D063C" w:rsidRDefault="009E495E" w:rsidP="009E495E">
      <w:pPr>
        <w:jc w:val="both"/>
        <w:rPr>
          <w:sz w:val="22"/>
          <w:szCs w:val="22"/>
        </w:rPr>
      </w:pPr>
    </w:p>
    <w:p w:rsidR="009E495E" w:rsidRPr="002D063C" w:rsidRDefault="009E495E" w:rsidP="009E495E">
      <w:pPr>
        <w:jc w:val="both"/>
        <w:rPr>
          <w:sz w:val="22"/>
          <w:szCs w:val="22"/>
        </w:rPr>
      </w:pPr>
      <w:r w:rsidRPr="002D063C">
        <w:rPr>
          <w:sz w:val="22"/>
          <w:szCs w:val="22"/>
        </w:rPr>
        <w:t>Η ανάλυση των ΔΕΚΟ ανά Υπουργείο, έχει ως εξής:</w:t>
      </w:r>
    </w:p>
    <w:p w:rsidR="009E495E" w:rsidRPr="002D063C" w:rsidRDefault="009E495E" w:rsidP="009E495E">
      <w:pPr>
        <w:ind w:left="284"/>
        <w:jc w:val="both"/>
        <w:rPr>
          <w:sz w:val="22"/>
          <w:szCs w:val="22"/>
        </w:rPr>
      </w:pPr>
    </w:p>
    <w:p w:rsidR="009E495E" w:rsidRPr="002D063C" w:rsidRDefault="009E495E" w:rsidP="009E495E">
      <w:pPr>
        <w:numPr>
          <w:ilvl w:val="0"/>
          <w:numId w:val="16"/>
        </w:numPr>
        <w:ind w:left="284" w:hanging="284"/>
        <w:jc w:val="both"/>
        <w:rPr>
          <w:sz w:val="22"/>
          <w:szCs w:val="22"/>
        </w:rPr>
      </w:pPr>
      <w:r w:rsidRPr="002D063C">
        <w:rPr>
          <w:sz w:val="22"/>
          <w:szCs w:val="22"/>
        </w:rPr>
        <w:t>Στο Υπουργείο Οικονομίας και Ανάπτυξης περιλαμβάνεται η Μονάδα Οργάνωσης της Διαχείρισης Αναπτυξιακών Προγραμμάτων ΑΕ (ΜΟΔ ΑΕ), με αποστολή τη στήριξη και ενίσχυση της Δημ</w:t>
      </w:r>
      <w:r w:rsidRPr="002D063C">
        <w:rPr>
          <w:sz w:val="22"/>
          <w:szCs w:val="22"/>
        </w:rPr>
        <w:t>ό</w:t>
      </w:r>
      <w:r w:rsidRPr="002D063C">
        <w:rPr>
          <w:sz w:val="22"/>
          <w:szCs w:val="22"/>
        </w:rPr>
        <w:t>σιας Διοίκησης για την αποτελεσματική διαχείριση και εφαρμογή των συγχρηματοδοτούμενων από την Ευρωπαϊκή Ένωση Επιχειρησιακών Προγραμμάτων, καλύπτοντας κυρίως, ανάγκες σε εξειδ</w:t>
      </w:r>
      <w:r w:rsidRPr="002D063C">
        <w:rPr>
          <w:sz w:val="22"/>
          <w:szCs w:val="22"/>
        </w:rPr>
        <w:t>ι</w:t>
      </w:r>
      <w:r w:rsidRPr="002D063C">
        <w:rPr>
          <w:sz w:val="22"/>
          <w:szCs w:val="22"/>
        </w:rPr>
        <w:t>κευμένο ανθρώπινο δυναμικό, συστήματα, εργαλεία και διαδικασίες, μεταφορά τεχνογνωσίας και υλικοτεχνική υποδομή.</w:t>
      </w:r>
      <w:r w:rsidR="00ED7A57">
        <w:rPr>
          <w:sz w:val="22"/>
          <w:szCs w:val="22"/>
        </w:rPr>
        <w:t xml:space="preserve"> </w:t>
      </w:r>
      <w:r w:rsidR="00433662">
        <w:rPr>
          <w:sz w:val="22"/>
          <w:szCs w:val="22"/>
        </w:rPr>
        <w:t xml:space="preserve">Ο προϋπολογισμός της </w:t>
      </w:r>
      <w:r w:rsidRPr="002D063C">
        <w:rPr>
          <w:sz w:val="22"/>
          <w:szCs w:val="22"/>
        </w:rPr>
        <w:t xml:space="preserve">ΜΟΔ ΑΕ προβλέπεται </w:t>
      </w:r>
      <w:r w:rsidR="00433662">
        <w:rPr>
          <w:sz w:val="22"/>
          <w:szCs w:val="22"/>
        </w:rPr>
        <w:t xml:space="preserve">ισοσκελισμένος </w:t>
      </w:r>
      <w:r w:rsidR="00940C18">
        <w:rPr>
          <w:sz w:val="22"/>
          <w:szCs w:val="22"/>
        </w:rPr>
        <w:t>σ</w:t>
      </w:r>
      <w:r w:rsidRPr="002D063C">
        <w:rPr>
          <w:sz w:val="22"/>
          <w:szCs w:val="22"/>
        </w:rPr>
        <w:t xml:space="preserve">το έτος 2018. </w:t>
      </w:r>
    </w:p>
    <w:p w:rsidR="009E495E" w:rsidRPr="002D063C" w:rsidRDefault="009E495E" w:rsidP="009E495E">
      <w:pPr>
        <w:ind w:left="284" w:hanging="284"/>
        <w:jc w:val="both"/>
        <w:rPr>
          <w:sz w:val="22"/>
          <w:szCs w:val="22"/>
        </w:rPr>
      </w:pPr>
    </w:p>
    <w:p w:rsidR="009E495E" w:rsidRPr="002D063C" w:rsidRDefault="009E495E" w:rsidP="009E495E">
      <w:pPr>
        <w:numPr>
          <w:ilvl w:val="0"/>
          <w:numId w:val="16"/>
        </w:numPr>
        <w:ind w:left="284" w:hanging="284"/>
        <w:jc w:val="both"/>
        <w:rPr>
          <w:i/>
          <w:sz w:val="22"/>
          <w:szCs w:val="22"/>
        </w:rPr>
      </w:pPr>
      <w:r w:rsidRPr="002D063C">
        <w:rPr>
          <w:sz w:val="22"/>
          <w:szCs w:val="22"/>
        </w:rPr>
        <w:t>Στο Υπουργείο Ψηφιακής Πολιτικής, Τηλεπικοινωνιών και Ενημέρωσης εποπτευόμενος φορέας είναι η Ελληνική Ραδιοφωνία Τηλεόραση (ΕΡΤ) ΑΕ.</w:t>
      </w:r>
      <w:r w:rsidR="00ED7A57">
        <w:rPr>
          <w:sz w:val="22"/>
          <w:szCs w:val="22"/>
        </w:rPr>
        <w:t xml:space="preserve"> </w:t>
      </w:r>
      <w:r w:rsidRPr="002D063C">
        <w:rPr>
          <w:sz w:val="22"/>
          <w:szCs w:val="22"/>
        </w:rPr>
        <w:t xml:space="preserve">Το δημοσιονομικό αποτέλεσμα της ΕΡΤ για το έτος 2018, προβλέπεται </w:t>
      </w:r>
      <w:r w:rsidR="00433662">
        <w:rPr>
          <w:sz w:val="22"/>
          <w:szCs w:val="22"/>
        </w:rPr>
        <w:t xml:space="preserve">θετικό ύψους </w:t>
      </w:r>
      <w:r w:rsidRPr="002D063C">
        <w:rPr>
          <w:sz w:val="22"/>
          <w:szCs w:val="22"/>
        </w:rPr>
        <w:t xml:space="preserve">40,0 εκατ. ευρώ, έναντι εκτιμώμενου ελλείμματος 5,0 </w:t>
      </w:r>
      <w:r w:rsidRPr="002D063C">
        <w:rPr>
          <w:sz w:val="22"/>
          <w:szCs w:val="22"/>
        </w:rPr>
        <w:t>ε</w:t>
      </w:r>
      <w:r w:rsidRPr="002D063C">
        <w:rPr>
          <w:sz w:val="22"/>
          <w:szCs w:val="22"/>
        </w:rPr>
        <w:t>κατ. ευρώ του έτους 2017.</w:t>
      </w:r>
      <w:r w:rsidR="00ED7A57">
        <w:rPr>
          <w:sz w:val="22"/>
          <w:szCs w:val="22"/>
        </w:rPr>
        <w:t xml:space="preserve"> </w:t>
      </w:r>
      <w:r w:rsidRPr="002D063C">
        <w:rPr>
          <w:sz w:val="22"/>
          <w:szCs w:val="22"/>
        </w:rPr>
        <w:t xml:space="preserve">Σημειώνεται ότι το αρνητικό αποτέλεσμα του 2017 οφείλεται στην </w:t>
      </w:r>
      <w:r w:rsidRPr="002D063C">
        <w:rPr>
          <w:sz w:val="22"/>
          <w:szCs w:val="22"/>
        </w:rPr>
        <w:t>α</w:t>
      </w:r>
      <w:r w:rsidRPr="002D063C">
        <w:rPr>
          <w:sz w:val="22"/>
          <w:szCs w:val="22"/>
        </w:rPr>
        <w:lastRenderedPageBreak/>
        <w:t xml:space="preserve">πόδοση επιπλέον μερίσματος </w:t>
      </w:r>
      <w:r w:rsidR="00433662">
        <w:rPr>
          <w:sz w:val="22"/>
          <w:szCs w:val="22"/>
        </w:rPr>
        <w:t>38,0 εκατ. ευρώ</w:t>
      </w:r>
      <w:r w:rsidRPr="002D063C">
        <w:rPr>
          <w:sz w:val="22"/>
          <w:szCs w:val="22"/>
        </w:rPr>
        <w:t xml:space="preserve"> </w:t>
      </w:r>
      <w:r w:rsidR="00433662">
        <w:rPr>
          <w:sz w:val="22"/>
          <w:szCs w:val="22"/>
        </w:rPr>
        <w:t xml:space="preserve">στο </w:t>
      </w:r>
      <w:r w:rsidRPr="002D063C">
        <w:rPr>
          <w:sz w:val="22"/>
          <w:szCs w:val="22"/>
        </w:rPr>
        <w:t>Ελληνικ</w:t>
      </w:r>
      <w:r w:rsidR="00433662">
        <w:rPr>
          <w:sz w:val="22"/>
          <w:szCs w:val="22"/>
        </w:rPr>
        <w:t>ό</w:t>
      </w:r>
      <w:r w:rsidRPr="002D063C">
        <w:rPr>
          <w:sz w:val="22"/>
          <w:szCs w:val="22"/>
        </w:rPr>
        <w:t xml:space="preserve"> Δημ</w:t>
      </w:r>
      <w:r w:rsidR="00433662">
        <w:rPr>
          <w:sz w:val="22"/>
          <w:szCs w:val="22"/>
        </w:rPr>
        <w:t>όσιο</w:t>
      </w:r>
      <w:r w:rsidRPr="002D063C">
        <w:rPr>
          <w:sz w:val="22"/>
          <w:szCs w:val="22"/>
        </w:rPr>
        <w:t>, για τις οικονομικές χρήσεις των ετών 2014 και 2015.</w:t>
      </w:r>
      <w:r w:rsidRPr="002D063C">
        <w:rPr>
          <w:b/>
          <w:sz w:val="22"/>
          <w:szCs w:val="22"/>
        </w:rPr>
        <w:t xml:space="preserve"> </w:t>
      </w:r>
    </w:p>
    <w:p w:rsidR="009E495E" w:rsidRPr="002D063C" w:rsidRDefault="009E495E" w:rsidP="009E495E">
      <w:pPr>
        <w:ind w:left="284" w:hanging="284"/>
        <w:jc w:val="both"/>
        <w:rPr>
          <w:i/>
          <w:sz w:val="22"/>
          <w:szCs w:val="22"/>
          <w:highlight w:val="yellow"/>
        </w:rPr>
      </w:pPr>
    </w:p>
    <w:p w:rsidR="009E495E" w:rsidRPr="002D063C" w:rsidRDefault="009E495E" w:rsidP="009E495E">
      <w:pPr>
        <w:numPr>
          <w:ilvl w:val="0"/>
          <w:numId w:val="16"/>
        </w:numPr>
        <w:ind w:left="284" w:hanging="284"/>
        <w:jc w:val="both"/>
        <w:rPr>
          <w:sz w:val="22"/>
          <w:szCs w:val="22"/>
        </w:rPr>
      </w:pPr>
      <w:r w:rsidRPr="002D063C">
        <w:rPr>
          <w:sz w:val="22"/>
          <w:szCs w:val="22"/>
        </w:rPr>
        <w:t>Στο Υπουργείο Εθνικής Άμυνας</w:t>
      </w:r>
      <w:r w:rsidR="00433662">
        <w:rPr>
          <w:sz w:val="22"/>
          <w:szCs w:val="22"/>
        </w:rPr>
        <w:t xml:space="preserve">, περιλαμβάνονται οι εταιρείες </w:t>
      </w:r>
      <w:r w:rsidRPr="002D063C">
        <w:rPr>
          <w:sz w:val="22"/>
          <w:szCs w:val="22"/>
        </w:rPr>
        <w:t>Ελληνικά Αμυντικά Συστήματα (</w:t>
      </w:r>
      <w:r w:rsidR="00433662">
        <w:rPr>
          <w:sz w:val="22"/>
          <w:szCs w:val="22"/>
        </w:rPr>
        <w:t>ΕΑΣ) ΑΒΕΕ και Ηλεκτρομηχανική Κύμης ΕΠΕ</w:t>
      </w:r>
      <w:r w:rsidRPr="002D063C">
        <w:rPr>
          <w:sz w:val="22"/>
          <w:szCs w:val="22"/>
        </w:rPr>
        <w:t>, η οποία έχει τεθεί σε καθεστώς ειδικής εκκαθ</w:t>
      </w:r>
      <w:r w:rsidRPr="002D063C">
        <w:rPr>
          <w:sz w:val="22"/>
          <w:szCs w:val="22"/>
        </w:rPr>
        <w:t>ά</w:t>
      </w:r>
      <w:r w:rsidRPr="002D063C">
        <w:rPr>
          <w:sz w:val="22"/>
          <w:szCs w:val="22"/>
        </w:rPr>
        <w:t>ρισης.</w:t>
      </w:r>
      <w:r w:rsidR="00ED7A57">
        <w:rPr>
          <w:sz w:val="22"/>
          <w:szCs w:val="22"/>
        </w:rPr>
        <w:t xml:space="preserve"> </w:t>
      </w:r>
      <w:r w:rsidRPr="002D063C">
        <w:rPr>
          <w:sz w:val="22"/>
          <w:szCs w:val="22"/>
        </w:rPr>
        <w:t>Το θετικό δημοσιονομικό αποτέλε</w:t>
      </w:r>
      <w:r w:rsidR="00433662">
        <w:rPr>
          <w:sz w:val="22"/>
          <w:szCs w:val="22"/>
        </w:rPr>
        <w:t>σμα προκύπτει, κυρίως, από την ΕΑΣ ΑΒΕΕ</w:t>
      </w:r>
      <w:r w:rsidRPr="002D063C">
        <w:rPr>
          <w:sz w:val="22"/>
          <w:szCs w:val="22"/>
        </w:rPr>
        <w:t xml:space="preserve"> και προβλ</w:t>
      </w:r>
      <w:r w:rsidRPr="002D063C">
        <w:rPr>
          <w:sz w:val="22"/>
          <w:szCs w:val="22"/>
        </w:rPr>
        <w:t>έ</w:t>
      </w:r>
      <w:r w:rsidRPr="002D063C">
        <w:rPr>
          <w:sz w:val="22"/>
          <w:szCs w:val="22"/>
        </w:rPr>
        <w:t xml:space="preserve">πεται να διαμορφωθεί στο ποσό των 53 εκατ. ευρώ στο έτος 2018. </w:t>
      </w:r>
    </w:p>
    <w:p w:rsidR="009E495E" w:rsidRPr="002D063C" w:rsidRDefault="009E495E" w:rsidP="009E495E">
      <w:pPr>
        <w:ind w:left="284" w:hanging="284"/>
        <w:jc w:val="both"/>
        <w:rPr>
          <w:sz w:val="22"/>
          <w:szCs w:val="22"/>
          <w:highlight w:val="yellow"/>
        </w:rPr>
      </w:pPr>
    </w:p>
    <w:p w:rsidR="009E495E" w:rsidRPr="002D063C" w:rsidRDefault="009E495E" w:rsidP="009E495E">
      <w:pPr>
        <w:numPr>
          <w:ilvl w:val="0"/>
          <w:numId w:val="16"/>
        </w:numPr>
        <w:ind w:left="284" w:hanging="284"/>
        <w:jc w:val="both"/>
        <w:rPr>
          <w:sz w:val="22"/>
          <w:szCs w:val="22"/>
        </w:rPr>
      </w:pPr>
      <w:r w:rsidRPr="002D063C">
        <w:rPr>
          <w:sz w:val="22"/>
          <w:szCs w:val="22"/>
        </w:rPr>
        <w:t>Στο Υπουργείο Οικονο</w:t>
      </w:r>
      <w:r w:rsidR="00433662">
        <w:rPr>
          <w:sz w:val="22"/>
          <w:szCs w:val="22"/>
        </w:rPr>
        <w:t xml:space="preserve">μικών, περιλαμβάνεται ο φορέας </w:t>
      </w:r>
      <w:r w:rsidRPr="002D063C">
        <w:rPr>
          <w:sz w:val="22"/>
          <w:szCs w:val="22"/>
        </w:rPr>
        <w:t>Ελληνική</w:t>
      </w:r>
      <w:r w:rsidR="00433662">
        <w:rPr>
          <w:sz w:val="22"/>
          <w:szCs w:val="22"/>
        </w:rPr>
        <w:t xml:space="preserve"> Αεροπορική Βιομηχανία (ΕΑΒ) ΑΕ</w:t>
      </w:r>
      <w:r w:rsidRPr="002D063C">
        <w:rPr>
          <w:sz w:val="22"/>
          <w:szCs w:val="22"/>
        </w:rPr>
        <w:t xml:space="preserve">, το πλεόνασμα της οποίας στο έτος 2018 προβλέπεται να διαμορφωθεί στο ποσό των 68 εκατ. ευρώ, έναντι εκτιμήσεων ύψους 30 εκατ. ευρώ του έτους 2017. </w:t>
      </w:r>
    </w:p>
    <w:p w:rsidR="009E495E" w:rsidRPr="002D063C" w:rsidRDefault="009E495E" w:rsidP="009E495E">
      <w:pPr>
        <w:ind w:left="284" w:hanging="284"/>
        <w:jc w:val="both"/>
        <w:rPr>
          <w:sz w:val="22"/>
          <w:szCs w:val="22"/>
          <w:highlight w:val="yellow"/>
        </w:rPr>
      </w:pPr>
    </w:p>
    <w:p w:rsidR="009E495E" w:rsidRPr="002D063C" w:rsidRDefault="009E495E" w:rsidP="009E495E">
      <w:pPr>
        <w:numPr>
          <w:ilvl w:val="0"/>
          <w:numId w:val="16"/>
        </w:numPr>
        <w:ind w:left="284" w:hanging="284"/>
        <w:jc w:val="both"/>
        <w:rPr>
          <w:sz w:val="22"/>
          <w:szCs w:val="22"/>
        </w:rPr>
      </w:pPr>
      <w:r w:rsidRPr="002D063C">
        <w:rPr>
          <w:sz w:val="22"/>
          <w:szCs w:val="22"/>
        </w:rPr>
        <w:t>Στο Υπουργείο Υγείας εποπ</w:t>
      </w:r>
      <w:r w:rsidR="00433662">
        <w:rPr>
          <w:sz w:val="22"/>
          <w:szCs w:val="22"/>
        </w:rPr>
        <w:t xml:space="preserve">τευόμενη ΔΕΚΟ είναι το </w:t>
      </w:r>
      <w:r w:rsidRPr="002D063C">
        <w:rPr>
          <w:sz w:val="22"/>
          <w:szCs w:val="22"/>
        </w:rPr>
        <w:t>Κέντρο Ελέγχου κ</w:t>
      </w:r>
      <w:r w:rsidR="00433662">
        <w:rPr>
          <w:sz w:val="22"/>
          <w:szCs w:val="22"/>
        </w:rPr>
        <w:t>αι Πρόληψης Νοσημάτων (ΚΕΕΛΠΝΟ)</w:t>
      </w:r>
      <w:r w:rsidRPr="002D063C">
        <w:rPr>
          <w:sz w:val="22"/>
          <w:szCs w:val="22"/>
        </w:rPr>
        <w:t>, με βασικό σκοπό την προστασία και την προαγωγή της δημόσιας υγείας, την επιδ</w:t>
      </w:r>
      <w:r w:rsidRPr="002D063C">
        <w:rPr>
          <w:sz w:val="22"/>
          <w:szCs w:val="22"/>
        </w:rPr>
        <w:t>η</w:t>
      </w:r>
      <w:r w:rsidRPr="002D063C">
        <w:rPr>
          <w:sz w:val="22"/>
          <w:szCs w:val="22"/>
        </w:rPr>
        <w:t>μιολογική επιτήρηση λοιμωδών νοσημάτων, τη λειτουργία μονάδων ειδικών λοιμώξεων, την αντ</w:t>
      </w:r>
      <w:r w:rsidRPr="002D063C">
        <w:rPr>
          <w:sz w:val="22"/>
          <w:szCs w:val="22"/>
        </w:rPr>
        <w:t>ι</w:t>
      </w:r>
      <w:r w:rsidRPr="002D063C">
        <w:rPr>
          <w:sz w:val="22"/>
          <w:szCs w:val="22"/>
        </w:rPr>
        <w:t>μετώπιση έκτακτων κινδύνων για τη δημόσια υγεία, καθώς και την υποστήριξη ειδικών και ευα</w:t>
      </w:r>
      <w:r w:rsidRPr="002D063C">
        <w:rPr>
          <w:sz w:val="22"/>
          <w:szCs w:val="22"/>
        </w:rPr>
        <w:t>ί</w:t>
      </w:r>
      <w:r w:rsidRPr="002D063C">
        <w:rPr>
          <w:sz w:val="22"/>
          <w:szCs w:val="22"/>
        </w:rPr>
        <w:t>σθητων κοινωνικών ομάδων του πληθυσμού.</w:t>
      </w:r>
      <w:r w:rsidR="00ED7A57">
        <w:rPr>
          <w:sz w:val="22"/>
          <w:szCs w:val="22"/>
        </w:rPr>
        <w:t xml:space="preserve"> </w:t>
      </w:r>
      <w:r w:rsidRPr="002D063C">
        <w:rPr>
          <w:sz w:val="22"/>
          <w:szCs w:val="22"/>
        </w:rPr>
        <w:t>Για τα έτη 2017 και 2018 τα έσοδα και τα έξοδα του ΚΕΕΛΠΝΟ αναμένεται να οδηγήσουν σε ισοσκελισμένο αποτέλεσμα.</w:t>
      </w:r>
    </w:p>
    <w:p w:rsidR="009E495E" w:rsidRPr="002D063C" w:rsidRDefault="009E495E" w:rsidP="009E495E">
      <w:pPr>
        <w:ind w:left="284" w:hanging="284"/>
        <w:jc w:val="both"/>
        <w:rPr>
          <w:sz w:val="22"/>
          <w:szCs w:val="22"/>
          <w:highlight w:val="yellow"/>
        </w:rPr>
      </w:pPr>
    </w:p>
    <w:p w:rsidR="009E495E" w:rsidRDefault="009E495E" w:rsidP="009E495E">
      <w:pPr>
        <w:numPr>
          <w:ilvl w:val="0"/>
          <w:numId w:val="16"/>
        </w:numPr>
        <w:ind w:left="284" w:hanging="284"/>
        <w:jc w:val="both"/>
        <w:rPr>
          <w:sz w:val="22"/>
          <w:szCs w:val="22"/>
        </w:rPr>
      </w:pPr>
      <w:r w:rsidRPr="002D063C">
        <w:rPr>
          <w:sz w:val="22"/>
          <w:szCs w:val="22"/>
        </w:rPr>
        <w:t>Στο Υπουργείο Διοικητικής Ανασυγκρότη</w:t>
      </w:r>
      <w:r w:rsidR="00433662">
        <w:rPr>
          <w:sz w:val="22"/>
          <w:szCs w:val="22"/>
        </w:rPr>
        <w:t xml:space="preserve">σης, εποπτευόμενη ΔΕΚΟ είναι η </w:t>
      </w:r>
      <w:r w:rsidRPr="002D063C">
        <w:rPr>
          <w:sz w:val="22"/>
          <w:szCs w:val="22"/>
        </w:rPr>
        <w:t>Κοινωνία της Πληρ</w:t>
      </w:r>
      <w:r w:rsidRPr="002D063C">
        <w:rPr>
          <w:sz w:val="22"/>
          <w:szCs w:val="22"/>
        </w:rPr>
        <w:t>ο</w:t>
      </w:r>
      <w:r w:rsidR="00433662">
        <w:rPr>
          <w:sz w:val="22"/>
          <w:szCs w:val="22"/>
        </w:rPr>
        <w:t>φορίας (ΚτΠ) ΑΕ</w:t>
      </w:r>
      <w:r w:rsidRPr="002D063C">
        <w:rPr>
          <w:sz w:val="22"/>
          <w:szCs w:val="22"/>
        </w:rPr>
        <w:t>, η οποία υλοποιεί έργα για λογαριασμό της δημόσιας διοίκησης, δράσεις κρατ</w:t>
      </w:r>
      <w:r w:rsidRPr="002D063C">
        <w:rPr>
          <w:sz w:val="22"/>
          <w:szCs w:val="22"/>
        </w:rPr>
        <w:t>ι</w:t>
      </w:r>
      <w:r w:rsidRPr="002D063C">
        <w:rPr>
          <w:sz w:val="22"/>
          <w:szCs w:val="22"/>
        </w:rPr>
        <w:t>κών ενισχύσεων και οριζόντια έργα τεχνολογιών πληροφορικής, τα οποία χρηματοδοτούνται από κοινοτικά προγράμματα, το εθνικό σκέλος του ΠΔΕ και τον τακτικό προϋπολογισμό.</w:t>
      </w:r>
      <w:r w:rsidR="00ED7A57">
        <w:rPr>
          <w:sz w:val="22"/>
          <w:szCs w:val="22"/>
        </w:rPr>
        <w:t xml:space="preserve"> </w:t>
      </w:r>
      <w:r w:rsidRPr="002D063C">
        <w:rPr>
          <w:sz w:val="22"/>
          <w:szCs w:val="22"/>
        </w:rPr>
        <w:t>Η εταιρεία παρουσιάζει ισοσκελισμένο προϋπολογισμό στα έτη 2017 και 2018.</w:t>
      </w:r>
    </w:p>
    <w:p w:rsidR="009E495E" w:rsidRPr="002D063C" w:rsidRDefault="009E495E" w:rsidP="009E495E">
      <w:pPr>
        <w:ind w:left="284"/>
        <w:jc w:val="both"/>
        <w:rPr>
          <w:sz w:val="22"/>
          <w:szCs w:val="22"/>
        </w:rPr>
      </w:pPr>
    </w:p>
    <w:p w:rsidR="009E495E" w:rsidRPr="002D063C" w:rsidRDefault="009E495E" w:rsidP="009E495E">
      <w:pPr>
        <w:numPr>
          <w:ilvl w:val="0"/>
          <w:numId w:val="16"/>
        </w:numPr>
        <w:ind w:left="284"/>
        <w:jc w:val="both"/>
        <w:rPr>
          <w:sz w:val="22"/>
          <w:szCs w:val="22"/>
        </w:rPr>
      </w:pPr>
      <w:r w:rsidRPr="002D063C">
        <w:rPr>
          <w:sz w:val="22"/>
          <w:szCs w:val="22"/>
        </w:rPr>
        <w:t>Στο Υπουργείο Περιβάλλοντος και Ενέ</w:t>
      </w:r>
      <w:r w:rsidR="00433662">
        <w:rPr>
          <w:sz w:val="22"/>
          <w:szCs w:val="22"/>
        </w:rPr>
        <w:t>ργειας περιλαμβάνεται ο φορέας Πράσινο Ταμείο</w:t>
      </w:r>
      <w:r w:rsidRPr="002D063C">
        <w:rPr>
          <w:sz w:val="22"/>
          <w:szCs w:val="22"/>
        </w:rPr>
        <w:t>, τα έσοδα του οποίου προέρχονται κυρίως από τη ρύθμιση αυθαιρέτων κτισμάτων, τα τέλη διαδικασιών π</w:t>
      </w:r>
      <w:r w:rsidRPr="002D063C">
        <w:rPr>
          <w:sz w:val="22"/>
          <w:szCs w:val="22"/>
        </w:rPr>
        <w:t>ε</w:t>
      </w:r>
      <w:r w:rsidRPr="002D063C">
        <w:rPr>
          <w:sz w:val="22"/>
          <w:szCs w:val="22"/>
        </w:rPr>
        <w:t>ριβαλλοντικής αδειοδότησης και πρόστιμα από παραβάσεις της περιβαλλοντικής νομοθεσίας.</w:t>
      </w:r>
      <w:r w:rsidR="00ED7A57">
        <w:rPr>
          <w:sz w:val="22"/>
          <w:szCs w:val="22"/>
        </w:rPr>
        <w:t xml:space="preserve"> </w:t>
      </w:r>
      <w:r w:rsidR="00433662">
        <w:rPr>
          <w:sz w:val="22"/>
          <w:szCs w:val="22"/>
        </w:rPr>
        <w:t>Το πλεόνασμα</w:t>
      </w:r>
      <w:r w:rsidRPr="002D063C">
        <w:rPr>
          <w:sz w:val="22"/>
          <w:szCs w:val="22"/>
        </w:rPr>
        <w:t xml:space="preserve"> του Πράσινου Ταμείου</w:t>
      </w:r>
      <w:r w:rsidR="00433662">
        <w:rPr>
          <w:sz w:val="22"/>
          <w:szCs w:val="22"/>
        </w:rPr>
        <w:t xml:space="preserve"> στο 2018 προβλέπεται να διαμορφωθεί στα 158 εκατ. ευρώ</w:t>
      </w:r>
      <w:r w:rsidRPr="002D063C">
        <w:rPr>
          <w:sz w:val="22"/>
          <w:szCs w:val="22"/>
        </w:rPr>
        <w:t xml:space="preserve"> μειωμένο σε σχέση με το έτος 2017, λόγω </w:t>
      </w:r>
      <w:r w:rsidR="00433662">
        <w:rPr>
          <w:sz w:val="22"/>
          <w:szCs w:val="22"/>
        </w:rPr>
        <w:t>της εκτιμώμενης αύξησης των προγραμμάτων και των δράσεων που χρηματοδοτεί ο φορέας με σκοπό την ενίσχυση της ανάπτυξης μέσω της προστασίας του περιβάλλοντος.</w:t>
      </w:r>
    </w:p>
    <w:p w:rsidR="009E495E" w:rsidRPr="002D063C" w:rsidRDefault="009E495E" w:rsidP="009E495E">
      <w:pPr>
        <w:ind w:left="284"/>
        <w:jc w:val="both"/>
        <w:rPr>
          <w:sz w:val="22"/>
          <w:szCs w:val="22"/>
          <w:highlight w:val="yellow"/>
        </w:rPr>
      </w:pPr>
    </w:p>
    <w:p w:rsidR="009E495E" w:rsidRPr="002D063C" w:rsidRDefault="009E495E" w:rsidP="009E495E">
      <w:pPr>
        <w:numPr>
          <w:ilvl w:val="0"/>
          <w:numId w:val="15"/>
        </w:numPr>
        <w:ind w:left="284" w:hanging="284"/>
        <w:jc w:val="both"/>
        <w:rPr>
          <w:sz w:val="22"/>
          <w:szCs w:val="22"/>
        </w:rPr>
      </w:pPr>
      <w:r w:rsidRPr="002D063C">
        <w:rPr>
          <w:sz w:val="22"/>
          <w:szCs w:val="22"/>
        </w:rPr>
        <w:t>Στο Υπουργείο Υποδομών και Μετα</w:t>
      </w:r>
      <w:r w:rsidR="00433662">
        <w:rPr>
          <w:sz w:val="22"/>
          <w:szCs w:val="22"/>
        </w:rPr>
        <w:t xml:space="preserve">φορών περιλαμβάνονται οι φορείς </w:t>
      </w:r>
      <w:r w:rsidRPr="002D063C">
        <w:rPr>
          <w:sz w:val="22"/>
          <w:szCs w:val="22"/>
        </w:rPr>
        <w:t>ΑΤΤΙΚΟ ΜΕΤΡΟ ΑΕ</w:t>
      </w:r>
      <w:r w:rsidR="00433662">
        <w:rPr>
          <w:sz w:val="22"/>
          <w:szCs w:val="22"/>
        </w:rPr>
        <w:t xml:space="preserve">, </w:t>
      </w:r>
      <w:r w:rsidRPr="002D063C">
        <w:rPr>
          <w:sz w:val="22"/>
          <w:szCs w:val="22"/>
        </w:rPr>
        <w:t>Ο</w:t>
      </w:r>
      <w:r w:rsidRPr="002D063C">
        <w:rPr>
          <w:sz w:val="22"/>
          <w:szCs w:val="22"/>
        </w:rPr>
        <w:t>ρ</w:t>
      </w:r>
      <w:r w:rsidRPr="002D063C">
        <w:rPr>
          <w:sz w:val="22"/>
          <w:szCs w:val="22"/>
        </w:rPr>
        <w:t>γανισμός Σιδηροδρόμων Ελλάδος (ΟΣΕ) ΑΕ, ΕΡΓΟΣΕ ΑΕ, Οργανισμός Αστικών Συγκοινωνιών Αθηνών (ΟΑΣΑ) ΑΕ, Οδικές Συγκοινωνίες (ΟΣΥ) ΑΕ, Σταθερές Συγκοινωνίες (ΣΤΑΣΥ) ΑΕ</w:t>
      </w:r>
      <w:r w:rsidR="00433662">
        <w:rPr>
          <w:sz w:val="22"/>
          <w:szCs w:val="22"/>
        </w:rPr>
        <w:t xml:space="preserve">, </w:t>
      </w:r>
      <w:r w:rsidRPr="002D063C">
        <w:rPr>
          <w:sz w:val="22"/>
          <w:szCs w:val="22"/>
        </w:rPr>
        <w:t>Ο</w:t>
      </w:r>
      <w:r w:rsidRPr="002D063C">
        <w:rPr>
          <w:sz w:val="22"/>
          <w:szCs w:val="22"/>
        </w:rPr>
        <w:t>ρ</w:t>
      </w:r>
      <w:r w:rsidRPr="002D063C">
        <w:rPr>
          <w:sz w:val="22"/>
          <w:szCs w:val="22"/>
        </w:rPr>
        <w:t>γανισμός Αστικών Συγκοινωνιών Θεσσαλονίκης (ΟΑΣΘ), ΕΓΝΑΤΙΑ</w:t>
      </w:r>
      <w:r w:rsidR="00ED7A57">
        <w:rPr>
          <w:sz w:val="22"/>
          <w:szCs w:val="22"/>
        </w:rPr>
        <w:t xml:space="preserve"> </w:t>
      </w:r>
      <w:r w:rsidRPr="002D063C">
        <w:rPr>
          <w:sz w:val="22"/>
          <w:szCs w:val="22"/>
        </w:rPr>
        <w:t>ΟΔΟΣ ΑΕ,</w:t>
      </w:r>
      <w:r w:rsidRPr="002D063C">
        <w:rPr>
          <w:bCs/>
          <w:sz w:val="22"/>
          <w:szCs w:val="22"/>
        </w:rPr>
        <w:t xml:space="preserve"> οι συμβάσεις παραχώρησης πέντε (5) αυτοκινητοδρόμων,</w:t>
      </w:r>
      <w:r w:rsidR="00433662">
        <w:rPr>
          <w:sz w:val="22"/>
          <w:szCs w:val="22"/>
        </w:rPr>
        <w:t xml:space="preserve"> </w:t>
      </w:r>
      <w:r w:rsidRPr="002D063C">
        <w:rPr>
          <w:sz w:val="22"/>
          <w:szCs w:val="22"/>
          <w:lang w:val="en-US"/>
        </w:rPr>
        <w:t>T</w:t>
      </w:r>
      <w:r w:rsidRPr="002D063C">
        <w:rPr>
          <w:sz w:val="22"/>
          <w:szCs w:val="22"/>
        </w:rPr>
        <w:t>ΡΑΙΝΟΣΕ ΑΕ</w:t>
      </w:r>
      <w:r w:rsidR="00433662">
        <w:rPr>
          <w:sz w:val="22"/>
          <w:szCs w:val="22"/>
        </w:rPr>
        <w:t xml:space="preserve"> και </w:t>
      </w:r>
      <w:r w:rsidRPr="002D063C">
        <w:rPr>
          <w:bCs/>
          <w:sz w:val="22"/>
          <w:szCs w:val="22"/>
        </w:rPr>
        <w:t xml:space="preserve">Ελληνική Εταιρεία Συντήρησης Σιδηροδρομικού Τροχαίου Υλικού (ΕΕΣΣΤΥ) ΑΕ. </w:t>
      </w:r>
      <w:r w:rsidRPr="002D063C">
        <w:rPr>
          <w:sz w:val="22"/>
          <w:szCs w:val="22"/>
        </w:rPr>
        <w:t>Το ισοζύγιο των φορέων του εν λόγω υπου</w:t>
      </w:r>
      <w:r w:rsidRPr="002D063C">
        <w:rPr>
          <w:sz w:val="22"/>
          <w:szCs w:val="22"/>
        </w:rPr>
        <w:t>ρ</w:t>
      </w:r>
      <w:r w:rsidRPr="002D063C">
        <w:rPr>
          <w:sz w:val="22"/>
          <w:szCs w:val="22"/>
        </w:rPr>
        <w:t>γείου κατά το έτος 2018, προβλέπεται θετικό ύψους 484 εκατ. ευρώ, έναντι εκτιμώμενου πλεον</w:t>
      </w:r>
      <w:r w:rsidRPr="002D063C">
        <w:rPr>
          <w:sz w:val="22"/>
          <w:szCs w:val="22"/>
        </w:rPr>
        <w:t>ά</w:t>
      </w:r>
      <w:r w:rsidRPr="002D063C">
        <w:rPr>
          <w:sz w:val="22"/>
          <w:szCs w:val="22"/>
        </w:rPr>
        <w:t xml:space="preserve">σματος 131 εκατ. ευρώ στο έτος 2017. Στη βελτίωση αυτή, συνετέλεσε σε μεγάλο βαθμό, η </w:t>
      </w:r>
      <w:r w:rsidR="005D7B58">
        <w:rPr>
          <w:sz w:val="22"/>
          <w:szCs w:val="22"/>
        </w:rPr>
        <w:t>σταδ</w:t>
      </w:r>
      <w:r w:rsidR="005D7B58">
        <w:rPr>
          <w:sz w:val="22"/>
          <w:szCs w:val="22"/>
        </w:rPr>
        <w:t>ι</w:t>
      </w:r>
      <w:r w:rsidR="005D7B58">
        <w:rPr>
          <w:sz w:val="22"/>
          <w:szCs w:val="22"/>
        </w:rPr>
        <w:t>ακή ολοκλήρωση των οδικών έργων στους πέντε (5) αυτοκινητοδρόμους.</w:t>
      </w:r>
    </w:p>
    <w:p w:rsidR="009E495E" w:rsidRDefault="005D7B58" w:rsidP="005D7B58">
      <w:pPr>
        <w:ind w:left="284"/>
        <w:jc w:val="both"/>
        <w:rPr>
          <w:bCs/>
          <w:sz w:val="22"/>
          <w:szCs w:val="22"/>
        </w:rPr>
      </w:pPr>
      <w:r w:rsidRPr="002D063C">
        <w:rPr>
          <w:bCs/>
          <w:sz w:val="22"/>
          <w:szCs w:val="22"/>
        </w:rPr>
        <w:t>Τ</w:t>
      </w:r>
      <w:r>
        <w:rPr>
          <w:bCs/>
          <w:sz w:val="22"/>
          <w:szCs w:val="22"/>
        </w:rPr>
        <w:t>ονίζεται ότι τ</w:t>
      </w:r>
      <w:r w:rsidRPr="002D063C">
        <w:rPr>
          <w:bCs/>
          <w:sz w:val="22"/>
          <w:szCs w:val="22"/>
        </w:rPr>
        <w:t>α οικονομικά μεγέθη της ΤΡΑΙΝΟΣΕ αφορούν στο χρονικό διάστημα από 1/1/2017 έως την 14/9/2017, ημερομηνία ολοκλήρωσης της αποκρατικοποίησ</w:t>
      </w:r>
      <w:r>
        <w:rPr>
          <w:bCs/>
          <w:sz w:val="22"/>
          <w:szCs w:val="22"/>
        </w:rPr>
        <w:t>η</w:t>
      </w:r>
      <w:r w:rsidRPr="002D063C">
        <w:rPr>
          <w:bCs/>
          <w:sz w:val="22"/>
          <w:szCs w:val="22"/>
        </w:rPr>
        <w:t>ς. Στο έτος 2018, πέραν της ΤΡΑΙΝΟΣΕ δεν περιλαμβάνονται και τα οικονομικά μεγέθη της ΕΕΣΣΤΥ, λόγω της επικείμενης αποκρατικοποίησής της.</w:t>
      </w:r>
    </w:p>
    <w:p w:rsidR="005D7B58" w:rsidRPr="002D063C" w:rsidRDefault="005D7B58" w:rsidP="005D7B58">
      <w:pPr>
        <w:ind w:left="284"/>
        <w:jc w:val="both"/>
        <w:rPr>
          <w:sz w:val="22"/>
          <w:szCs w:val="22"/>
          <w:highlight w:val="yellow"/>
        </w:rPr>
      </w:pPr>
    </w:p>
    <w:p w:rsidR="009E495E" w:rsidRPr="002D063C" w:rsidRDefault="009E495E" w:rsidP="009E495E">
      <w:pPr>
        <w:numPr>
          <w:ilvl w:val="0"/>
          <w:numId w:val="16"/>
        </w:numPr>
        <w:ind w:left="284" w:hanging="284"/>
        <w:jc w:val="both"/>
        <w:rPr>
          <w:sz w:val="22"/>
          <w:szCs w:val="22"/>
        </w:rPr>
      </w:pPr>
      <w:r w:rsidRPr="002D063C">
        <w:rPr>
          <w:sz w:val="22"/>
          <w:szCs w:val="22"/>
        </w:rPr>
        <w:t>Στο Υπουργείο Αγροτικής Ανάπτ</w:t>
      </w:r>
      <w:r w:rsidR="005D7B58">
        <w:rPr>
          <w:sz w:val="22"/>
          <w:szCs w:val="22"/>
        </w:rPr>
        <w:t xml:space="preserve">υξης και Τροφίμων, υπάγονται ο </w:t>
      </w:r>
      <w:r w:rsidRPr="002D063C">
        <w:rPr>
          <w:sz w:val="22"/>
          <w:szCs w:val="22"/>
        </w:rPr>
        <w:t>Ελληνικός Οργανισμός Γεωργ</w:t>
      </w:r>
      <w:r w:rsidRPr="002D063C">
        <w:rPr>
          <w:sz w:val="22"/>
          <w:szCs w:val="22"/>
        </w:rPr>
        <w:t>ι</w:t>
      </w:r>
      <w:r w:rsidRPr="002D063C">
        <w:rPr>
          <w:sz w:val="22"/>
          <w:szCs w:val="22"/>
        </w:rPr>
        <w:t>κών</w:t>
      </w:r>
      <w:r w:rsidR="005D7B58">
        <w:rPr>
          <w:sz w:val="22"/>
          <w:szCs w:val="22"/>
        </w:rPr>
        <w:t xml:space="preserve"> Ασφαλίσεων (ΕΛΓΑ)</w:t>
      </w:r>
      <w:r w:rsidRPr="002D063C">
        <w:rPr>
          <w:sz w:val="22"/>
          <w:szCs w:val="22"/>
        </w:rPr>
        <w:t>, ο οποίος αποτελεί κεντρικό φορέα ασφαλιστικής κάλυψης των γεωργ</w:t>
      </w:r>
      <w:r w:rsidRPr="002D063C">
        <w:rPr>
          <w:sz w:val="22"/>
          <w:szCs w:val="22"/>
        </w:rPr>
        <w:t>ι</w:t>
      </w:r>
      <w:r w:rsidRPr="002D063C">
        <w:rPr>
          <w:sz w:val="22"/>
          <w:szCs w:val="22"/>
        </w:rPr>
        <w:t>κών εκ</w:t>
      </w:r>
      <w:r w:rsidR="005D7B58">
        <w:rPr>
          <w:sz w:val="22"/>
          <w:szCs w:val="22"/>
        </w:rPr>
        <w:t xml:space="preserve">μεταλλεύσεων στην Ελλάδα και ο </w:t>
      </w:r>
      <w:r w:rsidRPr="002D063C">
        <w:rPr>
          <w:sz w:val="22"/>
          <w:szCs w:val="22"/>
        </w:rPr>
        <w:t>Οργανισμός Πληρωμών και Ελέγχου Κοινοτικών Εν</w:t>
      </w:r>
      <w:r w:rsidRPr="002D063C">
        <w:rPr>
          <w:sz w:val="22"/>
          <w:szCs w:val="22"/>
        </w:rPr>
        <w:t>ι</w:t>
      </w:r>
      <w:r w:rsidRPr="002D063C">
        <w:rPr>
          <w:sz w:val="22"/>
          <w:szCs w:val="22"/>
        </w:rPr>
        <w:t>σχύσεων Προσανατ</w:t>
      </w:r>
      <w:r w:rsidR="005D7B58">
        <w:rPr>
          <w:sz w:val="22"/>
          <w:szCs w:val="22"/>
        </w:rPr>
        <w:t>ολισμού και Εγγυήσεων (ΟΠΕΚΕΠΕ)</w:t>
      </w:r>
      <w:r w:rsidRPr="002D063C">
        <w:rPr>
          <w:sz w:val="22"/>
          <w:szCs w:val="22"/>
        </w:rPr>
        <w:t>, με σκοπό τη διαχείριση των εισροών από το Ευρωπαϊκό Γεωργικό Ταμείο Εγγυήσεων (ΕΓΤΕ), το Ευρωπαϊκό Γεωργικ</w:t>
      </w:r>
      <w:r w:rsidR="005A508D">
        <w:rPr>
          <w:sz w:val="22"/>
          <w:szCs w:val="22"/>
        </w:rPr>
        <w:t>ό</w:t>
      </w:r>
      <w:r w:rsidRPr="002D063C">
        <w:rPr>
          <w:sz w:val="22"/>
          <w:szCs w:val="22"/>
        </w:rPr>
        <w:t xml:space="preserve"> Ταμείο Αγροτ</w:t>
      </w:r>
      <w:r w:rsidRPr="002D063C">
        <w:rPr>
          <w:sz w:val="22"/>
          <w:szCs w:val="22"/>
        </w:rPr>
        <w:t>ι</w:t>
      </w:r>
      <w:r w:rsidRPr="002D063C">
        <w:rPr>
          <w:sz w:val="22"/>
          <w:szCs w:val="22"/>
        </w:rPr>
        <w:t>κής Ανάπτυξης (ΕΓΤΑΑ) και το Ευρωπαϊκό Ταμείο Θάλασσας και Αλιείας (ΕΤΘΑ).</w:t>
      </w:r>
      <w:r w:rsidR="005D7B58">
        <w:rPr>
          <w:sz w:val="22"/>
          <w:szCs w:val="22"/>
        </w:rPr>
        <w:t xml:space="preserve"> Στη</w:t>
      </w:r>
      <w:r w:rsidRPr="002D063C">
        <w:rPr>
          <w:sz w:val="22"/>
          <w:szCs w:val="22"/>
        </w:rPr>
        <w:t xml:space="preserve"> διαμό</w:t>
      </w:r>
      <w:r w:rsidRPr="002D063C">
        <w:rPr>
          <w:sz w:val="22"/>
          <w:szCs w:val="22"/>
        </w:rPr>
        <w:t>ρ</w:t>
      </w:r>
      <w:r w:rsidRPr="002D063C">
        <w:rPr>
          <w:sz w:val="22"/>
          <w:szCs w:val="22"/>
        </w:rPr>
        <w:t xml:space="preserve">φωση του αποτελέσματος </w:t>
      </w:r>
      <w:r w:rsidR="00CC1CE8">
        <w:rPr>
          <w:sz w:val="22"/>
          <w:szCs w:val="22"/>
        </w:rPr>
        <w:t xml:space="preserve">περιλαμβάνεται και η προσαρμογή </w:t>
      </w:r>
      <w:r w:rsidRPr="002D063C">
        <w:rPr>
          <w:sz w:val="22"/>
          <w:szCs w:val="22"/>
        </w:rPr>
        <w:t>του Ειδικού Λογαριασμού Εγγυήσ</w:t>
      </w:r>
      <w:r w:rsidRPr="002D063C">
        <w:rPr>
          <w:sz w:val="22"/>
          <w:szCs w:val="22"/>
        </w:rPr>
        <w:t>ε</w:t>
      </w:r>
      <w:r w:rsidRPr="002D063C">
        <w:rPr>
          <w:sz w:val="22"/>
          <w:szCs w:val="22"/>
        </w:rPr>
        <w:t xml:space="preserve">ων Γεωργικών Προϊόντων (ΕΛΕΓΕΠ) με εκτιμώμενο πλεόνασμα για το έτος 2017 ύψους 89 εκατ. </w:t>
      </w:r>
      <w:r w:rsidRPr="002D063C">
        <w:rPr>
          <w:sz w:val="22"/>
          <w:szCs w:val="22"/>
        </w:rPr>
        <w:lastRenderedPageBreak/>
        <w:t>ευρώ και προβλεπόμεν</w:t>
      </w:r>
      <w:r w:rsidR="00CC1CE8">
        <w:rPr>
          <w:sz w:val="22"/>
          <w:szCs w:val="22"/>
        </w:rPr>
        <w:t>ο έλλειμμα στο έτος 2018 ποσού 5</w:t>
      </w:r>
      <w:r w:rsidRPr="002D063C">
        <w:rPr>
          <w:sz w:val="22"/>
          <w:szCs w:val="22"/>
        </w:rPr>
        <w:t>1 εκατ. ευρώ.</w:t>
      </w:r>
      <w:r w:rsidR="00ED7A57">
        <w:rPr>
          <w:sz w:val="22"/>
          <w:szCs w:val="22"/>
        </w:rPr>
        <w:t xml:space="preserve"> </w:t>
      </w:r>
      <w:r w:rsidRPr="002D063C">
        <w:rPr>
          <w:sz w:val="22"/>
          <w:szCs w:val="22"/>
        </w:rPr>
        <w:t>Αντίθετα ο ΕΛΓΑ λόγω αυξημένης καταβολής, στο έτος 2017, αποζημιώσεων στους αγρότες, για τις ζημιές στο φυτικό κ</w:t>
      </w:r>
      <w:r w:rsidRPr="002D063C">
        <w:rPr>
          <w:sz w:val="22"/>
          <w:szCs w:val="22"/>
        </w:rPr>
        <w:t>ε</w:t>
      </w:r>
      <w:r w:rsidRPr="002D063C">
        <w:rPr>
          <w:sz w:val="22"/>
          <w:szCs w:val="22"/>
        </w:rPr>
        <w:t>φάλαιο αναμένεται να εμφανίσει έλλειμμα 15 εκατ. ευρώ, ενώ στο έτος 2018 προβλέπεται θετικό αποτέλεσμα 12 εκατ. ευρώ.</w:t>
      </w:r>
    </w:p>
    <w:p w:rsidR="009E495E" w:rsidRPr="002D063C" w:rsidRDefault="009E495E" w:rsidP="009E495E">
      <w:pPr>
        <w:ind w:left="284" w:hanging="284"/>
        <w:jc w:val="both"/>
        <w:rPr>
          <w:sz w:val="22"/>
          <w:szCs w:val="22"/>
        </w:rPr>
      </w:pPr>
    </w:p>
    <w:p w:rsidR="00ED7A57" w:rsidRPr="00ED7A57" w:rsidRDefault="00ED7A57" w:rsidP="00ED7A57">
      <w:pPr>
        <w:numPr>
          <w:ilvl w:val="0"/>
          <w:numId w:val="16"/>
        </w:numPr>
        <w:ind w:left="284" w:hanging="284"/>
        <w:jc w:val="both"/>
        <w:rPr>
          <w:sz w:val="22"/>
          <w:szCs w:val="22"/>
        </w:rPr>
      </w:pPr>
      <w:r w:rsidRPr="00ED7A57">
        <w:rPr>
          <w:sz w:val="22"/>
          <w:szCs w:val="22"/>
        </w:rPr>
        <w:t>Τέλος, στο Υπουργείο Τουρισμού, περιλαμβάνεται ο Ελληνικός Οργανισμός Τουρισμού (ΕΟΤ)</w:t>
      </w:r>
      <w:r w:rsidR="00CC1CE8">
        <w:rPr>
          <w:sz w:val="22"/>
          <w:szCs w:val="22"/>
        </w:rPr>
        <w:t>.</w:t>
      </w:r>
      <w:r w:rsidRPr="00ED7A57">
        <w:rPr>
          <w:sz w:val="22"/>
          <w:szCs w:val="22"/>
        </w:rPr>
        <w:t xml:space="preserve"> </w:t>
      </w:r>
      <w:r w:rsidR="006628F0" w:rsidRPr="00ED7A57">
        <w:rPr>
          <w:sz w:val="22"/>
          <w:szCs w:val="22"/>
        </w:rPr>
        <w:t xml:space="preserve">Η </w:t>
      </w:r>
      <w:r w:rsidRPr="00ED7A57">
        <w:rPr>
          <w:sz w:val="22"/>
          <w:szCs w:val="22"/>
        </w:rPr>
        <w:t xml:space="preserve">κυριότερη δράση του </w:t>
      </w:r>
      <w:r w:rsidR="007A2E74">
        <w:rPr>
          <w:sz w:val="22"/>
          <w:szCs w:val="22"/>
        </w:rPr>
        <w:t>οποίου</w:t>
      </w:r>
      <w:r w:rsidR="006628F0">
        <w:rPr>
          <w:sz w:val="22"/>
          <w:szCs w:val="22"/>
        </w:rPr>
        <w:t xml:space="preserve"> είναι </w:t>
      </w:r>
      <w:r w:rsidRPr="00ED7A57">
        <w:rPr>
          <w:sz w:val="22"/>
          <w:szCs w:val="22"/>
        </w:rPr>
        <w:t>η διαφήμιση και προβολή</w:t>
      </w:r>
      <w:r>
        <w:rPr>
          <w:sz w:val="22"/>
          <w:szCs w:val="22"/>
        </w:rPr>
        <w:t xml:space="preserve"> </w:t>
      </w:r>
      <w:r w:rsidRPr="00ED7A57">
        <w:rPr>
          <w:sz w:val="22"/>
          <w:szCs w:val="22"/>
        </w:rPr>
        <w:t>της χώρας στο εσωτερικό και εξωτ</w:t>
      </w:r>
      <w:r w:rsidRPr="00ED7A57">
        <w:rPr>
          <w:sz w:val="22"/>
          <w:szCs w:val="22"/>
        </w:rPr>
        <w:t>ε</w:t>
      </w:r>
      <w:r w:rsidRPr="00ED7A57">
        <w:rPr>
          <w:sz w:val="22"/>
          <w:szCs w:val="22"/>
        </w:rPr>
        <w:t>ρικό ως τουριστικού προορισμού. Τα έσοδά του ΕΟΤ προέρχονται κυρίως από την απόδοση ποσ</w:t>
      </w:r>
      <w:r w:rsidRPr="00ED7A57">
        <w:rPr>
          <w:sz w:val="22"/>
          <w:szCs w:val="22"/>
        </w:rPr>
        <w:t>ο</w:t>
      </w:r>
      <w:r w:rsidRPr="00ED7A57">
        <w:rPr>
          <w:sz w:val="22"/>
          <w:szCs w:val="22"/>
        </w:rPr>
        <w:t>στού επί των μικτών κερδών του Δημοσίου των Καζίνο Κέρκυρας και Πάρνηθας, καθώς και από την ενίσχυσή του από τον Κρατικό Προϋπολογισμό</w:t>
      </w:r>
      <w:r w:rsidR="006628F0">
        <w:rPr>
          <w:sz w:val="22"/>
          <w:szCs w:val="22"/>
        </w:rPr>
        <w:t>,</w:t>
      </w:r>
      <w:r w:rsidRPr="00ED7A57">
        <w:rPr>
          <w:sz w:val="22"/>
          <w:szCs w:val="22"/>
        </w:rPr>
        <w:t xml:space="preserve"> για κάλυψη τόσο των λειτουργικών</w:t>
      </w:r>
      <w:r w:rsidR="006628F0">
        <w:rPr>
          <w:sz w:val="22"/>
          <w:szCs w:val="22"/>
        </w:rPr>
        <w:t>,</w:t>
      </w:r>
      <w:r w:rsidRPr="00ED7A57">
        <w:rPr>
          <w:sz w:val="22"/>
          <w:szCs w:val="22"/>
        </w:rPr>
        <w:t xml:space="preserve"> όσο και των επενδυτικών δαπανών, συμπεριλαμβανομένης και της αναφερόμενης ανωτέρω κύριας δρ</w:t>
      </w:r>
      <w:r w:rsidRPr="00ED7A57">
        <w:rPr>
          <w:sz w:val="22"/>
          <w:szCs w:val="22"/>
        </w:rPr>
        <w:t>α</w:t>
      </w:r>
      <w:r w:rsidRPr="00ED7A57">
        <w:rPr>
          <w:sz w:val="22"/>
          <w:szCs w:val="22"/>
        </w:rPr>
        <w:t>στηριότητας. Η οικονομική επίδοση του οργανισμού, για το 2018 προβλέπεται να δια</w:t>
      </w:r>
      <w:r w:rsidR="006628F0">
        <w:rPr>
          <w:sz w:val="22"/>
          <w:szCs w:val="22"/>
        </w:rPr>
        <w:t>μορφωθεί στο ποσό των 2</w:t>
      </w:r>
      <w:r w:rsidRPr="00ED7A57">
        <w:rPr>
          <w:sz w:val="22"/>
          <w:szCs w:val="22"/>
        </w:rPr>
        <w:t xml:space="preserve"> εκατ. ευρώ.</w:t>
      </w:r>
    </w:p>
    <w:p w:rsidR="00BB71F0" w:rsidRDefault="00BB71F0" w:rsidP="009E495E">
      <w:pPr>
        <w:jc w:val="both"/>
        <w:rPr>
          <w:sz w:val="22"/>
        </w:rPr>
      </w:pPr>
    </w:p>
    <w:p w:rsidR="003625C5" w:rsidRDefault="003625C5" w:rsidP="009E495E">
      <w:pPr>
        <w:jc w:val="both"/>
        <w:rPr>
          <w:sz w:val="22"/>
        </w:rPr>
      </w:pPr>
    </w:p>
    <w:p w:rsidR="009E495E" w:rsidRDefault="009E495E">
      <w:pPr>
        <w:rPr>
          <w:sz w:val="22"/>
        </w:rPr>
      </w:pPr>
      <w:r>
        <w:rPr>
          <w:sz w:val="22"/>
        </w:rPr>
        <w:br w:type="page"/>
      </w:r>
    </w:p>
    <w:p w:rsidR="005F39F3" w:rsidRDefault="005F39F3" w:rsidP="009E495E">
      <w:pPr>
        <w:jc w:val="both"/>
        <w:rPr>
          <w:sz w:val="22"/>
        </w:rPr>
      </w:pPr>
    </w:p>
    <w:p w:rsidR="00AC6072" w:rsidRPr="00E741C4" w:rsidRDefault="00AC6072" w:rsidP="00AC6072">
      <w:pPr>
        <w:shd w:val="clear" w:color="auto" w:fill="595959"/>
        <w:jc w:val="both"/>
        <w:rPr>
          <w:rFonts w:ascii="Arial Narrow" w:hAnsi="Arial Narrow"/>
          <w:b/>
          <w:color w:val="FFFFFF"/>
          <w:sz w:val="26"/>
          <w:szCs w:val="22"/>
        </w:rPr>
      </w:pPr>
      <w:r w:rsidRPr="00E741C4">
        <w:rPr>
          <w:rFonts w:ascii="Arial Narrow" w:hAnsi="Arial Narrow"/>
          <w:b/>
          <w:color w:val="FFFFFF"/>
          <w:sz w:val="26"/>
          <w:szCs w:val="22"/>
        </w:rPr>
        <w:t>9.</w:t>
      </w:r>
      <w:r w:rsidRPr="00E741C4">
        <w:rPr>
          <w:rFonts w:ascii="Arial Narrow" w:hAnsi="Arial Narrow"/>
          <w:b/>
          <w:color w:val="FFFFFF"/>
          <w:sz w:val="26"/>
          <w:szCs w:val="22"/>
        </w:rPr>
        <w:tab/>
      </w:r>
      <w:r>
        <w:rPr>
          <w:rFonts w:ascii="Arial Narrow" w:hAnsi="Arial Narrow"/>
          <w:b/>
          <w:color w:val="FFFFFF"/>
          <w:sz w:val="26"/>
          <w:szCs w:val="22"/>
        </w:rPr>
        <w:t>Ληξιπρόθεσμες υποχρεώσεις</w:t>
      </w:r>
    </w:p>
    <w:p w:rsidR="00AC6072" w:rsidRDefault="00AC6072" w:rsidP="00AC6072">
      <w:pPr>
        <w:jc w:val="both"/>
        <w:rPr>
          <w:b/>
        </w:rPr>
      </w:pPr>
    </w:p>
    <w:p w:rsidR="008E0CDE" w:rsidRPr="008E0CDE" w:rsidRDefault="008E0CDE" w:rsidP="008E0CDE">
      <w:pPr>
        <w:jc w:val="both"/>
        <w:rPr>
          <w:bCs/>
          <w:sz w:val="22"/>
        </w:rPr>
      </w:pPr>
      <w:r w:rsidRPr="008E0CDE">
        <w:rPr>
          <w:bCs/>
          <w:sz w:val="22"/>
        </w:rPr>
        <w:t>Στο πλαίσιο της Σύμβασης Χρηματοδοτικής Διευκόλυνσης από τον Ευρωπαϊκό Μηχανισμό Σταθερ</w:t>
      </w:r>
      <w:r w:rsidRPr="008E0CDE">
        <w:rPr>
          <w:bCs/>
          <w:sz w:val="22"/>
        </w:rPr>
        <w:t>ό</w:t>
      </w:r>
      <w:r w:rsidRPr="008E0CDE">
        <w:rPr>
          <w:bCs/>
          <w:sz w:val="22"/>
        </w:rPr>
        <w:t>τητας (ΕΜΣ) προβλέπεται η αποπληρωμή των ληξιπρόθεσμων υποχρεώσεων της Γενικής Κυβέρν</w:t>
      </w:r>
      <w:r w:rsidRPr="008E0CDE">
        <w:rPr>
          <w:bCs/>
          <w:sz w:val="22"/>
        </w:rPr>
        <w:t>η</w:t>
      </w:r>
      <w:r w:rsidRPr="008E0CDE">
        <w:rPr>
          <w:bCs/>
          <w:sz w:val="22"/>
        </w:rPr>
        <w:t>σης προς τρίτους, συμπεριλαμβανομένων και των εκκρεμών επιστροφών φόρων, καθώς και η εκκ</w:t>
      </w:r>
      <w:r w:rsidRPr="008E0CDE">
        <w:rPr>
          <w:bCs/>
          <w:sz w:val="22"/>
        </w:rPr>
        <w:t>α</w:t>
      </w:r>
      <w:r w:rsidRPr="008E0CDE">
        <w:rPr>
          <w:bCs/>
          <w:sz w:val="22"/>
        </w:rPr>
        <w:t>θάριση και αποπληρωμή εκκρεμών αιτήσεων συνταξιοδότησης. Για το λόγο αυτό, προβλέπεται ειδική χρηματοδότηση από τον ΕΜΣ αποκλειστικά για την αποπληρωμή των ανωτέρω υποχρεώσεων.</w:t>
      </w:r>
    </w:p>
    <w:p w:rsidR="008E0CDE" w:rsidRPr="008E0CDE" w:rsidRDefault="008E0CDE" w:rsidP="008E0CDE">
      <w:pPr>
        <w:jc w:val="both"/>
        <w:rPr>
          <w:bCs/>
          <w:sz w:val="22"/>
        </w:rPr>
      </w:pPr>
    </w:p>
    <w:p w:rsidR="008E0CDE" w:rsidRPr="008E0CDE" w:rsidRDefault="008E0CDE" w:rsidP="008E0CDE">
      <w:pPr>
        <w:jc w:val="both"/>
        <w:rPr>
          <w:bCs/>
          <w:sz w:val="22"/>
        </w:rPr>
      </w:pPr>
      <w:r w:rsidRPr="008E0CDE">
        <w:rPr>
          <w:bCs/>
          <w:sz w:val="22"/>
        </w:rPr>
        <w:t>Για το σκοπό αυτό, υλοποιείται από το Υπουργείο Οικονομικών πρόγραμμα εκκαθάρισης ληξιπρόθ</w:t>
      </w:r>
      <w:r w:rsidRPr="008E0CDE">
        <w:rPr>
          <w:bCs/>
          <w:sz w:val="22"/>
        </w:rPr>
        <w:t>ε</w:t>
      </w:r>
      <w:r w:rsidRPr="008E0CDE">
        <w:rPr>
          <w:bCs/>
          <w:sz w:val="22"/>
        </w:rPr>
        <w:t>σμων υποχρεώσεων των φορέων της Γενικής Κυβέρνησης, μέσω της ενίσχυσης των προϋπολογισμών τ</w:t>
      </w:r>
      <w:r w:rsidR="00B538AD">
        <w:rPr>
          <w:bCs/>
          <w:sz w:val="22"/>
        </w:rPr>
        <w:t>ους</w:t>
      </w:r>
      <w:r w:rsidRPr="008E0CDE">
        <w:rPr>
          <w:bCs/>
          <w:sz w:val="22"/>
        </w:rPr>
        <w:t>, ενώ χρηματοδοτείται επίσης η αποπληρωμή εκκρεμών αιτήσεων συνταξιοδότησης και εκκρ</w:t>
      </w:r>
      <w:r w:rsidRPr="008E0CDE">
        <w:rPr>
          <w:bCs/>
          <w:sz w:val="22"/>
        </w:rPr>
        <w:t>ε</w:t>
      </w:r>
      <w:r w:rsidRPr="008E0CDE">
        <w:rPr>
          <w:bCs/>
          <w:sz w:val="22"/>
        </w:rPr>
        <w:t xml:space="preserve">μών επιστροφών φόρων. </w:t>
      </w:r>
    </w:p>
    <w:p w:rsidR="008E0CDE" w:rsidRPr="008E0CDE" w:rsidRDefault="008E0CDE" w:rsidP="008E0CDE">
      <w:pPr>
        <w:jc w:val="both"/>
        <w:rPr>
          <w:bCs/>
          <w:sz w:val="22"/>
        </w:rPr>
      </w:pPr>
    </w:p>
    <w:p w:rsidR="008E0CDE" w:rsidRPr="008E0CDE" w:rsidRDefault="008E0CDE" w:rsidP="008E0CDE">
      <w:pPr>
        <w:jc w:val="both"/>
        <w:rPr>
          <w:bCs/>
          <w:sz w:val="22"/>
        </w:rPr>
      </w:pPr>
      <w:r w:rsidRPr="008E0CDE">
        <w:rPr>
          <w:bCs/>
          <w:sz w:val="22"/>
        </w:rPr>
        <w:t>Αναλυτικότερα, τον Ιούνιο του 2016 με απόφαση του Αναπληρωτή Υπουργού Οικονομικών καθορ</w:t>
      </w:r>
      <w:r w:rsidRPr="008E0CDE">
        <w:rPr>
          <w:bCs/>
          <w:sz w:val="22"/>
        </w:rPr>
        <w:t>ί</w:t>
      </w:r>
      <w:r w:rsidRPr="008E0CDE">
        <w:rPr>
          <w:bCs/>
          <w:sz w:val="22"/>
        </w:rPr>
        <w:t xml:space="preserve">στηκαν οι προϋποθέσεις, η διαδικασία και οι λοιπές λεπτομέρειες για την εξόφληση ληξιπρόθεσμων υποχρεώσεων, ενώ το 2017 με κοινή απόφαση του Αναπληρωτή Υπουργού Οικονομικών και της </w:t>
      </w:r>
      <w:r w:rsidRPr="008E0CDE">
        <w:rPr>
          <w:bCs/>
          <w:sz w:val="22"/>
        </w:rPr>
        <w:t>Υ</w:t>
      </w:r>
      <w:r w:rsidRPr="008E0CDE">
        <w:rPr>
          <w:bCs/>
          <w:sz w:val="22"/>
        </w:rPr>
        <w:t>πουργού Εργασίας, Κοινωνικής Ασφάλισης και Κοινωνικής Αλληλεγγύης καθορίστηκαν οι προϋπ</w:t>
      </w:r>
      <w:r w:rsidRPr="008E0CDE">
        <w:rPr>
          <w:bCs/>
          <w:sz w:val="22"/>
        </w:rPr>
        <w:t>ο</w:t>
      </w:r>
      <w:r w:rsidRPr="008E0CDE">
        <w:rPr>
          <w:bCs/>
          <w:sz w:val="22"/>
        </w:rPr>
        <w:t>θέσεις, η διαδικασία και οι λοιπές λεπτομέρειες για την εξόφληση εκκρεμών αιτήσεων συνταξιοδότ</w:t>
      </w:r>
      <w:r w:rsidRPr="008E0CDE">
        <w:rPr>
          <w:bCs/>
          <w:sz w:val="22"/>
        </w:rPr>
        <w:t>η</w:t>
      </w:r>
      <w:r w:rsidRPr="008E0CDE">
        <w:rPr>
          <w:bCs/>
          <w:sz w:val="22"/>
        </w:rPr>
        <w:t xml:space="preserve">σης. Παράλληλα, συστάθηκε λογαριασμός του Ελληνικού Δημοσίου στην Τράπεζα της Ελλάδος, ο οποίος πιστώνεται με το προϊόν της ειδικής χρηματοδότησης από τον ΕΜΣ. </w:t>
      </w:r>
    </w:p>
    <w:p w:rsidR="008E0CDE" w:rsidRPr="008E0CDE" w:rsidRDefault="008E0CDE" w:rsidP="008E0CDE">
      <w:pPr>
        <w:jc w:val="both"/>
        <w:rPr>
          <w:bCs/>
          <w:sz w:val="22"/>
        </w:rPr>
      </w:pPr>
    </w:p>
    <w:p w:rsidR="008E0CDE" w:rsidRPr="008E0CDE" w:rsidRDefault="008E0CDE" w:rsidP="008E0CDE">
      <w:pPr>
        <w:jc w:val="both"/>
        <w:rPr>
          <w:bCs/>
          <w:sz w:val="22"/>
        </w:rPr>
      </w:pPr>
      <w:r w:rsidRPr="008E0CDE">
        <w:rPr>
          <w:bCs/>
          <w:sz w:val="22"/>
        </w:rPr>
        <w:t>Η υλοποίηση του προγράμματος ξεκίνησε από τα μέσα του μηνός Ιουλίου 2016 μετά την εκταμίευση</w:t>
      </w:r>
      <w:r w:rsidR="002C61F9">
        <w:rPr>
          <w:bCs/>
          <w:sz w:val="22"/>
        </w:rPr>
        <w:t xml:space="preserve"> </w:t>
      </w:r>
      <w:r w:rsidRPr="008E0CDE">
        <w:rPr>
          <w:bCs/>
          <w:sz w:val="22"/>
        </w:rPr>
        <w:t>ποσού 1.800 εκατ. ευρώ από τον ΕΜΣ. Εντός του 2016 εκταμιεύτηκε επιπλέον ποσό 1.700 εκατ. ε</w:t>
      </w:r>
      <w:r w:rsidRPr="008E0CDE">
        <w:rPr>
          <w:bCs/>
          <w:sz w:val="22"/>
        </w:rPr>
        <w:t>υ</w:t>
      </w:r>
      <w:r w:rsidR="00E84289">
        <w:rPr>
          <w:bCs/>
          <w:sz w:val="22"/>
        </w:rPr>
        <w:t>ρώ. Επίσης,</w:t>
      </w:r>
      <w:r w:rsidRPr="008E0CDE">
        <w:rPr>
          <w:bCs/>
          <w:sz w:val="22"/>
        </w:rPr>
        <w:t xml:space="preserve"> τον Ιούλιο του 2017 εκταμιεύτηκε ποσό 800 εκατ. ευρώ</w:t>
      </w:r>
      <w:r w:rsidR="004853DE">
        <w:rPr>
          <w:bCs/>
          <w:sz w:val="22"/>
        </w:rPr>
        <w:t>,</w:t>
      </w:r>
      <w:r w:rsidR="00E84289">
        <w:rPr>
          <w:bCs/>
          <w:sz w:val="22"/>
        </w:rPr>
        <w:t xml:space="preserve"> διαμορφώνοντας τ</w:t>
      </w:r>
      <w:r w:rsidRPr="008E0CDE">
        <w:rPr>
          <w:bCs/>
          <w:sz w:val="22"/>
        </w:rPr>
        <w:t xml:space="preserve">ο συνολικό ποσό εκταμίευσης από τον ΕΜΣ ως το τέλος Σεπτεμβρίου 2017 </w:t>
      </w:r>
      <w:r w:rsidR="00B538AD">
        <w:rPr>
          <w:bCs/>
          <w:sz w:val="22"/>
        </w:rPr>
        <w:t>στα</w:t>
      </w:r>
      <w:r w:rsidRPr="008E0CDE">
        <w:rPr>
          <w:bCs/>
          <w:sz w:val="22"/>
        </w:rPr>
        <w:t xml:space="preserve"> 4.300 εκα</w:t>
      </w:r>
      <w:r w:rsidR="00B538AD">
        <w:rPr>
          <w:bCs/>
          <w:sz w:val="22"/>
        </w:rPr>
        <w:t>τ. ευρώ</w:t>
      </w:r>
      <w:r w:rsidR="00E84289">
        <w:rPr>
          <w:bCs/>
          <w:sz w:val="22"/>
        </w:rPr>
        <w:t xml:space="preserve">. Αντίστοιχα, ως το τέλος Σεπτεμβρίου 2017 </w:t>
      </w:r>
      <w:r w:rsidR="004853DE">
        <w:rPr>
          <w:bCs/>
          <w:sz w:val="22"/>
        </w:rPr>
        <w:t>αποπληρώθηκαν</w:t>
      </w:r>
      <w:r w:rsidR="00E84289">
        <w:rPr>
          <w:bCs/>
          <w:sz w:val="22"/>
        </w:rPr>
        <w:t xml:space="preserve"> ληξιπρόθεσμες</w:t>
      </w:r>
      <w:r w:rsidR="00B538AD">
        <w:rPr>
          <w:bCs/>
          <w:sz w:val="22"/>
        </w:rPr>
        <w:t xml:space="preserve"> υποχρεώσεις</w:t>
      </w:r>
      <w:r w:rsidR="00E84289">
        <w:rPr>
          <w:bCs/>
          <w:sz w:val="22"/>
        </w:rPr>
        <w:t>, επιστροφές φόρων και ε</w:t>
      </w:r>
      <w:r w:rsidR="00E84289">
        <w:rPr>
          <w:bCs/>
          <w:sz w:val="22"/>
        </w:rPr>
        <w:t>κ</w:t>
      </w:r>
      <w:r w:rsidR="00E84289">
        <w:rPr>
          <w:bCs/>
          <w:sz w:val="22"/>
        </w:rPr>
        <w:t>κρεμείς αιτήσεις συνταξιοδότησης</w:t>
      </w:r>
      <w:r w:rsidR="00B538AD">
        <w:rPr>
          <w:bCs/>
          <w:sz w:val="22"/>
        </w:rPr>
        <w:t xml:space="preserve"> </w:t>
      </w:r>
      <w:r w:rsidR="00406778">
        <w:rPr>
          <w:bCs/>
          <w:sz w:val="22"/>
        </w:rPr>
        <w:t xml:space="preserve">συνολικού </w:t>
      </w:r>
      <w:r w:rsidR="00B538AD">
        <w:rPr>
          <w:bCs/>
          <w:sz w:val="22"/>
        </w:rPr>
        <w:t>ύψους 4.284 εκατ. ευρώ.</w:t>
      </w:r>
      <w:r w:rsidRPr="008E0CDE">
        <w:rPr>
          <w:bCs/>
          <w:sz w:val="22"/>
        </w:rPr>
        <w:t xml:space="preserve"> </w:t>
      </w:r>
    </w:p>
    <w:p w:rsidR="008E0CDE" w:rsidRPr="008E0CDE" w:rsidRDefault="008E0CDE" w:rsidP="008E0CDE">
      <w:pPr>
        <w:jc w:val="both"/>
        <w:rPr>
          <w:bCs/>
          <w:sz w:val="22"/>
        </w:rPr>
      </w:pPr>
    </w:p>
    <w:p w:rsidR="00FB275C" w:rsidRDefault="00FB275C" w:rsidP="008E0CDE">
      <w:pPr>
        <w:jc w:val="both"/>
        <w:rPr>
          <w:bCs/>
          <w:sz w:val="22"/>
        </w:rPr>
      </w:pPr>
    </w:p>
    <w:tbl>
      <w:tblPr>
        <w:tblW w:w="9024" w:type="dxa"/>
        <w:tblInd w:w="93" w:type="dxa"/>
        <w:tblBorders>
          <w:top w:val="single" w:sz="6" w:space="0" w:color="auto"/>
          <w:left w:val="single" w:sz="6" w:space="0" w:color="auto"/>
          <w:bottom w:val="single" w:sz="6" w:space="0" w:color="auto"/>
          <w:right w:val="single" w:sz="6" w:space="0" w:color="auto"/>
        </w:tblBorders>
        <w:tblCellMar>
          <w:left w:w="28" w:type="dxa"/>
          <w:right w:w="28" w:type="dxa"/>
        </w:tblCellMar>
        <w:tblLook w:val="04A0" w:firstRow="1" w:lastRow="0" w:firstColumn="1" w:lastColumn="0" w:noHBand="0" w:noVBand="1"/>
      </w:tblPr>
      <w:tblGrid>
        <w:gridCol w:w="2487"/>
        <w:gridCol w:w="1214"/>
        <w:gridCol w:w="1196"/>
        <w:gridCol w:w="850"/>
        <w:gridCol w:w="1133"/>
        <w:gridCol w:w="1277"/>
        <w:gridCol w:w="867"/>
      </w:tblGrid>
      <w:tr w:rsidR="00D650B7" w:rsidRPr="00131315" w:rsidTr="00910B7B">
        <w:trPr>
          <w:trHeight w:val="925"/>
        </w:trPr>
        <w:tc>
          <w:tcPr>
            <w:tcW w:w="9024" w:type="dxa"/>
            <w:gridSpan w:val="7"/>
            <w:shd w:val="clear" w:color="000000" w:fill="404040"/>
            <w:noWrap/>
            <w:vAlign w:val="bottom"/>
            <w:hideMark/>
          </w:tcPr>
          <w:p w:rsidR="00D650B7" w:rsidRPr="00B90651" w:rsidRDefault="00D650B7" w:rsidP="001769DA">
            <w:pPr>
              <w:jc w:val="center"/>
              <w:rPr>
                <w:rFonts w:ascii="Arial Narrow" w:hAnsi="Arial Narrow"/>
                <w:b/>
                <w:bCs/>
                <w:color w:val="FFFFFF"/>
              </w:rPr>
            </w:pPr>
            <w:r w:rsidRPr="00131315">
              <w:rPr>
                <w:rFonts w:ascii="Arial Narrow" w:hAnsi="Arial Narrow"/>
                <w:b/>
                <w:bCs/>
                <w:color w:val="FFFFFF"/>
              </w:rPr>
              <w:t>Πίνακας 3</w:t>
            </w:r>
            <w:r w:rsidR="00446090">
              <w:rPr>
                <w:rFonts w:ascii="Arial Narrow" w:hAnsi="Arial Narrow"/>
                <w:b/>
                <w:bCs/>
                <w:color w:val="FFFFFF"/>
              </w:rPr>
              <w:t xml:space="preserve">.29 </w:t>
            </w:r>
            <w:r w:rsidRPr="00131315">
              <w:rPr>
                <w:rFonts w:ascii="Arial Narrow" w:hAnsi="Arial Narrow"/>
                <w:b/>
                <w:bCs/>
                <w:color w:val="FFFFFF"/>
              </w:rPr>
              <w:t xml:space="preserve"> Πρόγραμμα εξόφλησης ληξιπρόθεσμων οφειλών </w:t>
            </w:r>
          </w:p>
          <w:p w:rsidR="00D650B7" w:rsidRPr="00B90651" w:rsidRDefault="00D650B7" w:rsidP="001769DA">
            <w:pPr>
              <w:jc w:val="center"/>
              <w:rPr>
                <w:rFonts w:ascii="Arial Narrow" w:hAnsi="Arial Narrow"/>
                <w:color w:val="FFFFFF"/>
              </w:rPr>
            </w:pPr>
            <w:r w:rsidRPr="00131315">
              <w:rPr>
                <w:rFonts w:ascii="Arial Narrow" w:hAnsi="Arial Narrow"/>
                <w:b/>
                <w:bCs/>
                <w:color w:val="FFFFFF"/>
              </w:rPr>
              <w:t>Ιούλιος 2016 έως Σεπτέμβριος 2017</w:t>
            </w:r>
            <w:r w:rsidRPr="00131315">
              <w:rPr>
                <w:rFonts w:ascii="Arial Narrow" w:hAnsi="Arial Narrow"/>
                <w:color w:val="FFFFFF"/>
              </w:rPr>
              <w:t xml:space="preserve"> </w:t>
            </w:r>
          </w:p>
          <w:p w:rsidR="00D650B7" w:rsidRPr="00910B7B" w:rsidRDefault="00D650B7" w:rsidP="001769DA">
            <w:pPr>
              <w:jc w:val="center"/>
              <w:rPr>
                <w:rFonts w:ascii="Arial Narrow" w:hAnsi="Arial Narrow"/>
                <w:b/>
                <w:bCs/>
                <w:color w:val="FFFFFF"/>
              </w:rPr>
            </w:pPr>
            <w:r w:rsidRPr="00910B7B">
              <w:rPr>
                <w:rFonts w:ascii="Arial Narrow" w:hAnsi="Arial Narrow"/>
                <w:b/>
                <w:color w:val="FFFFFF"/>
              </w:rPr>
              <w:t>(σε εκατ. ευρώ)</w:t>
            </w:r>
          </w:p>
        </w:tc>
      </w:tr>
      <w:tr w:rsidR="00D650B7" w:rsidRPr="00910B7B" w:rsidTr="00910B7B">
        <w:trPr>
          <w:trHeight w:val="170"/>
        </w:trPr>
        <w:tc>
          <w:tcPr>
            <w:tcW w:w="9024" w:type="dxa"/>
            <w:gridSpan w:val="7"/>
            <w:tcBorders>
              <w:bottom w:val="single" w:sz="6" w:space="0" w:color="auto"/>
            </w:tcBorders>
            <w:shd w:val="clear" w:color="auto" w:fill="auto"/>
            <w:noWrap/>
            <w:vAlign w:val="bottom"/>
            <w:hideMark/>
          </w:tcPr>
          <w:p w:rsidR="00D650B7" w:rsidRPr="00910B7B" w:rsidRDefault="00D650B7" w:rsidP="001769DA">
            <w:pPr>
              <w:jc w:val="center"/>
              <w:rPr>
                <w:rFonts w:ascii="Arial Narrow" w:hAnsi="Arial Narrow"/>
                <w:b/>
                <w:bCs/>
                <w:color w:val="FFFFFF"/>
                <w:sz w:val="16"/>
              </w:rPr>
            </w:pPr>
          </w:p>
        </w:tc>
      </w:tr>
      <w:tr w:rsidR="00910B7B" w:rsidRPr="00131315" w:rsidTr="00910B7B">
        <w:trPr>
          <w:trHeight w:val="20"/>
        </w:trPr>
        <w:tc>
          <w:tcPr>
            <w:tcW w:w="2487" w:type="dxa"/>
            <w:tcBorders>
              <w:top w:val="single" w:sz="6" w:space="0" w:color="auto"/>
              <w:bottom w:val="nil"/>
              <w:right w:val="single" w:sz="6" w:space="0" w:color="auto"/>
            </w:tcBorders>
            <w:shd w:val="clear" w:color="000000" w:fill="FFFFFF"/>
            <w:noWrap/>
            <w:vAlign w:val="bottom"/>
            <w:hideMark/>
          </w:tcPr>
          <w:p w:rsidR="00D650B7" w:rsidRPr="00131315" w:rsidRDefault="00D650B7" w:rsidP="001769DA">
            <w:pPr>
              <w:rPr>
                <w:color w:val="000000"/>
                <w:sz w:val="20"/>
                <w:szCs w:val="20"/>
              </w:rPr>
            </w:pPr>
            <w:r w:rsidRPr="00131315">
              <w:rPr>
                <w:color w:val="000000"/>
                <w:sz w:val="20"/>
                <w:szCs w:val="20"/>
              </w:rPr>
              <w:t> </w:t>
            </w:r>
          </w:p>
        </w:tc>
        <w:tc>
          <w:tcPr>
            <w:tcW w:w="3260" w:type="dxa"/>
            <w:gridSpan w:val="3"/>
            <w:tcBorders>
              <w:top w:val="single" w:sz="6" w:space="0" w:color="auto"/>
              <w:left w:val="single" w:sz="6" w:space="0" w:color="auto"/>
              <w:bottom w:val="single" w:sz="6" w:space="0" w:color="auto"/>
              <w:right w:val="single" w:sz="6" w:space="0" w:color="auto"/>
            </w:tcBorders>
            <w:shd w:val="clear" w:color="000000" w:fill="FFFFFF"/>
            <w:noWrap/>
            <w:vAlign w:val="bottom"/>
            <w:hideMark/>
          </w:tcPr>
          <w:p w:rsidR="00D650B7" w:rsidRPr="00131315" w:rsidRDefault="00D650B7" w:rsidP="001769DA">
            <w:pPr>
              <w:jc w:val="center"/>
              <w:rPr>
                <w:rFonts w:ascii="Arial Narrow" w:hAnsi="Arial Narrow"/>
                <w:b/>
                <w:bCs/>
                <w:color w:val="000000"/>
                <w:sz w:val="16"/>
                <w:szCs w:val="16"/>
              </w:rPr>
            </w:pPr>
            <w:r w:rsidRPr="00131315">
              <w:rPr>
                <w:rFonts w:ascii="Arial Narrow" w:hAnsi="Arial Narrow"/>
                <w:b/>
                <w:bCs/>
                <w:color w:val="000000"/>
                <w:sz w:val="16"/>
                <w:szCs w:val="16"/>
              </w:rPr>
              <w:t>Ενισχύσεις πιστώσεων - Επιχορηγήσεις</w:t>
            </w:r>
          </w:p>
        </w:tc>
        <w:tc>
          <w:tcPr>
            <w:tcW w:w="3277" w:type="dxa"/>
            <w:gridSpan w:val="3"/>
            <w:tcBorders>
              <w:top w:val="single" w:sz="6" w:space="0" w:color="auto"/>
              <w:left w:val="single" w:sz="6" w:space="0" w:color="auto"/>
              <w:bottom w:val="single" w:sz="6" w:space="0" w:color="auto"/>
            </w:tcBorders>
            <w:shd w:val="clear" w:color="000000" w:fill="FFFFFF"/>
            <w:vAlign w:val="bottom"/>
            <w:hideMark/>
          </w:tcPr>
          <w:p w:rsidR="00D650B7" w:rsidRPr="00131315" w:rsidRDefault="00D650B7" w:rsidP="001769DA">
            <w:pPr>
              <w:jc w:val="center"/>
              <w:rPr>
                <w:rFonts w:ascii="Arial Narrow" w:hAnsi="Arial Narrow"/>
                <w:b/>
                <w:bCs/>
                <w:color w:val="000000"/>
                <w:sz w:val="16"/>
                <w:szCs w:val="16"/>
              </w:rPr>
            </w:pPr>
            <w:r w:rsidRPr="00131315">
              <w:rPr>
                <w:rFonts w:ascii="Arial Narrow" w:hAnsi="Arial Narrow"/>
                <w:b/>
                <w:bCs/>
                <w:color w:val="000000"/>
                <w:sz w:val="16"/>
                <w:szCs w:val="16"/>
              </w:rPr>
              <w:t>Πληρωμές</w:t>
            </w:r>
          </w:p>
        </w:tc>
      </w:tr>
      <w:tr w:rsidR="00910B7B" w:rsidRPr="00131315" w:rsidTr="00910B7B">
        <w:trPr>
          <w:trHeight w:val="20"/>
        </w:trPr>
        <w:tc>
          <w:tcPr>
            <w:tcW w:w="2487" w:type="dxa"/>
            <w:tcBorders>
              <w:top w:val="nil"/>
              <w:bottom w:val="single" w:sz="6" w:space="0" w:color="auto"/>
              <w:right w:val="single" w:sz="6" w:space="0" w:color="auto"/>
            </w:tcBorders>
            <w:shd w:val="clear" w:color="000000" w:fill="FFFFFF"/>
            <w:noWrap/>
            <w:vAlign w:val="bottom"/>
            <w:hideMark/>
          </w:tcPr>
          <w:p w:rsidR="00D650B7" w:rsidRPr="00131315" w:rsidRDefault="00D650B7" w:rsidP="001769DA">
            <w:pPr>
              <w:rPr>
                <w:color w:val="000000"/>
                <w:sz w:val="20"/>
                <w:szCs w:val="20"/>
              </w:rPr>
            </w:pPr>
            <w:r w:rsidRPr="00131315">
              <w:rPr>
                <w:color w:val="000000"/>
                <w:sz w:val="20"/>
                <w:szCs w:val="20"/>
              </w:rPr>
              <w:t> </w:t>
            </w:r>
          </w:p>
        </w:tc>
        <w:tc>
          <w:tcPr>
            <w:tcW w:w="1214" w:type="dxa"/>
            <w:tcBorders>
              <w:top w:val="single" w:sz="6" w:space="0" w:color="auto"/>
              <w:left w:val="single" w:sz="6" w:space="0" w:color="auto"/>
              <w:bottom w:val="single" w:sz="6" w:space="0" w:color="auto"/>
              <w:right w:val="single" w:sz="6" w:space="0" w:color="auto"/>
            </w:tcBorders>
            <w:shd w:val="clear" w:color="000000" w:fill="FFFFFF"/>
            <w:vAlign w:val="bottom"/>
            <w:hideMark/>
          </w:tcPr>
          <w:p w:rsidR="00D650B7" w:rsidRPr="00131315" w:rsidRDefault="00D650B7" w:rsidP="00D650B7">
            <w:pPr>
              <w:jc w:val="center"/>
              <w:rPr>
                <w:rFonts w:ascii="Arial Narrow" w:hAnsi="Arial Narrow"/>
                <w:b/>
                <w:bCs/>
                <w:color w:val="000000"/>
                <w:sz w:val="16"/>
                <w:szCs w:val="16"/>
              </w:rPr>
            </w:pPr>
            <w:r w:rsidRPr="00131315">
              <w:rPr>
                <w:rFonts w:ascii="Arial Narrow" w:hAnsi="Arial Narrow"/>
                <w:b/>
                <w:bCs/>
                <w:color w:val="000000"/>
                <w:sz w:val="16"/>
                <w:szCs w:val="16"/>
              </w:rPr>
              <w:t xml:space="preserve">Ιούλιος -Δεκέμβριος 2016 </w:t>
            </w:r>
          </w:p>
        </w:tc>
        <w:tc>
          <w:tcPr>
            <w:tcW w:w="1196" w:type="dxa"/>
            <w:tcBorders>
              <w:top w:val="single" w:sz="6" w:space="0" w:color="auto"/>
              <w:left w:val="single" w:sz="6" w:space="0" w:color="auto"/>
              <w:bottom w:val="single" w:sz="6" w:space="0" w:color="auto"/>
              <w:right w:val="single" w:sz="6" w:space="0" w:color="auto"/>
            </w:tcBorders>
            <w:shd w:val="clear" w:color="000000" w:fill="FFFFFF"/>
            <w:vAlign w:val="bottom"/>
            <w:hideMark/>
          </w:tcPr>
          <w:p w:rsidR="00D650B7" w:rsidRPr="00131315" w:rsidRDefault="00D650B7" w:rsidP="00910B7B">
            <w:pPr>
              <w:jc w:val="center"/>
              <w:rPr>
                <w:rFonts w:ascii="Arial Narrow" w:hAnsi="Arial Narrow"/>
                <w:b/>
                <w:bCs/>
                <w:color w:val="000000"/>
                <w:sz w:val="16"/>
                <w:szCs w:val="16"/>
              </w:rPr>
            </w:pPr>
            <w:r w:rsidRPr="00131315">
              <w:rPr>
                <w:rFonts w:ascii="Arial Narrow" w:hAnsi="Arial Narrow"/>
                <w:b/>
                <w:bCs/>
                <w:color w:val="000000"/>
                <w:sz w:val="16"/>
                <w:szCs w:val="16"/>
              </w:rPr>
              <w:t>Ιανουάριος -Σεπτέμβριος 2017</w:t>
            </w:r>
          </w:p>
        </w:tc>
        <w:tc>
          <w:tcPr>
            <w:tcW w:w="850" w:type="dxa"/>
            <w:tcBorders>
              <w:top w:val="single" w:sz="6" w:space="0" w:color="auto"/>
              <w:left w:val="single" w:sz="6" w:space="0" w:color="auto"/>
              <w:bottom w:val="single" w:sz="6" w:space="0" w:color="auto"/>
              <w:right w:val="single" w:sz="6" w:space="0" w:color="auto"/>
            </w:tcBorders>
            <w:shd w:val="clear" w:color="000000" w:fill="FFFFFF"/>
            <w:vAlign w:val="bottom"/>
            <w:hideMark/>
          </w:tcPr>
          <w:p w:rsidR="00D650B7" w:rsidRPr="00131315" w:rsidRDefault="00D650B7" w:rsidP="001769DA">
            <w:pPr>
              <w:jc w:val="center"/>
              <w:rPr>
                <w:rFonts w:ascii="Arial Narrow" w:hAnsi="Arial Narrow"/>
                <w:b/>
                <w:bCs/>
                <w:color w:val="000000"/>
                <w:sz w:val="16"/>
                <w:szCs w:val="16"/>
              </w:rPr>
            </w:pPr>
            <w:r w:rsidRPr="00131315">
              <w:rPr>
                <w:rFonts w:ascii="Arial Narrow" w:hAnsi="Arial Narrow"/>
                <w:b/>
                <w:bCs/>
                <w:color w:val="000000"/>
                <w:sz w:val="16"/>
                <w:szCs w:val="16"/>
              </w:rPr>
              <w:t>Σύνολο</w:t>
            </w:r>
          </w:p>
        </w:tc>
        <w:tc>
          <w:tcPr>
            <w:tcW w:w="1133" w:type="dxa"/>
            <w:tcBorders>
              <w:top w:val="single" w:sz="6" w:space="0" w:color="auto"/>
              <w:left w:val="single" w:sz="6" w:space="0" w:color="auto"/>
              <w:bottom w:val="single" w:sz="6" w:space="0" w:color="auto"/>
              <w:right w:val="single" w:sz="6" w:space="0" w:color="auto"/>
            </w:tcBorders>
            <w:shd w:val="clear" w:color="000000" w:fill="FFFFFF"/>
            <w:vAlign w:val="bottom"/>
            <w:hideMark/>
          </w:tcPr>
          <w:p w:rsidR="00D650B7" w:rsidRPr="00131315" w:rsidRDefault="00D650B7" w:rsidP="00D650B7">
            <w:pPr>
              <w:jc w:val="center"/>
              <w:rPr>
                <w:rFonts w:ascii="Arial Narrow" w:hAnsi="Arial Narrow"/>
                <w:b/>
                <w:bCs/>
                <w:color w:val="000000"/>
                <w:sz w:val="16"/>
                <w:szCs w:val="16"/>
              </w:rPr>
            </w:pPr>
            <w:r w:rsidRPr="00131315">
              <w:rPr>
                <w:rFonts w:ascii="Arial Narrow" w:hAnsi="Arial Narrow"/>
                <w:b/>
                <w:bCs/>
                <w:color w:val="000000"/>
                <w:sz w:val="16"/>
                <w:szCs w:val="16"/>
              </w:rPr>
              <w:t xml:space="preserve">Ιούλιος -Δεκέμβριος 2016 </w:t>
            </w:r>
          </w:p>
        </w:tc>
        <w:tc>
          <w:tcPr>
            <w:tcW w:w="1277" w:type="dxa"/>
            <w:tcBorders>
              <w:top w:val="single" w:sz="6" w:space="0" w:color="auto"/>
              <w:left w:val="single" w:sz="6" w:space="0" w:color="auto"/>
              <w:bottom w:val="single" w:sz="6" w:space="0" w:color="auto"/>
              <w:right w:val="single" w:sz="6" w:space="0" w:color="auto"/>
            </w:tcBorders>
            <w:shd w:val="clear" w:color="000000" w:fill="FFFFFF"/>
            <w:vAlign w:val="bottom"/>
            <w:hideMark/>
          </w:tcPr>
          <w:p w:rsidR="00910B7B" w:rsidRDefault="00D650B7" w:rsidP="001769DA">
            <w:pPr>
              <w:jc w:val="center"/>
              <w:rPr>
                <w:rFonts w:ascii="Arial Narrow" w:hAnsi="Arial Narrow"/>
                <w:b/>
                <w:bCs/>
                <w:color w:val="000000"/>
                <w:sz w:val="16"/>
                <w:szCs w:val="16"/>
              </w:rPr>
            </w:pPr>
            <w:r w:rsidRPr="00131315">
              <w:rPr>
                <w:rFonts w:ascii="Arial Narrow" w:hAnsi="Arial Narrow"/>
                <w:b/>
                <w:bCs/>
                <w:color w:val="000000"/>
                <w:sz w:val="16"/>
                <w:szCs w:val="16"/>
              </w:rPr>
              <w:t xml:space="preserve">Ιανουάριος </w:t>
            </w:r>
            <w:r w:rsidR="00910B7B">
              <w:rPr>
                <w:rFonts w:ascii="Arial Narrow" w:hAnsi="Arial Narrow"/>
                <w:b/>
                <w:bCs/>
                <w:color w:val="000000"/>
                <w:sz w:val="16"/>
                <w:szCs w:val="16"/>
              </w:rPr>
              <w:t>–</w:t>
            </w:r>
            <w:r w:rsidRPr="00131315">
              <w:rPr>
                <w:rFonts w:ascii="Arial Narrow" w:hAnsi="Arial Narrow"/>
                <w:b/>
                <w:bCs/>
                <w:color w:val="000000"/>
                <w:sz w:val="16"/>
                <w:szCs w:val="16"/>
              </w:rPr>
              <w:t xml:space="preserve"> </w:t>
            </w:r>
          </w:p>
          <w:p w:rsidR="00D650B7" w:rsidRPr="00131315" w:rsidRDefault="00D650B7" w:rsidP="001769DA">
            <w:pPr>
              <w:jc w:val="center"/>
              <w:rPr>
                <w:rFonts w:ascii="Arial Narrow" w:hAnsi="Arial Narrow"/>
                <w:b/>
                <w:bCs/>
                <w:color w:val="000000"/>
                <w:sz w:val="16"/>
                <w:szCs w:val="16"/>
              </w:rPr>
            </w:pPr>
            <w:r w:rsidRPr="00131315">
              <w:rPr>
                <w:rFonts w:ascii="Arial Narrow" w:hAnsi="Arial Narrow"/>
                <w:b/>
                <w:bCs/>
                <w:color w:val="000000"/>
                <w:sz w:val="16"/>
                <w:szCs w:val="16"/>
              </w:rPr>
              <w:t>Σεπτέμβριος 2017</w:t>
            </w:r>
          </w:p>
        </w:tc>
        <w:tc>
          <w:tcPr>
            <w:tcW w:w="867" w:type="dxa"/>
            <w:tcBorders>
              <w:top w:val="single" w:sz="6" w:space="0" w:color="auto"/>
              <w:left w:val="single" w:sz="6" w:space="0" w:color="auto"/>
              <w:bottom w:val="single" w:sz="6" w:space="0" w:color="auto"/>
            </w:tcBorders>
            <w:shd w:val="clear" w:color="000000" w:fill="FFFFFF"/>
            <w:vAlign w:val="bottom"/>
            <w:hideMark/>
          </w:tcPr>
          <w:p w:rsidR="00D650B7" w:rsidRPr="00131315" w:rsidRDefault="00D650B7" w:rsidP="001769DA">
            <w:pPr>
              <w:jc w:val="center"/>
              <w:rPr>
                <w:rFonts w:ascii="Arial Narrow" w:hAnsi="Arial Narrow"/>
                <w:b/>
                <w:bCs/>
                <w:color w:val="000000"/>
                <w:sz w:val="16"/>
                <w:szCs w:val="16"/>
              </w:rPr>
            </w:pPr>
            <w:r w:rsidRPr="00131315">
              <w:rPr>
                <w:rFonts w:ascii="Arial Narrow" w:hAnsi="Arial Narrow"/>
                <w:b/>
                <w:bCs/>
                <w:color w:val="000000"/>
                <w:sz w:val="16"/>
                <w:szCs w:val="16"/>
              </w:rPr>
              <w:t>Σύνολο</w:t>
            </w:r>
          </w:p>
        </w:tc>
      </w:tr>
      <w:tr w:rsidR="00910B7B" w:rsidRPr="00131315" w:rsidTr="00910B7B">
        <w:trPr>
          <w:trHeight w:val="20"/>
        </w:trPr>
        <w:tc>
          <w:tcPr>
            <w:tcW w:w="2487" w:type="dxa"/>
            <w:tcBorders>
              <w:top w:val="single" w:sz="6" w:space="0" w:color="auto"/>
            </w:tcBorders>
            <w:shd w:val="clear" w:color="000000" w:fill="FFFFFF"/>
            <w:noWrap/>
            <w:vAlign w:val="bottom"/>
            <w:hideMark/>
          </w:tcPr>
          <w:p w:rsidR="00D650B7" w:rsidRPr="00131315" w:rsidRDefault="00D650B7" w:rsidP="001769DA">
            <w:pPr>
              <w:rPr>
                <w:rFonts w:ascii="Arial Narrow" w:hAnsi="Arial Narrow"/>
                <w:color w:val="000000"/>
                <w:sz w:val="16"/>
                <w:szCs w:val="16"/>
              </w:rPr>
            </w:pPr>
            <w:r w:rsidRPr="00131315">
              <w:rPr>
                <w:rFonts w:ascii="Arial Narrow" w:hAnsi="Arial Narrow"/>
                <w:color w:val="000000"/>
                <w:sz w:val="16"/>
                <w:szCs w:val="16"/>
              </w:rPr>
              <w:t>Κράτος</w:t>
            </w:r>
            <w:r w:rsidR="00E84289">
              <w:rPr>
                <w:rFonts w:ascii="Arial Narrow" w:hAnsi="Arial Narrow"/>
                <w:color w:val="000000"/>
                <w:sz w:val="16"/>
                <w:szCs w:val="16"/>
              </w:rPr>
              <w:t>*</w:t>
            </w:r>
          </w:p>
        </w:tc>
        <w:tc>
          <w:tcPr>
            <w:tcW w:w="1214" w:type="dxa"/>
            <w:tcBorders>
              <w:top w:val="single" w:sz="6" w:space="0" w:color="auto"/>
            </w:tcBorders>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467,1</w:t>
            </w:r>
          </w:p>
        </w:tc>
        <w:tc>
          <w:tcPr>
            <w:tcW w:w="1196" w:type="dxa"/>
            <w:tcBorders>
              <w:top w:val="single" w:sz="6" w:space="0" w:color="auto"/>
            </w:tcBorders>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1,3</w:t>
            </w:r>
          </w:p>
        </w:tc>
        <w:tc>
          <w:tcPr>
            <w:tcW w:w="850" w:type="dxa"/>
            <w:tcBorders>
              <w:top w:val="single" w:sz="6" w:space="0" w:color="auto"/>
            </w:tcBorders>
            <w:shd w:val="clear" w:color="000000" w:fill="FFFFFF"/>
            <w:noWrap/>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468,4</w:t>
            </w:r>
          </w:p>
        </w:tc>
        <w:tc>
          <w:tcPr>
            <w:tcW w:w="1133" w:type="dxa"/>
            <w:tcBorders>
              <w:top w:val="single" w:sz="6" w:space="0" w:color="auto"/>
            </w:tcBorders>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467,1</w:t>
            </w:r>
          </w:p>
        </w:tc>
        <w:tc>
          <w:tcPr>
            <w:tcW w:w="1277" w:type="dxa"/>
            <w:tcBorders>
              <w:top w:val="single" w:sz="6" w:space="0" w:color="auto"/>
            </w:tcBorders>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0,5</w:t>
            </w:r>
          </w:p>
        </w:tc>
        <w:tc>
          <w:tcPr>
            <w:tcW w:w="867" w:type="dxa"/>
            <w:tcBorders>
              <w:top w:val="single" w:sz="6" w:space="0" w:color="auto"/>
            </w:tcBorders>
            <w:shd w:val="clear" w:color="000000" w:fill="FFFFFF"/>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467,6</w:t>
            </w:r>
          </w:p>
        </w:tc>
      </w:tr>
      <w:tr w:rsidR="00910B7B" w:rsidRPr="00131315" w:rsidTr="00910B7B">
        <w:trPr>
          <w:trHeight w:val="20"/>
        </w:trPr>
        <w:tc>
          <w:tcPr>
            <w:tcW w:w="2487" w:type="dxa"/>
            <w:shd w:val="clear" w:color="000000" w:fill="FFFFFF"/>
            <w:noWrap/>
            <w:vAlign w:val="bottom"/>
            <w:hideMark/>
          </w:tcPr>
          <w:p w:rsidR="00D650B7" w:rsidRPr="00131315" w:rsidRDefault="00D650B7" w:rsidP="001769DA">
            <w:pPr>
              <w:rPr>
                <w:rFonts w:ascii="Arial Narrow" w:hAnsi="Arial Narrow"/>
                <w:color w:val="000000"/>
                <w:sz w:val="16"/>
                <w:szCs w:val="16"/>
              </w:rPr>
            </w:pPr>
            <w:r w:rsidRPr="00131315">
              <w:rPr>
                <w:rFonts w:ascii="Arial Narrow" w:hAnsi="Arial Narrow"/>
                <w:color w:val="000000"/>
                <w:sz w:val="16"/>
                <w:szCs w:val="16"/>
              </w:rPr>
              <w:t>Οργανισμοί Τοπικής Αυτοδιοίκησης</w:t>
            </w:r>
          </w:p>
        </w:tc>
        <w:tc>
          <w:tcPr>
            <w:tcW w:w="1214"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80,5</w:t>
            </w:r>
          </w:p>
        </w:tc>
        <w:tc>
          <w:tcPr>
            <w:tcW w:w="1196"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110,6</w:t>
            </w:r>
          </w:p>
        </w:tc>
        <w:tc>
          <w:tcPr>
            <w:tcW w:w="850" w:type="dxa"/>
            <w:shd w:val="clear" w:color="000000" w:fill="FFFFFF"/>
            <w:noWrap/>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191,1</w:t>
            </w:r>
          </w:p>
        </w:tc>
        <w:tc>
          <w:tcPr>
            <w:tcW w:w="1133"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56,2</w:t>
            </w:r>
          </w:p>
        </w:tc>
        <w:tc>
          <w:tcPr>
            <w:tcW w:w="1277"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109,1</w:t>
            </w:r>
          </w:p>
        </w:tc>
        <w:tc>
          <w:tcPr>
            <w:tcW w:w="867" w:type="dxa"/>
            <w:shd w:val="clear" w:color="000000" w:fill="FFFFFF"/>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165,3</w:t>
            </w:r>
          </w:p>
        </w:tc>
      </w:tr>
      <w:tr w:rsidR="00910B7B" w:rsidRPr="00131315" w:rsidTr="00910B7B">
        <w:trPr>
          <w:trHeight w:val="20"/>
        </w:trPr>
        <w:tc>
          <w:tcPr>
            <w:tcW w:w="2487" w:type="dxa"/>
            <w:shd w:val="clear" w:color="000000" w:fill="FFFFFF"/>
            <w:vAlign w:val="bottom"/>
            <w:hideMark/>
          </w:tcPr>
          <w:p w:rsidR="00D650B7" w:rsidRPr="00131315" w:rsidRDefault="00D650B7" w:rsidP="001769DA">
            <w:pPr>
              <w:rPr>
                <w:rFonts w:ascii="Arial Narrow" w:hAnsi="Arial Narrow"/>
                <w:color w:val="000000"/>
                <w:sz w:val="16"/>
                <w:szCs w:val="16"/>
              </w:rPr>
            </w:pPr>
            <w:r w:rsidRPr="00131315">
              <w:rPr>
                <w:rFonts w:ascii="Arial Narrow" w:hAnsi="Arial Narrow"/>
                <w:color w:val="000000"/>
                <w:sz w:val="16"/>
                <w:szCs w:val="16"/>
              </w:rPr>
              <w:t xml:space="preserve">Οργανισμοί Κοινωνικής Ασφάλισης </w:t>
            </w:r>
          </w:p>
        </w:tc>
        <w:tc>
          <w:tcPr>
            <w:tcW w:w="1214" w:type="dxa"/>
            <w:shd w:val="clear" w:color="000000" w:fill="FFFFFF"/>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1.096,8</w:t>
            </w:r>
          </w:p>
        </w:tc>
        <w:tc>
          <w:tcPr>
            <w:tcW w:w="1196" w:type="dxa"/>
            <w:shd w:val="clear" w:color="000000" w:fill="FFFFFF"/>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380,8</w:t>
            </w:r>
          </w:p>
        </w:tc>
        <w:tc>
          <w:tcPr>
            <w:tcW w:w="850" w:type="dxa"/>
            <w:shd w:val="clear" w:color="000000" w:fill="FFFFFF"/>
            <w:noWrap/>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1.477,7</w:t>
            </w:r>
          </w:p>
        </w:tc>
        <w:tc>
          <w:tcPr>
            <w:tcW w:w="1133"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922,3</w:t>
            </w:r>
          </w:p>
        </w:tc>
        <w:tc>
          <w:tcPr>
            <w:tcW w:w="1277" w:type="dxa"/>
            <w:shd w:val="clear" w:color="000000" w:fill="FFFFFF"/>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336,4</w:t>
            </w:r>
          </w:p>
        </w:tc>
        <w:tc>
          <w:tcPr>
            <w:tcW w:w="867" w:type="dxa"/>
            <w:shd w:val="clear" w:color="000000" w:fill="FFFFFF"/>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1.258,6</w:t>
            </w:r>
          </w:p>
        </w:tc>
      </w:tr>
      <w:tr w:rsidR="00910B7B" w:rsidRPr="00131315" w:rsidTr="00910B7B">
        <w:trPr>
          <w:trHeight w:val="20"/>
        </w:trPr>
        <w:tc>
          <w:tcPr>
            <w:tcW w:w="2487" w:type="dxa"/>
            <w:shd w:val="clear" w:color="000000" w:fill="FFFFFF"/>
            <w:noWrap/>
            <w:vAlign w:val="bottom"/>
            <w:hideMark/>
          </w:tcPr>
          <w:p w:rsidR="00D650B7" w:rsidRPr="00131315" w:rsidRDefault="00D650B7" w:rsidP="001769DA">
            <w:pPr>
              <w:rPr>
                <w:rFonts w:ascii="Arial Narrow" w:hAnsi="Arial Narrow"/>
                <w:i/>
                <w:iCs/>
                <w:color w:val="000000"/>
                <w:sz w:val="16"/>
                <w:szCs w:val="16"/>
              </w:rPr>
            </w:pPr>
            <w:r w:rsidRPr="00131315">
              <w:rPr>
                <w:rFonts w:ascii="Arial Narrow" w:hAnsi="Arial Narrow"/>
                <w:i/>
                <w:iCs/>
                <w:color w:val="000000"/>
                <w:sz w:val="16"/>
                <w:szCs w:val="16"/>
              </w:rPr>
              <w:t xml:space="preserve">    εκ των οποίων ΕΟΠΥΥ</w:t>
            </w:r>
          </w:p>
        </w:tc>
        <w:tc>
          <w:tcPr>
            <w:tcW w:w="1214" w:type="dxa"/>
            <w:shd w:val="clear" w:color="000000" w:fill="FFFFFF"/>
            <w:noWrap/>
            <w:vAlign w:val="bottom"/>
            <w:hideMark/>
          </w:tcPr>
          <w:p w:rsidR="00D650B7" w:rsidRPr="00131315" w:rsidRDefault="00D650B7" w:rsidP="00910B7B">
            <w:pPr>
              <w:tabs>
                <w:tab w:val="decimal" w:pos="681"/>
              </w:tabs>
              <w:jc w:val="both"/>
              <w:rPr>
                <w:rFonts w:ascii="Arial Narrow" w:hAnsi="Arial Narrow"/>
                <w:i/>
                <w:iCs/>
                <w:color w:val="000000"/>
                <w:sz w:val="16"/>
                <w:szCs w:val="16"/>
              </w:rPr>
            </w:pPr>
            <w:r w:rsidRPr="00131315">
              <w:rPr>
                <w:rFonts w:ascii="Arial Narrow" w:hAnsi="Arial Narrow"/>
                <w:i/>
                <w:iCs/>
                <w:color w:val="000000"/>
                <w:sz w:val="16"/>
                <w:szCs w:val="16"/>
              </w:rPr>
              <w:t>674,8</w:t>
            </w:r>
          </w:p>
        </w:tc>
        <w:tc>
          <w:tcPr>
            <w:tcW w:w="1196" w:type="dxa"/>
            <w:shd w:val="clear" w:color="000000" w:fill="FFFFFF"/>
            <w:noWrap/>
            <w:vAlign w:val="bottom"/>
            <w:hideMark/>
          </w:tcPr>
          <w:p w:rsidR="00D650B7" w:rsidRPr="00131315" w:rsidRDefault="00D650B7" w:rsidP="00910B7B">
            <w:pPr>
              <w:tabs>
                <w:tab w:val="decimal" w:pos="681"/>
              </w:tabs>
              <w:jc w:val="both"/>
              <w:rPr>
                <w:rFonts w:ascii="Arial Narrow" w:hAnsi="Arial Narrow"/>
                <w:i/>
                <w:iCs/>
                <w:color w:val="000000"/>
                <w:sz w:val="16"/>
                <w:szCs w:val="16"/>
              </w:rPr>
            </w:pPr>
            <w:r w:rsidRPr="00131315">
              <w:rPr>
                <w:rFonts w:ascii="Arial Narrow" w:hAnsi="Arial Narrow"/>
                <w:i/>
                <w:iCs/>
                <w:color w:val="000000"/>
                <w:sz w:val="16"/>
                <w:szCs w:val="16"/>
              </w:rPr>
              <w:t>0,0</w:t>
            </w:r>
          </w:p>
        </w:tc>
        <w:tc>
          <w:tcPr>
            <w:tcW w:w="850" w:type="dxa"/>
            <w:shd w:val="clear" w:color="000000" w:fill="FFFFFF"/>
            <w:noWrap/>
            <w:vAlign w:val="bottom"/>
            <w:hideMark/>
          </w:tcPr>
          <w:p w:rsidR="00D650B7" w:rsidRPr="00131315" w:rsidRDefault="00D650B7" w:rsidP="00910B7B">
            <w:pPr>
              <w:tabs>
                <w:tab w:val="decimal" w:pos="539"/>
              </w:tabs>
              <w:jc w:val="both"/>
              <w:rPr>
                <w:rFonts w:ascii="Arial Narrow" w:hAnsi="Arial Narrow"/>
                <w:i/>
                <w:iCs/>
                <w:color w:val="000000"/>
                <w:sz w:val="16"/>
                <w:szCs w:val="16"/>
              </w:rPr>
            </w:pPr>
            <w:r w:rsidRPr="00131315">
              <w:rPr>
                <w:rFonts w:ascii="Arial Narrow" w:hAnsi="Arial Narrow"/>
                <w:i/>
                <w:iCs/>
                <w:color w:val="000000"/>
                <w:sz w:val="16"/>
                <w:szCs w:val="16"/>
              </w:rPr>
              <w:t>674,8</w:t>
            </w:r>
          </w:p>
        </w:tc>
        <w:tc>
          <w:tcPr>
            <w:tcW w:w="1133" w:type="dxa"/>
            <w:shd w:val="clear" w:color="000000" w:fill="FFFFFF"/>
            <w:noWrap/>
            <w:vAlign w:val="bottom"/>
            <w:hideMark/>
          </w:tcPr>
          <w:p w:rsidR="00D650B7" w:rsidRPr="00131315" w:rsidRDefault="00D650B7" w:rsidP="00910B7B">
            <w:pPr>
              <w:tabs>
                <w:tab w:val="decimal" w:pos="681"/>
              </w:tabs>
              <w:jc w:val="both"/>
              <w:rPr>
                <w:rFonts w:ascii="Arial Narrow" w:hAnsi="Arial Narrow"/>
                <w:i/>
                <w:iCs/>
                <w:color w:val="000000"/>
                <w:sz w:val="16"/>
                <w:szCs w:val="16"/>
              </w:rPr>
            </w:pPr>
            <w:r w:rsidRPr="00131315">
              <w:rPr>
                <w:rFonts w:ascii="Arial Narrow" w:hAnsi="Arial Narrow"/>
                <w:i/>
                <w:iCs/>
                <w:color w:val="000000"/>
                <w:sz w:val="16"/>
                <w:szCs w:val="16"/>
              </w:rPr>
              <w:t>503,5</w:t>
            </w:r>
          </w:p>
        </w:tc>
        <w:tc>
          <w:tcPr>
            <w:tcW w:w="1277" w:type="dxa"/>
            <w:shd w:val="clear" w:color="000000" w:fill="FFFFFF"/>
            <w:noWrap/>
            <w:vAlign w:val="bottom"/>
            <w:hideMark/>
          </w:tcPr>
          <w:p w:rsidR="00D650B7" w:rsidRPr="00131315" w:rsidRDefault="00D650B7" w:rsidP="00910B7B">
            <w:pPr>
              <w:tabs>
                <w:tab w:val="decimal" w:pos="681"/>
              </w:tabs>
              <w:jc w:val="both"/>
              <w:rPr>
                <w:rFonts w:ascii="Arial Narrow" w:hAnsi="Arial Narrow"/>
                <w:i/>
                <w:iCs/>
                <w:color w:val="000000"/>
                <w:sz w:val="16"/>
                <w:szCs w:val="16"/>
              </w:rPr>
            </w:pPr>
            <w:r w:rsidRPr="00131315">
              <w:rPr>
                <w:rFonts w:ascii="Arial Narrow" w:hAnsi="Arial Narrow"/>
                <w:i/>
                <w:iCs/>
                <w:color w:val="000000"/>
                <w:sz w:val="16"/>
                <w:szCs w:val="16"/>
              </w:rPr>
              <w:t>79,0</w:t>
            </w:r>
          </w:p>
        </w:tc>
        <w:tc>
          <w:tcPr>
            <w:tcW w:w="867" w:type="dxa"/>
            <w:shd w:val="clear" w:color="000000" w:fill="FFFFFF"/>
            <w:vAlign w:val="bottom"/>
            <w:hideMark/>
          </w:tcPr>
          <w:p w:rsidR="00D650B7" w:rsidRPr="00131315" w:rsidRDefault="00D650B7" w:rsidP="00910B7B">
            <w:pPr>
              <w:tabs>
                <w:tab w:val="decimal" w:pos="539"/>
              </w:tabs>
              <w:jc w:val="both"/>
              <w:rPr>
                <w:rFonts w:ascii="Arial Narrow" w:hAnsi="Arial Narrow"/>
                <w:i/>
                <w:iCs/>
                <w:color w:val="000000"/>
                <w:sz w:val="16"/>
                <w:szCs w:val="16"/>
              </w:rPr>
            </w:pPr>
            <w:r w:rsidRPr="00131315">
              <w:rPr>
                <w:rFonts w:ascii="Arial Narrow" w:hAnsi="Arial Narrow"/>
                <w:i/>
                <w:iCs/>
                <w:color w:val="000000"/>
                <w:sz w:val="16"/>
                <w:szCs w:val="16"/>
              </w:rPr>
              <w:t>582,5</w:t>
            </w:r>
          </w:p>
        </w:tc>
      </w:tr>
      <w:tr w:rsidR="00910B7B" w:rsidRPr="00131315" w:rsidTr="00910B7B">
        <w:trPr>
          <w:trHeight w:val="20"/>
        </w:trPr>
        <w:tc>
          <w:tcPr>
            <w:tcW w:w="2487" w:type="dxa"/>
            <w:shd w:val="clear" w:color="000000" w:fill="FFFFFF"/>
            <w:noWrap/>
            <w:vAlign w:val="bottom"/>
            <w:hideMark/>
          </w:tcPr>
          <w:p w:rsidR="00D650B7" w:rsidRPr="00131315" w:rsidRDefault="00D650B7" w:rsidP="001769DA">
            <w:pPr>
              <w:rPr>
                <w:rFonts w:ascii="Arial Narrow" w:hAnsi="Arial Narrow"/>
                <w:color w:val="000000"/>
                <w:sz w:val="16"/>
                <w:szCs w:val="16"/>
              </w:rPr>
            </w:pPr>
            <w:r w:rsidRPr="00131315">
              <w:rPr>
                <w:rFonts w:ascii="Arial Narrow" w:hAnsi="Arial Narrow"/>
                <w:color w:val="000000"/>
                <w:sz w:val="16"/>
                <w:szCs w:val="16"/>
              </w:rPr>
              <w:t>Νοσοκομεία</w:t>
            </w:r>
          </w:p>
        </w:tc>
        <w:tc>
          <w:tcPr>
            <w:tcW w:w="1214"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1.148,3</w:t>
            </w:r>
          </w:p>
        </w:tc>
        <w:tc>
          <w:tcPr>
            <w:tcW w:w="1196"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43,4</w:t>
            </w:r>
          </w:p>
        </w:tc>
        <w:tc>
          <w:tcPr>
            <w:tcW w:w="850" w:type="dxa"/>
            <w:shd w:val="clear" w:color="000000" w:fill="FFFFFF"/>
            <w:noWrap/>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1.191,7</w:t>
            </w:r>
          </w:p>
        </w:tc>
        <w:tc>
          <w:tcPr>
            <w:tcW w:w="1133"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1.034,9</w:t>
            </w:r>
          </w:p>
        </w:tc>
        <w:tc>
          <w:tcPr>
            <w:tcW w:w="1277"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113,4</w:t>
            </w:r>
          </w:p>
        </w:tc>
        <w:tc>
          <w:tcPr>
            <w:tcW w:w="867" w:type="dxa"/>
            <w:shd w:val="clear" w:color="000000" w:fill="FFFFFF"/>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1.148,2</w:t>
            </w:r>
          </w:p>
        </w:tc>
      </w:tr>
      <w:tr w:rsidR="00910B7B" w:rsidRPr="00131315" w:rsidTr="00910B7B">
        <w:trPr>
          <w:trHeight w:val="20"/>
        </w:trPr>
        <w:tc>
          <w:tcPr>
            <w:tcW w:w="2487" w:type="dxa"/>
            <w:shd w:val="clear" w:color="000000" w:fill="FFFFFF"/>
            <w:noWrap/>
            <w:vAlign w:val="bottom"/>
            <w:hideMark/>
          </w:tcPr>
          <w:p w:rsidR="00D650B7" w:rsidRPr="00131315" w:rsidRDefault="00D650B7" w:rsidP="001769DA">
            <w:pPr>
              <w:rPr>
                <w:rFonts w:ascii="Arial Narrow" w:hAnsi="Arial Narrow"/>
                <w:color w:val="000000"/>
                <w:sz w:val="16"/>
                <w:szCs w:val="16"/>
              </w:rPr>
            </w:pPr>
            <w:r w:rsidRPr="00131315">
              <w:rPr>
                <w:rFonts w:ascii="Arial Narrow" w:hAnsi="Arial Narrow"/>
                <w:color w:val="000000"/>
                <w:sz w:val="16"/>
                <w:szCs w:val="16"/>
              </w:rPr>
              <w:t>Νομικά Πρόσωπα</w:t>
            </w:r>
          </w:p>
        </w:tc>
        <w:tc>
          <w:tcPr>
            <w:tcW w:w="1214"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270,0</w:t>
            </w:r>
          </w:p>
        </w:tc>
        <w:tc>
          <w:tcPr>
            <w:tcW w:w="1196"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120,1</w:t>
            </w:r>
          </w:p>
        </w:tc>
        <w:tc>
          <w:tcPr>
            <w:tcW w:w="850" w:type="dxa"/>
            <w:shd w:val="clear" w:color="000000" w:fill="FFFFFF"/>
            <w:noWrap/>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390,1</w:t>
            </w:r>
          </w:p>
        </w:tc>
        <w:tc>
          <w:tcPr>
            <w:tcW w:w="1133"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267,7</w:t>
            </w:r>
          </w:p>
        </w:tc>
        <w:tc>
          <w:tcPr>
            <w:tcW w:w="1277"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103,3</w:t>
            </w:r>
          </w:p>
        </w:tc>
        <w:tc>
          <w:tcPr>
            <w:tcW w:w="867" w:type="dxa"/>
            <w:shd w:val="clear" w:color="000000" w:fill="FFFFFF"/>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371,0</w:t>
            </w:r>
          </w:p>
        </w:tc>
      </w:tr>
      <w:tr w:rsidR="00910B7B" w:rsidRPr="00131315" w:rsidTr="00910B7B">
        <w:trPr>
          <w:trHeight w:val="20"/>
        </w:trPr>
        <w:tc>
          <w:tcPr>
            <w:tcW w:w="2487" w:type="dxa"/>
            <w:shd w:val="clear" w:color="000000" w:fill="FFFFFF"/>
            <w:noWrap/>
            <w:vAlign w:val="bottom"/>
            <w:hideMark/>
          </w:tcPr>
          <w:p w:rsidR="00D650B7" w:rsidRPr="00131315" w:rsidRDefault="00D650B7" w:rsidP="005136BF">
            <w:pPr>
              <w:spacing w:before="120" w:after="120"/>
              <w:rPr>
                <w:rFonts w:ascii="Arial Narrow" w:hAnsi="Arial Narrow"/>
                <w:b/>
                <w:bCs/>
                <w:color w:val="000000"/>
                <w:sz w:val="16"/>
                <w:szCs w:val="16"/>
              </w:rPr>
            </w:pPr>
            <w:r w:rsidRPr="00131315">
              <w:rPr>
                <w:rFonts w:ascii="Arial Narrow" w:hAnsi="Arial Narrow"/>
                <w:b/>
                <w:bCs/>
                <w:color w:val="000000"/>
                <w:sz w:val="16"/>
                <w:szCs w:val="16"/>
              </w:rPr>
              <w:t>Σύνολο Γενικής Κυβέρνησης</w:t>
            </w:r>
          </w:p>
        </w:tc>
        <w:tc>
          <w:tcPr>
            <w:tcW w:w="1214" w:type="dxa"/>
            <w:shd w:val="clear" w:color="000000" w:fill="FFFFFF"/>
            <w:noWrap/>
            <w:vAlign w:val="bottom"/>
            <w:hideMark/>
          </w:tcPr>
          <w:p w:rsidR="00D650B7" w:rsidRPr="00131315" w:rsidRDefault="00D650B7" w:rsidP="005136BF">
            <w:pPr>
              <w:tabs>
                <w:tab w:val="decimal" w:pos="681"/>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3.062,8</w:t>
            </w:r>
          </w:p>
        </w:tc>
        <w:tc>
          <w:tcPr>
            <w:tcW w:w="1196" w:type="dxa"/>
            <w:shd w:val="clear" w:color="000000" w:fill="FFFFFF"/>
            <w:noWrap/>
            <w:vAlign w:val="bottom"/>
            <w:hideMark/>
          </w:tcPr>
          <w:p w:rsidR="00D650B7" w:rsidRPr="00131315" w:rsidRDefault="00D650B7" w:rsidP="005136BF">
            <w:pPr>
              <w:tabs>
                <w:tab w:val="decimal" w:pos="681"/>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656,2</w:t>
            </w:r>
          </w:p>
        </w:tc>
        <w:tc>
          <w:tcPr>
            <w:tcW w:w="850" w:type="dxa"/>
            <w:shd w:val="clear" w:color="000000" w:fill="FFFFFF"/>
            <w:noWrap/>
            <w:vAlign w:val="bottom"/>
            <w:hideMark/>
          </w:tcPr>
          <w:p w:rsidR="00D650B7" w:rsidRPr="00131315" w:rsidRDefault="00D650B7" w:rsidP="005136BF">
            <w:pPr>
              <w:tabs>
                <w:tab w:val="decimal" w:pos="539"/>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3.719,0</w:t>
            </w:r>
          </w:p>
        </w:tc>
        <w:tc>
          <w:tcPr>
            <w:tcW w:w="1133" w:type="dxa"/>
            <w:shd w:val="clear" w:color="000000" w:fill="FFFFFF"/>
            <w:noWrap/>
            <w:vAlign w:val="bottom"/>
            <w:hideMark/>
          </w:tcPr>
          <w:p w:rsidR="00D650B7" w:rsidRPr="00131315" w:rsidRDefault="00D650B7" w:rsidP="005136BF">
            <w:pPr>
              <w:tabs>
                <w:tab w:val="decimal" w:pos="681"/>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2.748,1</w:t>
            </w:r>
          </w:p>
        </w:tc>
        <w:tc>
          <w:tcPr>
            <w:tcW w:w="1277" w:type="dxa"/>
            <w:shd w:val="clear" w:color="000000" w:fill="FFFFFF"/>
            <w:noWrap/>
            <w:vAlign w:val="bottom"/>
            <w:hideMark/>
          </w:tcPr>
          <w:p w:rsidR="00D650B7" w:rsidRPr="00131315" w:rsidRDefault="00D650B7" w:rsidP="005136BF">
            <w:pPr>
              <w:tabs>
                <w:tab w:val="decimal" w:pos="681"/>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662,6</w:t>
            </w:r>
          </w:p>
        </w:tc>
        <w:tc>
          <w:tcPr>
            <w:tcW w:w="867" w:type="dxa"/>
            <w:shd w:val="clear" w:color="000000" w:fill="FFFFFF"/>
            <w:vAlign w:val="bottom"/>
            <w:hideMark/>
          </w:tcPr>
          <w:p w:rsidR="00D650B7" w:rsidRPr="00131315" w:rsidRDefault="00D650B7" w:rsidP="005136BF">
            <w:pPr>
              <w:tabs>
                <w:tab w:val="decimal" w:pos="539"/>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3.410,8</w:t>
            </w:r>
          </w:p>
        </w:tc>
      </w:tr>
      <w:tr w:rsidR="00910B7B" w:rsidRPr="00131315" w:rsidTr="00910B7B">
        <w:trPr>
          <w:trHeight w:val="20"/>
        </w:trPr>
        <w:tc>
          <w:tcPr>
            <w:tcW w:w="2487" w:type="dxa"/>
            <w:shd w:val="clear" w:color="000000" w:fill="FFFFFF"/>
            <w:noWrap/>
            <w:vAlign w:val="bottom"/>
            <w:hideMark/>
          </w:tcPr>
          <w:p w:rsidR="00D650B7" w:rsidRPr="00131315" w:rsidRDefault="00D650B7" w:rsidP="001769DA">
            <w:pPr>
              <w:rPr>
                <w:rFonts w:ascii="Arial Narrow" w:hAnsi="Arial Narrow"/>
                <w:color w:val="000000"/>
                <w:sz w:val="16"/>
                <w:szCs w:val="16"/>
              </w:rPr>
            </w:pPr>
            <w:r w:rsidRPr="00131315">
              <w:rPr>
                <w:rFonts w:ascii="Arial Narrow" w:hAnsi="Arial Narrow"/>
                <w:color w:val="000000"/>
                <w:sz w:val="16"/>
                <w:szCs w:val="16"/>
              </w:rPr>
              <w:t>Επιστροφές φόρων</w:t>
            </w:r>
          </w:p>
        </w:tc>
        <w:tc>
          <w:tcPr>
            <w:tcW w:w="1214"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405,0</w:t>
            </w:r>
          </w:p>
        </w:tc>
        <w:tc>
          <w:tcPr>
            <w:tcW w:w="1196"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145,0</w:t>
            </w:r>
          </w:p>
        </w:tc>
        <w:tc>
          <w:tcPr>
            <w:tcW w:w="850" w:type="dxa"/>
            <w:shd w:val="clear" w:color="000000" w:fill="FFFFFF"/>
            <w:noWrap/>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550,0</w:t>
            </w:r>
          </w:p>
        </w:tc>
        <w:tc>
          <w:tcPr>
            <w:tcW w:w="1133"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380,3</w:t>
            </w:r>
          </w:p>
        </w:tc>
        <w:tc>
          <w:tcPr>
            <w:tcW w:w="1277"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169,7</w:t>
            </w:r>
          </w:p>
        </w:tc>
        <w:tc>
          <w:tcPr>
            <w:tcW w:w="867" w:type="dxa"/>
            <w:shd w:val="clear" w:color="000000" w:fill="FFFFFF"/>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550,0</w:t>
            </w:r>
          </w:p>
        </w:tc>
      </w:tr>
      <w:tr w:rsidR="00910B7B" w:rsidRPr="00131315" w:rsidTr="00910B7B">
        <w:trPr>
          <w:trHeight w:val="20"/>
        </w:trPr>
        <w:tc>
          <w:tcPr>
            <w:tcW w:w="2487" w:type="dxa"/>
            <w:shd w:val="clear" w:color="000000" w:fill="FFFFFF"/>
            <w:noWrap/>
            <w:vAlign w:val="bottom"/>
            <w:hideMark/>
          </w:tcPr>
          <w:p w:rsidR="00D650B7" w:rsidRPr="00131315" w:rsidRDefault="00D650B7" w:rsidP="001769DA">
            <w:pPr>
              <w:rPr>
                <w:rFonts w:ascii="Arial Narrow" w:hAnsi="Arial Narrow"/>
                <w:color w:val="000000"/>
                <w:sz w:val="16"/>
                <w:szCs w:val="16"/>
              </w:rPr>
            </w:pPr>
            <w:r w:rsidRPr="00131315">
              <w:rPr>
                <w:rFonts w:ascii="Arial Narrow" w:hAnsi="Arial Narrow"/>
                <w:color w:val="000000"/>
                <w:sz w:val="16"/>
                <w:szCs w:val="16"/>
              </w:rPr>
              <w:t>Εκκρεμείς αιτήσεις συνταξιοδότησης</w:t>
            </w:r>
          </w:p>
        </w:tc>
        <w:tc>
          <w:tcPr>
            <w:tcW w:w="1214"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0,0</w:t>
            </w:r>
          </w:p>
        </w:tc>
        <w:tc>
          <w:tcPr>
            <w:tcW w:w="1196"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445,0</w:t>
            </w:r>
          </w:p>
        </w:tc>
        <w:tc>
          <w:tcPr>
            <w:tcW w:w="850" w:type="dxa"/>
            <w:shd w:val="clear" w:color="000000" w:fill="FFFFFF"/>
            <w:noWrap/>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445,0</w:t>
            </w:r>
          </w:p>
        </w:tc>
        <w:tc>
          <w:tcPr>
            <w:tcW w:w="1133"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0,0</w:t>
            </w:r>
          </w:p>
        </w:tc>
        <w:tc>
          <w:tcPr>
            <w:tcW w:w="1277" w:type="dxa"/>
            <w:shd w:val="clear" w:color="000000" w:fill="FFFFFF"/>
            <w:noWrap/>
            <w:vAlign w:val="bottom"/>
            <w:hideMark/>
          </w:tcPr>
          <w:p w:rsidR="00D650B7" w:rsidRPr="00131315" w:rsidRDefault="00D650B7" w:rsidP="00910B7B">
            <w:pPr>
              <w:tabs>
                <w:tab w:val="decimal" w:pos="681"/>
              </w:tabs>
              <w:jc w:val="both"/>
              <w:rPr>
                <w:rFonts w:ascii="Arial Narrow" w:hAnsi="Arial Narrow"/>
                <w:color w:val="000000"/>
                <w:sz w:val="16"/>
                <w:szCs w:val="16"/>
              </w:rPr>
            </w:pPr>
            <w:r w:rsidRPr="00131315">
              <w:rPr>
                <w:rFonts w:ascii="Arial Narrow" w:hAnsi="Arial Narrow"/>
                <w:color w:val="000000"/>
                <w:sz w:val="16"/>
                <w:szCs w:val="16"/>
              </w:rPr>
              <w:t>323,5</w:t>
            </w:r>
          </w:p>
        </w:tc>
        <w:tc>
          <w:tcPr>
            <w:tcW w:w="867" w:type="dxa"/>
            <w:shd w:val="clear" w:color="000000" w:fill="FFFFFF"/>
            <w:vAlign w:val="bottom"/>
            <w:hideMark/>
          </w:tcPr>
          <w:p w:rsidR="00D650B7" w:rsidRPr="00131315" w:rsidRDefault="00D650B7" w:rsidP="00910B7B">
            <w:pPr>
              <w:tabs>
                <w:tab w:val="decimal" w:pos="539"/>
              </w:tabs>
              <w:jc w:val="both"/>
              <w:rPr>
                <w:rFonts w:ascii="Arial Narrow" w:hAnsi="Arial Narrow"/>
                <w:color w:val="000000"/>
                <w:sz w:val="16"/>
                <w:szCs w:val="16"/>
              </w:rPr>
            </w:pPr>
            <w:r w:rsidRPr="00131315">
              <w:rPr>
                <w:rFonts w:ascii="Arial Narrow" w:hAnsi="Arial Narrow"/>
                <w:color w:val="000000"/>
                <w:sz w:val="16"/>
                <w:szCs w:val="16"/>
              </w:rPr>
              <w:t>323,5</w:t>
            </w:r>
          </w:p>
        </w:tc>
      </w:tr>
      <w:tr w:rsidR="00910B7B" w:rsidRPr="00131315" w:rsidTr="00910B7B">
        <w:trPr>
          <w:trHeight w:val="20"/>
        </w:trPr>
        <w:tc>
          <w:tcPr>
            <w:tcW w:w="2487" w:type="dxa"/>
            <w:shd w:val="clear" w:color="000000" w:fill="FFFFFF"/>
            <w:vAlign w:val="bottom"/>
            <w:hideMark/>
          </w:tcPr>
          <w:p w:rsidR="00D650B7" w:rsidRPr="00131315" w:rsidRDefault="00D650B7" w:rsidP="005136BF">
            <w:pPr>
              <w:spacing w:before="120" w:after="120"/>
              <w:rPr>
                <w:rFonts w:ascii="Arial Narrow" w:hAnsi="Arial Narrow"/>
                <w:b/>
                <w:bCs/>
                <w:color w:val="000000"/>
                <w:sz w:val="16"/>
                <w:szCs w:val="16"/>
              </w:rPr>
            </w:pPr>
            <w:r w:rsidRPr="00131315">
              <w:rPr>
                <w:rFonts w:ascii="Arial Narrow" w:hAnsi="Arial Narrow"/>
                <w:b/>
                <w:bCs/>
                <w:color w:val="000000"/>
                <w:sz w:val="16"/>
                <w:szCs w:val="16"/>
              </w:rPr>
              <w:t>Σύνολο</w:t>
            </w:r>
          </w:p>
        </w:tc>
        <w:tc>
          <w:tcPr>
            <w:tcW w:w="1214" w:type="dxa"/>
            <w:shd w:val="clear" w:color="000000" w:fill="FFFFFF"/>
            <w:vAlign w:val="bottom"/>
            <w:hideMark/>
          </w:tcPr>
          <w:p w:rsidR="00D650B7" w:rsidRPr="00131315" w:rsidRDefault="00D650B7" w:rsidP="005136BF">
            <w:pPr>
              <w:tabs>
                <w:tab w:val="decimal" w:pos="681"/>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3.467,8</w:t>
            </w:r>
          </w:p>
        </w:tc>
        <w:tc>
          <w:tcPr>
            <w:tcW w:w="1196" w:type="dxa"/>
            <w:shd w:val="clear" w:color="000000" w:fill="FFFFFF"/>
            <w:vAlign w:val="bottom"/>
            <w:hideMark/>
          </w:tcPr>
          <w:p w:rsidR="00D650B7" w:rsidRPr="00131315" w:rsidRDefault="00D650B7" w:rsidP="005136BF">
            <w:pPr>
              <w:tabs>
                <w:tab w:val="decimal" w:pos="681"/>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1.246,2</w:t>
            </w:r>
          </w:p>
        </w:tc>
        <w:tc>
          <w:tcPr>
            <w:tcW w:w="850" w:type="dxa"/>
            <w:shd w:val="clear" w:color="000000" w:fill="FFFFFF"/>
            <w:noWrap/>
            <w:vAlign w:val="bottom"/>
            <w:hideMark/>
          </w:tcPr>
          <w:p w:rsidR="00D650B7" w:rsidRPr="00131315" w:rsidRDefault="00D650B7" w:rsidP="005136BF">
            <w:pPr>
              <w:tabs>
                <w:tab w:val="decimal" w:pos="539"/>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4.714,0</w:t>
            </w:r>
          </w:p>
        </w:tc>
        <w:tc>
          <w:tcPr>
            <w:tcW w:w="1133" w:type="dxa"/>
            <w:shd w:val="clear" w:color="000000" w:fill="FFFFFF"/>
            <w:noWrap/>
            <w:vAlign w:val="bottom"/>
            <w:hideMark/>
          </w:tcPr>
          <w:p w:rsidR="00D650B7" w:rsidRPr="00131315" w:rsidRDefault="00D650B7" w:rsidP="005136BF">
            <w:pPr>
              <w:tabs>
                <w:tab w:val="decimal" w:pos="681"/>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3.128,5</w:t>
            </w:r>
          </w:p>
        </w:tc>
        <w:tc>
          <w:tcPr>
            <w:tcW w:w="1277" w:type="dxa"/>
            <w:shd w:val="clear" w:color="000000" w:fill="FFFFFF"/>
            <w:vAlign w:val="bottom"/>
            <w:hideMark/>
          </w:tcPr>
          <w:p w:rsidR="00D650B7" w:rsidRPr="00131315" w:rsidRDefault="00D650B7" w:rsidP="005136BF">
            <w:pPr>
              <w:tabs>
                <w:tab w:val="decimal" w:pos="681"/>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1.155,8</w:t>
            </w:r>
          </w:p>
        </w:tc>
        <w:tc>
          <w:tcPr>
            <w:tcW w:w="867" w:type="dxa"/>
            <w:shd w:val="clear" w:color="000000" w:fill="FFFFFF"/>
            <w:vAlign w:val="bottom"/>
            <w:hideMark/>
          </w:tcPr>
          <w:p w:rsidR="00D650B7" w:rsidRPr="00131315" w:rsidRDefault="00D650B7" w:rsidP="005136BF">
            <w:pPr>
              <w:tabs>
                <w:tab w:val="decimal" w:pos="539"/>
              </w:tabs>
              <w:spacing w:before="120" w:after="120"/>
              <w:jc w:val="both"/>
              <w:rPr>
                <w:rFonts w:ascii="Arial Narrow" w:hAnsi="Arial Narrow"/>
                <w:b/>
                <w:bCs/>
                <w:color w:val="000000"/>
                <w:sz w:val="16"/>
                <w:szCs w:val="16"/>
              </w:rPr>
            </w:pPr>
            <w:r w:rsidRPr="00131315">
              <w:rPr>
                <w:rFonts w:ascii="Arial Narrow" w:hAnsi="Arial Narrow"/>
                <w:b/>
                <w:bCs/>
                <w:color w:val="000000"/>
                <w:sz w:val="16"/>
                <w:szCs w:val="16"/>
              </w:rPr>
              <w:t>4.284,2</w:t>
            </w:r>
          </w:p>
        </w:tc>
      </w:tr>
    </w:tbl>
    <w:p w:rsidR="00B538AD" w:rsidRPr="00E84289" w:rsidRDefault="00801CCB" w:rsidP="00E84289">
      <w:pPr>
        <w:tabs>
          <w:tab w:val="left" w:pos="284"/>
        </w:tabs>
        <w:jc w:val="both"/>
        <w:rPr>
          <w:rFonts w:ascii="Arial Narrow" w:hAnsi="Arial Narrow"/>
          <w:bCs/>
          <w:sz w:val="16"/>
          <w:szCs w:val="16"/>
        </w:rPr>
      </w:pPr>
      <w:r>
        <w:rPr>
          <w:rFonts w:ascii="Arial Narrow" w:hAnsi="Arial Narrow"/>
          <w:bCs/>
          <w:sz w:val="16"/>
          <w:szCs w:val="16"/>
        </w:rPr>
        <w:t xml:space="preserve">   </w:t>
      </w:r>
      <w:r w:rsidR="00E84289" w:rsidRPr="00E84289">
        <w:rPr>
          <w:rFonts w:ascii="Arial Narrow" w:hAnsi="Arial Narrow"/>
          <w:bCs/>
          <w:sz w:val="16"/>
          <w:szCs w:val="16"/>
        </w:rPr>
        <w:t>*</w:t>
      </w:r>
      <w:r w:rsidR="00E84289" w:rsidRPr="00E84289">
        <w:rPr>
          <w:rFonts w:ascii="Arial Narrow" w:hAnsi="Arial Narrow"/>
          <w:bCs/>
          <w:sz w:val="16"/>
          <w:szCs w:val="16"/>
        </w:rPr>
        <w:tab/>
      </w:r>
      <w:r w:rsidR="00E84289">
        <w:rPr>
          <w:rFonts w:ascii="Arial Narrow" w:hAnsi="Arial Narrow"/>
          <w:bCs/>
          <w:sz w:val="16"/>
          <w:szCs w:val="16"/>
        </w:rPr>
        <w:t>Ποσό ύψους 419,7 εκατ. ευρώ συμψηφίστηκε με οφειλές προς το Δημόσιο.</w:t>
      </w:r>
    </w:p>
    <w:p w:rsidR="00D42E02" w:rsidRDefault="00D42E02" w:rsidP="00FB0CBE">
      <w:pPr>
        <w:jc w:val="both"/>
        <w:rPr>
          <w:bCs/>
          <w:sz w:val="22"/>
        </w:rPr>
      </w:pPr>
    </w:p>
    <w:p w:rsidR="00FB0CBE" w:rsidRPr="00FB0CBE" w:rsidRDefault="00FB0CBE" w:rsidP="00FB0CBE">
      <w:pPr>
        <w:jc w:val="both"/>
        <w:rPr>
          <w:bCs/>
          <w:sz w:val="22"/>
        </w:rPr>
      </w:pPr>
      <w:r w:rsidRPr="00FB0CBE">
        <w:rPr>
          <w:bCs/>
          <w:sz w:val="22"/>
        </w:rPr>
        <w:t xml:space="preserve">Μετά τη θετική αξιολόγηση της πορείας του προγράμματος </w:t>
      </w:r>
      <w:r w:rsidR="005A508D">
        <w:rPr>
          <w:bCs/>
          <w:sz w:val="22"/>
        </w:rPr>
        <w:t>έ</w:t>
      </w:r>
      <w:r w:rsidRPr="00FB0CBE">
        <w:rPr>
          <w:bCs/>
          <w:sz w:val="22"/>
        </w:rPr>
        <w:t xml:space="preserve">ως </w:t>
      </w:r>
      <w:r w:rsidR="005A508D">
        <w:rPr>
          <w:bCs/>
          <w:sz w:val="22"/>
        </w:rPr>
        <w:t>το τέλος</w:t>
      </w:r>
      <w:r w:rsidRPr="00FB0CBE">
        <w:rPr>
          <w:bCs/>
          <w:sz w:val="22"/>
        </w:rPr>
        <w:t xml:space="preserve"> Σεπτ</w:t>
      </w:r>
      <w:r w:rsidR="005A508D">
        <w:rPr>
          <w:bCs/>
          <w:sz w:val="22"/>
        </w:rPr>
        <w:t>ε</w:t>
      </w:r>
      <w:r w:rsidRPr="00FB0CBE">
        <w:rPr>
          <w:bCs/>
          <w:sz w:val="22"/>
        </w:rPr>
        <w:t>μβρ</w:t>
      </w:r>
      <w:r w:rsidR="005A508D">
        <w:rPr>
          <w:bCs/>
          <w:sz w:val="22"/>
        </w:rPr>
        <w:t>ίου</w:t>
      </w:r>
      <w:r w:rsidRPr="00FB0CBE">
        <w:rPr>
          <w:bCs/>
          <w:sz w:val="22"/>
        </w:rPr>
        <w:t xml:space="preserve"> του τρέχοντος έτους, εκταμιεύτηκε από τον ΕΜΣ επιπλέον ποσό 800 εκατ. ευρώ στο τέλος Οκτωβρίου 2017. Το μ</w:t>
      </w:r>
      <w:r w:rsidRPr="00FB0CBE">
        <w:rPr>
          <w:bCs/>
          <w:sz w:val="22"/>
        </w:rPr>
        <w:t>ε</w:t>
      </w:r>
      <w:r w:rsidRPr="00FB0CBE">
        <w:rPr>
          <w:bCs/>
          <w:sz w:val="22"/>
        </w:rPr>
        <w:t>γαλύτερο μέρος της χρηματοδότησης αυτής αναμένεται να αποδοθεί στους φορείς της Γενικής Κ</w:t>
      </w:r>
      <w:r w:rsidRPr="00FB0CBE">
        <w:rPr>
          <w:bCs/>
          <w:sz w:val="22"/>
        </w:rPr>
        <w:t>υ</w:t>
      </w:r>
      <w:r w:rsidRPr="00FB0CBE">
        <w:rPr>
          <w:bCs/>
          <w:sz w:val="22"/>
        </w:rPr>
        <w:t xml:space="preserve">βέρνησης εντός του 2017. </w:t>
      </w:r>
      <w:r w:rsidR="00891963" w:rsidRPr="00FB0CBE">
        <w:rPr>
          <w:bCs/>
          <w:sz w:val="22"/>
        </w:rPr>
        <w:t xml:space="preserve">Εντός </w:t>
      </w:r>
      <w:r w:rsidRPr="00FB0CBE">
        <w:rPr>
          <w:bCs/>
          <w:sz w:val="22"/>
        </w:rPr>
        <w:t xml:space="preserve">του 2018 αναμένεται </w:t>
      </w:r>
      <w:r w:rsidR="00891963">
        <w:rPr>
          <w:bCs/>
          <w:sz w:val="22"/>
        </w:rPr>
        <w:t xml:space="preserve">επιπλέον χρηματοδότηση </w:t>
      </w:r>
      <w:r w:rsidRPr="00FB0CBE">
        <w:rPr>
          <w:bCs/>
          <w:sz w:val="22"/>
        </w:rPr>
        <w:t xml:space="preserve">από τον ΕΜΣ. Οι </w:t>
      </w:r>
      <w:r w:rsidRPr="00FB0CBE">
        <w:rPr>
          <w:bCs/>
          <w:sz w:val="22"/>
        </w:rPr>
        <w:t>ε</w:t>
      </w:r>
      <w:r w:rsidRPr="00FB0CBE">
        <w:rPr>
          <w:bCs/>
          <w:sz w:val="22"/>
        </w:rPr>
        <w:t>κταμιεύσεις του προγράμματος εκκαθάρισης ληξιπρόθεσμων υποχρεώσεων θα προσαρμόζονται αν</w:t>
      </w:r>
      <w:r w:rsidRPr="00FB0CBE">
        <w:rPr>
          <w:bCs/>
          <w:sz w:val="22"/>
        </w:rPr>
        <w:t>ά</w:t>
      </w:r>
      <w:r w:rsidRPr="00FB0CBE">
        <w:rPr>
          <w:bCs/>
          <w:sz w:val="22"/>
        </w:rPr>
        <w:t xml:space="preserve">λογα με την πορεία της χρηματοδότησης από τον ΕΜΣ. </w:t>
      </w:r>
    </w:p>
    <w:p w:rsidR="00FB0CBE" w:rsidRPr="00FB0CBE" w:rsidRDefault="00FB0CBE" w:rsidP="00FB0CBE">
      <w:pPr>
        <w:jc w:val="both"/>
        <w:rPr>
          <w:bCs/>
          <w:sz w:val="22"/>
        </w:rPr>
      </w:pPr>
    </w:p>
    <w:p w:rsidR="00FB0CBE" w:rsidRPr="00FB0CBE" w:rsidRDefault="00FB0CBE" w:rsidP="00FB0CBE">
      <w:pPr>
        <w:jc w:val="both"/>
        <w:rPr>
          <w:bCs/>
          <w:sz w:val="22"/>
        </w:rPr>
      </w:pPr>
      <w:r w:rsidRPr="00FB0CBE">
        <w:rPr>
          <w:bCs/>
          <w:sz w:val="22"/>
        </w:rPr>
        <w:lastRenderedPageBreak/>
        <w:t>Με την υλοποίηση του προγράμματος, εμφανίζεται σταδιακή μείωση των ληξιπρόθεσμων υποχρε</w:t>
      </w:r>
      <w:r w:rsidRPr="00FB0CBE">
        <w:rPr>
          <w:bCs/>
          <w:sz w:val="22"/>
        </w:rPr>
        <w:t>ώ</w:t>
      </w:r>
      <w:r w:rsidRPr="00FB0CBE">
        <w:rPr>
          <w:bCs/>
          <w:sz w:val="22"/>
        </w:rPr>
        <w:t>σεων της Γενικής Κυβέρνησης, συμπεριλαμβανομένων και των εκκρεμών επιστροφών φόρων, καθώς τον Σεπτέμβριο του 2017 ανέρχοντ</w:t>
      </w:r>
      <w:r w:rsidR="00B538AD">
        <w:rPr>
          <w:bCs/>
          <w:sz w:val="22"/>
        </w:rPr>
        <w:t>αι σε 4.490 εκατ. ευρώ, μειωμένες</w:t>
      </w:r>
      <w:r w:rsidRPr="00FB0CBE">
        <w:rPr>
          <w:bCs/>
          <w:sz w:val="22"/>
        </w:rPr>
        <w:t xml:space="preserve"> κατά 1.489 εκατ. ευρώ σε σχέση με το τέλος του 2015. Με τη συνέχιση της ομαλής χρηματοδότησης από τον ΕΜΣ, αναμένεται να σ</w:t>
      </w:r>
      <w:r w:rsidRPr="00FB0CBE">
        <w:rPr>
          <w:bCs/>
          <w:sz w:val="22"/>
        </w:rPr>
        <w:t>υ</w:t>
      </w:r>
      <w:r w:rsidRPr="00FB0CBE">
        <w:rPr>
          <w:bCs/>
          <w:sz w:val="22"/>
        </w:rPr>
        <w:t>νεχιστεί και η μείωση των ληξιπρόθεσμων υποχρεώσεων της Γενικής Κυβέρνησης εντός του 2018. Παράλληλα, με την εντατικοποίηση της προσπάθειας εκκαθάρισης και αποπληρωμής εκκρεμών επ</w:t>
      </w:r>
      <w:r w:rsidRPr="00FB0CBE">
        <w:rPr>
          <w:bCs/>
          <w:sz w:val="22"/>
        </w:rPr>
        <w:t>ι</w:t>
      </w:r>
      <w:r w:rsidRPr="00FB0CBE">
        <w:rPr>
          <w:bCs/>
          <w:sz w:val="22"/>
        </w:rPr>
        <w:t>στροφών φόρων και εκκρεμών αιτήσεων συνταξιοδότησης, αναμένεται σημαντική μείωση των αντ</w:t>
      </w:r>
      <w:r w:rsidRPr="00FB0CBE">
        <w:rPr>
          <w:bCs/>
          <w:sz w:val="22"/>
        </w:rPr>
        <w:t>ί</w:t>
      </w:r>
      <w:r w:rsidRPr="00FB0CBE">
        <w:rPr>
          <w:bCs/>
          <w:sz w:val="22"/>
        </w:rPr>
        <w:t xml:space="preserve">στοιχων </w:t>
      </w:r>
      <w:r w:rsidR="00B538AD">
        <w:rPr>
          <w:bCs/>
          <w:sz w:val="22"/>
        </w:rPr>
        <w:t>μεγεθών</w:t>
      </w:r>
      <w:r w:rsidRPr="00FB0CBE">
        <w:rPr>
          <w:bCs/>
          <w:sz w:val="22"/>
        </w:rPr>
        <w:t>.</w:t>
      </w:r>
    </w:p>
    <w:p w:rsidR="00FB0CBE" w:rsidRPr="00FB0CBE" w:rsidRDefault="00FB0CBE" w:rsidP="00FB0CBE">
      <w:pPr>
        <w:jc w:val="both"/>
        <w:rPr>
          <w:bCs/>
          <w:sz w:val="22"/>
        </w:rPr>
      </w:pPr>
    </w:p>
    <w:p w:rsidR="00FB0CBE" w:rsidRPr="00FB0CBE" w:rsidRDefault="00FB0CBE" w:rsidP="00FB0CBE">
      <w:pPr>
        <w:jc w:val="both"/>
        <w:rPr>
          <w:bCs/>
          <w:sz w:val="22"/>
        </w:rPr>
      </w:pPr>
      <w:r w:rsidRPr="00FB0CBE">
        <w:rPr>
          <w:bCs/>
          <w:sz w:val="22"/>
        </w:rPr>
        <w:t>Τα ποσά χρηματοδοτήσεων για εξόφληση ληξιπροθέσμων υποχρεώσεων εκταμιεύονται από τον Κρ</w:t>
      </w:r>
      <w:r w:rsidRPr="00FB0CBE">
        <w:rPr>
          <w:bCs/>
          <w:sz w:val="22"/>
        </w:rPr>
        <w:t>α</w:t>
      </w:r>
      <w:r w:rsidRPr="00FB0CBE">
        <w:rPr>
          <w:bCs/>
          <w:sz w:val="22"/>
        </w:rPr>
        <w:t>τικό Προϋπολογισμό και εμφανίζονται στους προϋπολογισμούς των λοιπών φορέων της Γενικής Κ</w:t>
      </w:r>
      <w:r w:rsidRPr="00FB0CBE">
        <w:rPr>
          <w:bCs/>
          <w:sz w:val="22"/>
        </w:rPr>
        <w:t>υ</w:t>
      </w:r>
      <w:r w:rsidRPr="00FB0CBE">
        <w:rPr>
          <w:bCs/>
          <w:sz w:val="22"/>
        </w:rPr>
        <w:t>βέρνησης, με ισόποση αύξηση των εσόδων τους (είσπραξη επιχορηγήσεων από το κράτος) και αύξ</w:t>
      </w:r>
      <w:r w:rsidRPr="00FB0CBE">
        <w:rPr>
          <w:bCs/>
          <w:sz w:val="22"/>
        </w:rPr>
        <w:t>η</w:t>
      </w:r>
      <w:r w:rsidRPr="00FB0CBE">
        <w:rPr>
          <w:bCs/>
          <w:sz w:val="22"/>
        </w:rPr>
        <w:t xml:space="preserve">ση των δαπανών τους για εξόφληση ληξιπρόθεσμων υποχρεώσεών τους. Σε δημοσιονομική βάση </w:t>
      </w:r>
      <w:r w:rsidRPr="00FB0CBE">
        <w:rPr>
          <w:bCs/>
          <w:sz w:val="22"/>
        </w:rPr>
        <w:t>ε</w:t>
      </w:r>
      <w:r w:rsidRPr="00FB0CBE">
        <w:rPr>
          <w:bCs/>
          <w:sz w:val="22"/>
        </w:rPr>
        <w:t>πέρχεται αντίστοιχη μείωση των ληξιπρόθεσμων υποχρεώσεων της Γενικής Κυβέρνησης προς ιδι</w:t>
      </w:r>
      <w:r w:rsidRPr="00FB0CBE">
        <w:rPr>
          <w:bCs/>
          <w:sz w:val="22"/>
        </w:rPr>
        <w:t>ώ</w:t>
      </w:r>
      <w:r w:rsidRPr="00FB0CBE">
        <w:rPr>
          <w:bCs/>
          <w:sz w:val="22"/>
        </w:rPr>
        <w:t xml:space="preserve">τες. Ως </w:t>
      </w:r>
      <w:r w:rsidR="00714E52">
        <w:rPr>
          <w:bCs/>
          <w:sz w:val="22"/>
        </w:rPr>
        <w:t xml:space="preserve">τελικό </w:t>
      </w:r>
      <w:r w:rsidRPr="00FB0CBE">
        <w:rPr>
          <w:bCs/>
          <w:sz w:val="22"/>
        </w:rPr>
        <w:t>αποτέλεσμα</w:t>
      </w:r>
      <w:r w:rsidR="00412E61">
        <w:rPr>
          <w:bCs/>
          <w:sz w:val="22"/>
        </w:rPr>
        <w:t>,</w:t>
      </w:r>
      <w:r w:rsidR="00714E52">
        <w:rPr>
          <w:bCs/>
          <w:sz w:val="22"/>
        </w:rPr>
        <w:t xml:space="preserve"> σε επίπεδο γενικής κυβέρνησης</w:t>
      </w:r>
      <w:r w:rsidRPr="00FB0CBE">
        <w:rPr>
          <w:bCs/>
          <w:sz w:val="22"/>
        </w:rPr>
        <w:t>, η επίπτωση του προγράμματος καθίστ</w:t>
      </w:r>
      <w:r w:rsidRPr="00FB0CBE">
        <w:rPr>
          <w:bCs/>
          <w:sz w:val="22"/>
        </w:rPr>
        <w:t>α</w:t>
      </w:r>
      <w:r w:rsidRPr="00FB0CBE">
        <w:rPr>
          <w:bCs/>
          <w:sz w:val="22"/>
        </w:rPr>
        <w:t>ται δημοσιονομικά ουδέτερη.</w:t>
      </w:r>
    </w:p>
    <w:p w:rsidR="00FB0CBE" w:rsidRPr="00FB0CBE" w:rsidRDefault="00FB0CBE" w:rsidP="00FB0CBE">
      <w:pPr>
        <w:jc w:val="both"/>
        <w:rPr>
          <w:bCs/>
          <w:sz w:val="22"/>
        </w:rPr>
      </w:pPr>
    </w:p>
    <w:p w:rsidR="00FB0CBE" w:rsidRDefault="00FB0CBE" w:rsidP="008E0CDE">
      <w:pPr>
        <w:jc w:val="both"/>
        <w:rPr>
          <w:bCs/>
          <w:sz w:val="22"/>
        </w:rPr>
      </w:pPr>
    </w:p>
    <w:sectPr w:rsidR="00FB0CBE" w:rsidSect="00267F32">
      <w:headerReference w:type="even" r:id="rId13"/>
      <w:headerReference w:type="default" r:id="rId14"/>
      <w:footerReference w:type="even" r:id="rId15"/>
      <w:footerReference w:type="default" r:id="rId16"/>
      <w:pgSz w:w="11906" w:h="16838" w:code="9"/>
      <w:pgMar w:top="1418" w:right="1247" w:bottom="1418" w:left="1588" w:header="709" w:footer="709"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7C" w:rsidRDefault="00B1737C">
      <w:r>
        <w:separator/>
      </w:r>
    </w:p>
  </w:endnote>
  <w:endnote w:type="continuationSeparator" w:id="0">
    <w:p w:rsidR="00B1737C" w:rsidRDefault="00B1737C">
      <w:r>
        <w:continuationSeparator/>
      </w:r>
    </w:p>
  </w:endnote>
  <w:endnote w:type="continuationNotice" w:id="1">
    <w:p w:rsidR="00B1737C" w:rsidRDefault="00B1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Greek">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8B" w:rsidRPr="00AA4F2F" w:rsidRDefault="00055F0E" w:rsidP="00F85CFF">
    <w:pPr>
      <w:pStyle w:val="a4"/>
      <w:jc w:val="both"/>
      <w:rPr>
        <w:color w:val="333333"/>
      </w:rPr>
    </w:pPr>
    <w:r w:rsidRPr="00715F2C">
      <w:rPr>
        <w:rStyle w:val="a5"/>
        <w:b/>
        <w:sz w:val="28"/>
      </w:rPr>
      <w:fldChar w:fldCharType="begin"/>
    </w:r>
    <w:r w:rsidR="0041428B" w:rsidRPr="00715F2C">
      <w:rPr>
        <w:rStyle w:val="a5"/>
        <w:b/>
        <w:sz w:val="28"/>
      </w:rPr>
      <w:instrText xml:space="preserve"> PAGE </w:instrText>
    </w:r>
    <w:r w:rsidRPr="00715F2C">
      <w:rPr>
        <w:rStyle w:val="a5"/>
        <w:b/>
        <w:sz w:val="28"/>
      </w:rPr>
      <w:fldChar w:fldCharType="separate"/>
    </w:r>
    <w:r w:rsidR="005F1D9A">
      <w:rPr>
        <w:rStyle w:val="a5"/>
        <w:b/>
        <w:noProof/>
        <w:sz w:val="28"/>
      </w:rPr>
      <w:t>56</w:t>
    </w:r>
    <w:r w:rsidRPr="00715F2C">
      <w:rPr>
        <w:rStyle w:val="a5"/>
        <w:b/>
        <w:sz w:val="28"/>
      </w:rPr>
      <w:fldChar w:fldCharType="end"/>
    </w:r>
    <w:r w:rsidR="0041428B">
      <w:rPr>
        <w:rStyle w:val="a5"/>
        <w:b/>
        <w:color w:val="000080"/>
        <w:sz w:val="28"/>
      </w:rPr>
      <w:t xml:space="preserve">  </w:t>
    </w:r>
    <w:r w:rsidR="0041428B">
      <w:rPr>
        <w:rFonts w:ascii="Arial Narrow" w:hAnsi="Arial Narrow"/>
        <w:color w:val="333333"/>
        <w:sz w:val="22"/>
      </w:rPr>
      <w:t>ΚΡΑΤΙΚΟΣ ΠΡΟΫΠΟΛΟΓΙΣΜΟΣ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8B" w:rsidRPr="00D40E4A" w:rsidRDefault="0041428B" w:rsidP="00D40E4A">
    <w:pPr>
      <w:pStyle w:val="a4"/>
      <w:jc w:val="right"/>
      <w:rPr>
        <w:rFonts w:ascii="Arial Narrow" w:hAnsi="Arial Narrow"/>
        <w:sz w:val="22"/>
      </w:rPr>
    </w:pPr>
    <w:r>
      <w:rPr>
        <w:rFonts w:ascii="Arial Narrow" w:hAnsi="Arial Narrow"/>
        <w:color w:val="333333"/>
        <w:sz w:val="22"/>
      </w:rPr>
      <w:t xml:space="preserve">ΚΡΑΤΙΚΟΣ ΠΡΟΫΠΟΛΟΓΙΣΜΟΣ 2018 </w:t>
    </w:r>
    <w:r w:rsidRPr="008857CA">
      <w:rPr>
        <w:rFonts w:ascii="Arial Narrow" w:hAnsi="Arial Narrow"/>
        <w:color w:val="333333"/>
        <w:sz w:val="22"/>
      </w:rPr>
      <w:t xml:space="preserve">  </w:t>
    </w:r>
    <w:r w:rsidR="00055F0E" w:rsidRPr="00715F2C">
      <w:rPr>
        <w:rStyle w:val="a5"/>
        <w:b/>
        <w:sz w:val="28"/>
      </w:rPr>
      <w:fldChar w:fldCharType="begin"/>
    </w:r>
    <w:r w:rsidRPr="00715F2C">
      <w:rPr>
        <w:rStyle w:val="a5"/>
        <w:b/>
        <w:sz w:val="28"/>
      </w:rPr>
      <w:instrText xml:space="preserve"> PAGE </w:instrText>
    </w:r>
    <w:r w:rsidR="00055F0E" w:rsidRPr="00715F2C">
      <w:rPr>
        <w:rStyle w:val="a5"/>
        <w:b/>
        <w:sz w:val="28"/>
      </w:rPr>
      <w:fldChar w:fldCharType="separate"/>
    </w:r>
    <w:r w:rsidR="005F1D9A">
      <w:rPr>
        <w:rStyle w:val="a5"/>
        <w:b/>
        <w:noProof/>
        <w:sz w:val="28"/>
      </w:rPr>
      <w:t>53</w:t>
    </w:r>
    <w:r w:rsidR="00055F0E" w:rsidRPr="00715F2C">
      <w:rPr>
        <w:rStyle w:val="a5"/>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7C" w:rsidRDefault="00B1737C">
      <w:r>
        <w:separator/>
      </w:r>
    </w:p>
  </w:footnote>
  <w:footnote w:type="continuationSeparator" w:id="0">
    <w:p w:rsidR="00B1737C" w:rsidRDefault="00B1737C">
      <w:r>
        <w:continuationSeparator/>
      </w:r>
    </w:p>
  </w:footnote>
  <w:footnote w:type="continuationNotice" w:id="1">
    <w:p w:rsidR="00B1737C" w:rsidRDefault="00B173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8B" w:rsidRPr="00D40E4A" w:rsidRDefault="0041428B"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ΚΕΦΑΛΑΙΟ 3</w:t>
    </w:r>
    <w:r w:rsidRPr="00D40E4A">
      <w:rPr>
        <w:rFonts w:ascii="Arial Narrow" w:hAnsi="Arial Narrow"/>
        <w:b/>
        <w:color w:val="808080"/>
        <w:sz w:val="22"/>
      </w:rPr>
      <w:t xml:space="preserve">   </w:t>
    </w:r>
  </w:p>
  <w:p w:rsidR="0041428B" w:rsidRDefault="004142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8B" w:rsidRPr="00D40E4A" w:rsidRDefault="0041428B"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Pr>
        <w:rFonts w:ascii="Arial Narrow" w:hAnsi="Arial Narrow"/>
        <w:b/>
        <w:color w:val="808080"/>
        <w:sz w:val="22"/>
      </w:rPr>
      <w:t>ΚΕΦΑΛΑΙΟ 3</w:t>
    </w:r>
    <w:r w:rsidRPr="00D40E4A">
      <w:rPr>
        <w:rFonts w:ascii="Arial Narrow" w:hAnsi="Arial Narrow"/>
        <w:b/>
        <w:color w:val="808080"/>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28A"/>
    <w:multiLevelType w:val="hybridMultilevel"/>
    <w:tmpl w:val="11F8A8A6"/>
    <w:lvl w:ilvl="0" w:tplc="DA5A4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653CDB"/>
    <w:multiLevelType w:val="hybridMultilevel"/>
    <w:tmpl w:val="C87A83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B9723B0"/>
    <w:multiLevelType w:val="hybridMultilevel"/>
    <w:tmpl w:val="AB22DA9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24DA0933"/>
    <w:multiLevelType w:val="hybridMultilevel"/>
    <w:tmpl w:val="37DA00A4"/>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4">
    <w:nsid w:val="28F576EF"/>
    <w:multiLevelType w:val="hybridMultilevel"/>
    <w:tmpl w:val="18C478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AD3212D"/>
    <w:multiLevelType w:val="hybridMultilevel"/>
    <w:tmpl w:val="D9E4A9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D301244"/>
    <w:multiLevelType w:val="hybridMultilevel"/>
    <w:tmpl w:val="143EEEFE"/>
    <w:lvl w:ilvl="0" w:tplc="3D1A6B4E">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FCA78F3"/>
    <w:multiLevelType w:val="hybridMultilevel"/>
    <w:tmpl w:val="CF266DB4"/>
    <w:lvl w:ilvl="0" w:tplc="213446D6">
      <w:start w:val="1"/>
      <w:numFmt w:val="bullet"/>
      <w:lvlText w:val=""/>
      <w:lvlJc w:val="left"/>
      <w:pPr>
        <w:tabs>
          <w:tab w:val="num" w:pos="348"/>
        </w:tabs>
        <w:ind w:left="348" w:hanging="34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0216647"/>
    <w:multiLevelType w:val="hybridMultilevel"/>
    <w:tmpl w:val="E10AF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24A53A7"/>
    <w:multiLevelType w:val="hybridMultilevel"/>
    <w:tmpl w:val="8766F45E"/>
    <w:lvl w:ilvl="0" w:tplc="1864268E">
      <w:numFmt w:val="bullet"/>
      <w:lvlText w:val="-"/>
      <w:lvlJc w:val="left"/>
      <w:pPr>
        <w:ind w:left="720" w:hanging="360"/>
      </w:pPr>
      <w:rPr>
        <w:rFonts w:ascii="Arial" w:eastAsia="Times New Roman"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6D7081"/>
    <w:multiLevelType w:val="hybridMultilevel"/>
    <w:tmpl w:val="B5EA4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5A929F7"/>
    <w:multiLevelType w:val="hybridMultilevel"/>
    <w:tmpl w:val="649885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7D567E5"/>
    <w:multiLevelType w:val="hybridMultilevel"/>
    <w:tmpl w:val="F54E4CC0"/>
    <w:lvl w:ilvl="0" w:tplc="78A867A2">
      <w:start w:val="1"/>
      <w:numFmt w:val="bullet"/>
      <w:lvlText w:val=""/>
      <w:lvlJc w:val="left"/>
      <w:pPr>
        <w:tabs>
          <w:tab w:val="num" w:pos="348"/>
        </w:tabs>
        <w:ind w:left="348" w:hanging="34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8C621EE"/>
    <w:multiLevelType w:val="hybridMultilevel"/>
    <w:tmpl w:val="D0303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B094C4B"/>
    <w:multiLevelType w:val="hybridMultilevel"/>
    <w:tmpl w:val="237CBB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C0342F8"/>
    <w:multiLevelType w:val="hybridMultilevel"/>
    <w:tmpl w:val="1A3E44FA"/>
    <w:lvl w:ilvl="0" w:tplc="DA5A4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1A3357"/>
    <w:multiLevelType w:val="hybridMultilevel"/>
    <w:tmpl w:val="7908A978"/>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7">
    <w:nsid w:val="4C423443"/>
    <w:multiLevelType w:val="hybridMultilevel"/>
    <w:tmpl w:val="3A3EC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2802E50"/>
    <w:multiLevelType w:val="hybridMultilevel"/>
    <w:tmpl w:val="D35E71F0"/>
    <w:lvl w:ilvl="0" w:tplc="0409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552650D"/>
    <w:multiLevelType w:val="hybridMultilevel"/>
    <w:tmpl w:val="E1225B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56971D3A"/>
    <w:multiLevelType w:val="hybridMultilevel"/>
    <w:tmpl w:val="D3283AF8"/>
    <w:lvl w:ilvl="0" w:tplc="04080001">
      <w:start w:val="1"/>
      <w:numFmt w:val="bullet"/>
      <w:lvlText w:val=""/>
      <w:lvlJc w:val="left"/>
      <w:pPr>
        <w:ind w:left="1288" w:hanging="360"/>
      </w:pPr>
      <w:rPr>
        <w:rFonts w:ascii="Symbol" w:hAnsi="Symbol" w:hint="default"/>
      </w:rPr>
    </w:lvl>
    <w:lvl w:ilvl="1" w:tplc="04080003">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21">
    <w:nsid w:val="570E76E8"/>
    <w:multiLevelType w:val="hybridMultilevel"/>
    <w:tmpl w:val="4E9E7F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59D45042"/>
    <w:multiLevelType w:val="hybridMultilevel"/>
    <w:tmpl w:val="859661E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B7C68AF"/>
    <w:multiLevelType w:val="hybridMultilevel"/>
    <w:tmpl w:val="81BED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EA93757"/>
    <w:multiLevelType w:val="hybridMultilevel"/>
    <w:tmpl w:val="895C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1024AD"/>
    <w:multiLevelType w:val="hybridMultilevel"/>
    <w:tmpl w:val="73004F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22B47E7"/>
    <w:multiLevelType w:val="hybridMultilevel"/>
    <w:tmpl w:val="5F748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3463229"/>
    <w:multiLevelType w:val="hybridMultilevel"/>
    <w:tmpl w:val="06AE9DF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67573C22"/>
    <w:multiLevelType w:val="hybridMultilevel"/>
    <w:tmpl w:val="ABA42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8E734DD"/>
    <w:multiLevelType w:val="hybridMultilevel"/>
    <w:tmpl w:val="9D6E14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AF46304"/>
    <w:multiLevelType w:val="hybridMultilevel"/>
    <w:tmpl w:val="A88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2796290"/>
    <w:multiLevelType w:val="hybridMultilevel"/>
    <w:tmpl w:val="0FAA7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BE35E0"/>
    <w:multiLevelType w:val="hybridMultilevel"/>
    <w:tmpl w:val="438E1E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72F862EB"/>
    <w:multiLevelType w:val="hybridMultilevel"/>
    <w:tmpl w:val="6EAAE710"/>
    <w:lvl w:ilvl="0" w:tplc="D25E1E38">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4216A73"/>
    <w:multiLevelType w:val="hybridMultilevel"/>
    <w:tmpl w:val="27EAC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5713FAB"/>
    <w:multiLevelType w:val="hybridMultilevel"/>
    <w:tmpl w:val="76064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A9A369F"/>
    <w:multiLevelType w:val="hybridMultilevel"/>
    <w:tmpl w:val="56F42C9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nsid w:val="7E2E01D6"/>
    <w:multiLevelType w:val="hybridMultilevel"/>
    <w:tmpl w:val="267234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8">
    <w:nsid w:val="7E3B74D1"/>
    <w:multiLevelType w:val="hybridMultilevel"/>
    <w:tmpl w:val="1354CCEE"/>
    <w:lvl w:ilvl="0" w:tplc="A5AC56D2">
      <w:start w:val="1"/>
      <w:numFmt w:val="decimal"/>
      <w:lvlText w:val="(%1)"/>
      <w:lvlJc w:val="left"/>
      <w:pPr>
        <w:ind w:left="1428" w:hanging="435"/>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num w:numId="1">
    <w:abstractNumId w:val="2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31"/>
  </w:num>
  <w:num w:numId="6">
    <w:abstractNumId w:val="37"/>
  </w:num>
  <w:num w:numId="7">
    <w:abstractNumId w:val="16"/>
  </w:num>
  <w:num w:numId="8">
    <w:abstractNumId w:val="22"/>
  </w:num>
  <w:num w:numId="9">
    <w:abstractNumId w:val="7"/>
  </w:num>
  <w:num w:numId="10">
    <w:abstractNumId w:val="11"/>
  </w:num>
  <w:num w:numId="11">
    <w:abstractNumId w:val="34"/>
  </w:num>
  <w:num w:numId="12">
    <w:abstractNumId w:val="38"/>
  </w:num>
  <w:num w:numId="13">
    <w:abstractNumId w:val="10"/>
  </w:num>
  <w:num w:numId="14">
    <w:abstractNumId w:val="6"/>
  </w:num>
  <w:num w:numId="15">
    <w:abstractNumId w:val="9"/>
  </w:num>
  <w:num w:numId="16">
    <w:abstractNumId w:val="0"/>
  </w:num>
  <w:num w:numId="17">
    <w:abstractNumId w:val="15"/>
  </w:num>
  <w:num w:numId="18">
    <w:abstractNumId w:val="35"/>
  </w:num>
  <w:num w:numId="19">
    <w:abstractNumId w:val="24"/>
  </w:num>
  <w:num w:numId="20">
    <w:abstractNumId w:val="28"/>
  </w:num>
  <w:num w:numId="21">
    <w:abstractNumId w:val="3"/>
  </w:num>
  <w:num w:numId="22">
    <w:abstractNumId w:val="8"/>
  </w:num>
  <w:num w:numId="23">
    <w:abstractNumId w:val="17"/>
  </w:num>
  <w:num w:numId="24">
    <w:abstractNumId w:val="20"/>
  </w:num>
  <w:num w:numId="25">
    <w:abstractNumId w:val="14"/>
  </w:num>
  <w:num w:numId="26">
    <w:abstractNumId w:val="1"/>
  </w:num>
  <w:num w:numId="27">
    <w:abstractNumId w:val="4"/>
  </w:num>
  <w:num w:numId="28">
    <w:abstractNumId w:val="26"/>
  </w:num>
  <w:num w:numId="29">
    <w:abstractNumId w:val="33"/>
  </w:num>
  <w:num w:numId="30">
    <w:abstractNumId w:val="32"/>
  </w:num>
  <w:num w:numId="31">
    <w:abstractNumId w:val="21"/>
  </w:num>
  <w:num w:numId="32">
    <w:abstractNumId w:val="29"/>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5"/>
  </w:num>
  <w:num w:numId="38">
    <w:abstractNumId w:val="13"/>
  </w:num>
  <w:num w:numId="39">
    <w:abstractNumId w:val="19"/>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mirrorMargin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oNotHyphenateCaps/>
  <w:evenAndOddHeader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4A"/>
    <w:rsid w:val="00000E7F"/>
    <w:rsid w:val="0000191B"/>
    <w:rsid w:val="00001979"/>
    <w:rsid w:val="00001B80"/>
    <w:rsid w:val="00002691"/>
    <w:rsid w:val="00002780"/>
    <w:rsid w:val="00002E06"/>
    <w:rsid w:val="00002F45"/>
    <w:rsid w:val="0000327E"/>
    <w:rsid w:val="00003351"/>
    <w:rsid w:val="0000337D"/>
    <w:rsid w:val="00003F4B"/>
    <w:rsid w:val="00004326"/>
    <w:rsid w:val="000045FD"/>
    <w:rsid w:val="000054A8"/>
    <w:rsid w:val="00005AC0"/>
    <w:rsid w:val="000060B5"/>
    <w:rsid w:val="00006293"/>
    <w:rsid w:val="000067ED"/>
    <w:rsid w:val="00007FCB"/>
    <w:rsid w:val="000105DB"/>
    <w:rsid w:val="0001090A"/>
    <w:rsid w:val="00011064"/>
    <w:rsid w:val="0001130A"/>
    <w:rsid w:val="000118BF"/>
    <w:rsid w:val="00011A34"/>
    <w:rsid w:val="00011A48"/>
    <w:rsid w:val="00011C6A"/>
    <w:rsid w:val="00011F9E"/>
    <w:rsid w:val="00012457"/>
    <w:rsid w:val="000124AA"/>
    <w:rsid w:val="0001256E"/>
    <w:rsid w:val="000125F1"/>
    <w:rsid w:val="00012755"/>
    <w:rsid w:val="000130BC"/>
    <w:rsid w:val="0001319E"/>
    <w:rsid w:val="00013241"/>
    <w:rsid w:val="0001350B"/>
    <w:rsid w:val="00013626"/>
    <w:rsid w:val="000138F7"/>
    <w:rsid w:val="00014281"/>
    <w:rsid w:val="00014353"/>
    <w:rsid w:val="0001442D"/>
    <w:rsid w:val="00014E23"/>
    <w:rsid w:val="00015E30"/>
    <w:rsid w:val="00016550"/>
    <w:rsid w:val="000165C7"/>
    <w:rsid w:val="00016C55"/>
    <w:rsid w:val="00017056"/>
    <w:rsid w:val="00017096"/>
    <w:rsid w:val="00017C78"/>
    <w:rsid w:val="00020143"/>
    <w:rsid w:val="00021035"/>
    <w:rsid w:val="0002124A"/>
    <w:rsid w:val="00021AB4"/>
    <w:rsid w:val="00021B0C"/>
    <w:rsid w:val="00021F01"/>
    <w:rsid w:val="00022171"/>
    <w:rsid w:val="00022501"/>
    <w:rsid w:val="0002273A"/>
    <w:rsid w:val="000228C8"/>
    <w:rsid w:val="0002297E"/>
    <w:rsid w:val="00022E48"/>
    <w:rsid w:val="000238F9"/>
    <w:rsid w:val="00023AF6"/>
    <w:rsid w:val="00023D94"/>
    <w:rsid w:val="00023EFF"/>
    <w:rsid w:val="00024596"/>
    <w:rsid w:val="000246CD"/>
    <w:rsid w:val="00024B44"/>
    <w:rsid w:val="00024E55"/>
    <w:rsid w:val="000250ED"/>
    <w:rsid w:val="00025ADB"/>
    <w:rsid w:val="00025AFB"/>
    <w:rsid w:val="00025DB9"/>
    <w:rsid w:val="00025DE2"/>
    <w:rsid w:val="000267CB"/>
    <w:rsid w:val="00026CA6"/>
    <w:rsid w:val="00026EC2"/>
    <w:rsid w:val="000271D7"/>
    <w:rsid w:val="000271E3"/>
    <w:rsid w:val="000279A2"/>
    <w:rsid w:val="00027FDC"/>
    <w:rsid w:val="0003013A"/>
    <w:rsid w:val="000302FC"/>
    <w:rsid w:val="000306FC"/>
    <w:rsid w:val="00030C7A"/>
    <w:rsid w:val="00031376"/>
    <w:rsid w:val="00031CB9"/>
    <w:rsid w:val="00031F0A"/>
    <w:rsid w:val="00032BA2"/>
    <w:rsid w:val="0003308B"/>
    <w:rsid w:val="00033CF7"/>
    <w:rsid w:val="00034183"/>
    <w:rsid w:val="000341C7"/>
    <w:rsid w:val="00034289"/>
    <w:rsid w:val="00034693"/>
    <w:rsid w:val="000346C2"/>
    <w:rsid w:val="000358BB"/>
    <w:rsid w:val="00035936"/>
    <w:rsid w:val="00035DC4"/>
    <w:rsid w:val="00036271"/>
    <w:rsid w:val="0003634E"/>
    <w:rsid w:val="000364C6"/>
    <w:rsid w:val="00036803"/>
    <w:rsid w:val="00037F13"/>
    <w:rsid w:val="00040481"/>
    <w:rsid w:val="000422C0"/>
    <w:rsid w:val="00042374"/>
    <w:rsid w:val="0004281C"/>
    <w:rsid w:val="0004308B"/>
    <w:rsid w:val="00043154"/>
    <w:rsid w:val="0004389F"/>
    <w:rsid w:val="00043E1D"/>
    <w:rsid w:val="0004408E"/>
    <w:rsid w:val="000443D6"/>
    <w:rsid w:val="00044888"/>
    <w:rsid w:val="00044A21"/>
    <w:rsid w:val="000456CE"/>
    <w:rsid w:val="00045742"/>
    <w:rsid w:val="000459AE"/>
    <w:rsid w:val="00045F21"/>
    <w:rsid w:val="0004605A"/>
    <w:rsid w:val="0004633A"/>
    <w:rsid w:val="00046378"/>
    <w:rsid w:val="00046473"/>
    <w:rsid w:val="0004658B"/>
    <w:rsid w:val="00046741"/>
    <w:rsid w:val="0004677F"/>
    <w:rsid w:val="00046B94"/>
    <w:rsid w:val="00046BA4"/>
    <w:rsid w:val="000471D9"/>
    <w:rsid w:val="00047240"/>
    <w:rsid w:val="000473DE"/>
    <w:rsid w:val="00047445"/>
    <w:rsid w:val="00047996"/>
    <w:rsid w:val="0005023F"/>
    <w:rsid w:val="000505BB"/>
    <w:rsid w:val="00050E12"/>
    <w:rsid w:val="00050E4F"/>
    <w:rsid w:val="000510FC"/>
    <w:rsid w:val="00051116"/>
    <w:rsid w:val="00052258"/>
    <w:rsid w:val="00052A45"/>
    <w:rsid w:val="000532DE"/>
    <w:rsid w:val="0005338D"/>
    <w:rsid w:val="00053B41"/>
    <w:rsid w:val="00054F64"/>
    <w:rsid w:val="0005567A"/>
    <w:rsid w:val="00055741"/>
    <w:rsid w:val="00055DF4"/>
    <w:rsid w:val="00055E83"/>
    <w:rsid w:val="00055F0E"/>
    <w:rsid w:val="00055F4D"/>
    <w:rsid w:val="00056306"/>
    <w:rsid w:val="0005656B"/>
    <w:rsid w:val="000565DE"/>
    <w:rsid w:val="00056834"/>
    <w:rsid w:val="00056F64"/>
    <w:rsid w:val="000574DA"/>
    <w:rsid w:val="00057905"/>
    <w:rsid w:val="0005798B"/>
    <w:rsid w:val="000600C3"/>
    <w:rsid w:val="000603C4"/>
    <w:rsid w:val="00060825"/>
    <w:rsid w:val="000610B4"/>
    <w:rsid w:val="00061BCC"/>
    <w:rsid w:val="000625F6"/>
    <w:rsid w:val="000630B0"/>
    <w:rsid w:val="00063AAC"/>
    <w:rsid w:val="00063E27"/>
    <w:rsid w:val="000646BA"/>
    <w:rsid w:val="00064A32"/>
    <w:rsid w:val="00064C09"/>
    <w:rsid w:val="00065914"/>
    <w:rsid w:val="00066017"/>
    <w:rsid w:val="00066063"/>
    <w:rsid w:val="000663DB"/>
    <w:rsid w:val="00066754"/>
    <w:rsid w:val="00066860"/>
    <w:rsid w:val="00066A96"/>
    <w:rsid w:val="000677B4"/>
    <w:rsid w:val="00067C6A"/>
    <w:rsid w:val="00067CFB"/>
    <w:rsid w:val="00070E38"/>
    <w:rsid w:val="00071132"/>
    <w:rsid w:val="00071218"/>
    <w:rsid w:val="000714F1"/>
    <w:rsid w:val="000716AD"/>
    <w:rsid w:val="000716EA"/>
    <w:rsid w:val="00071ED5"/>
    <w:rsid w:val="000724D7"/>
    <w:rsid w:val="0007323C"/>
    <w:rsid w:val="000733D2"/>
    <w:rsid w:val="00073DEF"/>
    <w:rsid w:val="00074096"/>
    <w:rsid w:val="00074A5C"/>
    <w:rsid w:val="000750C6"/>
    <w:rsid w:val="000758BF"/>
    <w:rsid w:val="000759E7"/>
    <w:rsid w:val="00075EE7"/>
    <w:rsid w:val="0007699F"/>
    <w:rsid w:val="00076A2E"/>
    <w:rsid w:val="00076B4F"/>
    <w:rsid w:val="00076BD2"/>
    <w:rsid w:val="000775B1"/>
    <w:rsid w:val="000776C5"/>
    <w:rsid w:val="000778F1"/>
    <w:rsid w:val="000779D9"/>
    <w:rsid w:val="00077C02"/>
    <w:rsid w:val="00080048"/>
    <w:rsid w:val="000809C7"/>
    <w:rsid w:val="00080B24"/>
    <w:rsid w:val="0008183D"/>
    <w:rsid w:val="00081923"/>
    <w:rsid w:val="00081B7E"/>
    <w:rsid w:val="00081C2B"/>
    <w:rsid w:val="00081E60"/>
    <w:rsid w:val="000822D0"/>
    <w:rsid w:val="000823EA"/>
    <w:rsid w:val="000824A8"/>
    <w:rsid w:val="00082EB5"/>
    <w:rsid w:val="00082F09"/>
    <w:rsid w:val="00082F54"/>
    <w:rsid w:val="000833FE"/>
    <w:rsid w:val="000842AD"/>
    <w:rsid w:val="00084459"/>
    <w:rsid w:val="00084585"/>
    <w:rsid w:val="00084713"/>
    <w:rsid w:val="00084F72"/>
    <w:rsid w:val="000850CE"/>
    <w:rsid w:val="000854BF"/>
    <w:rsid w:val="000855D4"/>
    <w:rsid w:val="00085743"/>
    <w:rsid w:val="0008593B"/>
    <w:rsid w:val="000860BC"/>
    <w:rsid w:val="00086C12"/>
    <w:rsid w:val="00086E3B"/>
    <w:rsid w:val="00086FAB"/>
    <w:rsid w:val="00087408"/>
    <w:rsid w:val="00087A28"/>
    <w:rsid w:val="00087F4D"/>
    <w:rsid w:val="0009063D"/>
    <w:rsid w:val="00090979"/>
    <w:rsid w:val="00090BBD"/>
    <w:rsid w:val="00091C75"/>
    <w:rsid w:val="00091C95"/>
    <w:rsid w:val="00091D38"/>
    <w:rsid w:val="00091ED8"/>
    <w:rsid w:val="00092563"/>
    <w:rsid w:val="000925EB"/>
    <w:rsid w:val="00092662"/>
    <w:rsid w:val="00092A3E"/>
    <w:rsid w:val="00092D06"/>
    <w:rsid w:val="00093265"/>
    <w:rsid w:val="000932E2"/>
    <w:rsid w:val="00093B89"/>
    <w:rsid w:val="00093FCB"/>
    <w:rsid w:val="0009408B"/>
    <w:rsid w:val="0009493E"/>
    <w:rsid w:val="00094B87"/>
    <w:rsid w:val="00094BC0"/>
    <w:rsid w:val="00094C23"/>
    <w:rsid w:val="00094D6F"/>
    <w:rsid w:val="00094FE4"/>
    <w:rsid w:val="00095122"/>
    <w:rsid w:val="000954A4"/>
    <w:rsid w:val="00095AAD"/>
    <w:rsid w:val="0009604B"/>
    <w:rsid w:val="000961E8"/>
    <w:rsid w:val="00096C99"/>
    <w:rsid w:val="00097610"/>
    <w:rsid w:val="000977CA"/>
    <w:rsid w:val="000A0B59"/>
    <w:rsid w:val="000A0BC0"/>
    <w:rsid w:val="000A148A"/>
    <w:rsid w:val="000A14D9"/>
    <w:rsid w:val="000A193D"/>
    <w:rsid w:val="000A1C3E"/>
    <w:rsid w:val="000A20F6"/>
    <w:rsid w:val="000A237F"/>
    <w:rsid w:val="000A2381"/>
    <w:rsid w:val="000A2B3E"/>
    <w:rsid w:val="000A2E12"/>
    <w:rsid w:val="000A3A24"/>
    <w:rsid w:val="000A3B33"/>
    <w:rsid w:val="000A3FDF"/>
    <w:rsid w:val="000A4661"/>
    <w:rsid w:val="000A495A"/>
    <w:rsid w:val="000A4982"/>
    <w:rsid w:val="000A4993"/>
    <w:rsid w:val="000A4ABE"/>
    <w:rsid w:val="000A5121"/>
    <w:rsid w:val="000A5296"/>
    <w:rsid w:val="000A552D"/>
    <w:rsid w:val="000A558B"/>
    <w:rsid w:val="000A5A0B"/>
    <w:rsid w:val="000A5D36"/>
    <w:rsid w:val="000A6210"/>
    <w:rsid w:val="000A6840"/>
    <w:rsid w:val="000A6DE0"/>
    <w:rsid w:val="000A6EFE"/>
    <w:rsid w:val="000A7087"/>
    <w:rsid w:val="000A71E6"/>
    <w:rsid w:val="000A783C"/>
    <w:rsid w:val="000A7AF2"/>
    <w:rsid w:val="000A7EB9"/>
    <w:rsid w:val="000B03A8"/>
    <w:rsid w:val="000B0509"/>
    <w:rsid w:val="000B05C4"/>
    <w:rsid w:val="000B0898"/>
    <w:rsid w:val="000B1483"/>
    <w:rsid w:val="000B25E9"/>
    <w:rsid w:val="000B27AC"/>
    <w:rsid w:val="000B27B0"/>
    <w:rsid w:val="000B2924"/>
    <w:rsid w:val="000B2A60"/>
    <w:rsid w:val="000B3582"/>
    <w:rsid w:val="000B35AB"/>
    <w:rsid w:val="000B3D58"/>
    <w:rsid w:val="000B4981"/>
    <w:rsid w:val="000B4CB6"/>
    <w:rsid w:val="000B4F20"/>
    <w:rsid w:val="000B4FF0"/>
    <w:rsid w:val="000B5D94"/>
    <w:rsid w:val="000B63B7"/>
    <w:rsid w:val="000B6550"/>
    <w:rsid w:val="000B66E8"/>
    <w:rsid w:val="000B6945"/>
    <w:rsid w:val="000B69DB"/>
    <w:rsid w:val="000B6A5A"/>
    <w:rsid w:val="000B71B8"/>
    <w:rsid w:val="000B75A5"/>
    <w:rsid w:val="000B7ABB"/>
    <w:rsid w:val="000B7BF4"/>
    <w:rsid w:val="000B7CFB"/>
    <w:rsid w:val="000B7E91"/>
    <w:rsid w:val="000C0D0E"/>
    <w:rsid w:val="000C0EBB"/>
    <w:rsid w:val="000C1C28"/>
    <w:rsid w:val="000C253F"/>
    <w:rsid w:val="000C25F4"/>
    <w:rsid w:val="000C27FE"/>
    <w:rsid w:val="000C3640"/>
    <w:rsid w:val="000C3D02"/>
    <w:rsid w:val="000C4A39"/>
    <w:rsid w:val="000C5120"/>
    <w:rsid w:val="000C5E2C"/>
    <w:rsid w:val="000C6228"/>
    <w:rsid w:val="000C625F"/>
    <w:rsid w:val="000C627F"/>
    <w:rsid w:val="000C6811"/>
    <w:rsid w:val="000C6AAB"/>
    <w:rsid w:val="000C6D23"/>
    <w:rsid w:val="000C7501"/>
    <w:rsid w:val="000C7681"/>
    <w:rsid w:val="000C7BFC"/>
    <w:rsid w:val="000D097F"/>
    <w:rsid w:val="000D0AD6"/>
    <w:rsid w:val="000D1219"/>
    <w:rsid w:val="000D1890"/>
    <w:rsid w:val="000D284B"/>
    <w:rsid w:val="000D2DC2"/>
    <w:rsid w:val="000D2DE5"/>
    <w:rsid w:val="000D2ED8"/>
    <w:rsid w:val="000D3368"/>
    <w:rsid w:val="000D3894"/>
    <w:rsid w:val="000D3994"/>
    <w:rsid w:val="000D3ABA"/>
    <w:rsid w:val="000D3D43"/>
    <w:rsid w:val="000D3EEC"/>
    <w:rsid w:val="000D40E9"/>
    <w:rsid w:val="000D4290"/>
    <w:rsid w:val="000D44BA"/>
    <w:rsid w:val="000D50F4"/>
    <w:rsid w:val="000D5514"/>
    <w:rsid w:val="000D56F7"/>
    <w:rsid w:val="000D6126"/>
    <w:rsid w:val="000D649B"/>
    <w:rsid w:val="000D66E5"/>
    <w:rsid w:val="000D6BF1"/>
    <w:rsid w:val="000D6E27"/>
    <w:rsid w:val="000D6F37"/>
    <w:rsid w:val="000D6FF5"/>
    <w:rsid w:val="000D6FFB"/>
    <w:rsid w:val="000D71F8"/>
    <w:rsid w:val="000D770A"/>
    <w:rsid w:val="000D7870"/>
    <w:rsid w:val="000D790E"/>
    <w:rsid w:val="000E0657"/>
    <w:rsid w:val="000E208A"/>
    <w:rsid w:val="000E3CE8"/>
    <w:rsid w:val="000E5314"/>
    <w:rsid w:val="000E6269"/>
    <w:rsid w:val="000E629A"/>
    <w:rsid w:val="000E69E1"/>
    <w:rsid w:val="000E6B70"/>
    <w:rsid w:val="000E7053"/>
    <w:rsid w:val="000E7288"/>
    <w:rsid w:val="000E72B0"/>
    <w:rsid w:val="000E7978"/>
    <w:rsid w:val="000E7D91"/>
    <w:rsid w:val="000F0823"/>
    <w:rsid w:val="000F082D"/>
    <w:rsid w:val="000F0EBB"/>
    <w:rsid w:val="000F1010"/>
    <w:rsid w:val="000F2533"/>
    <w:rsid w:val="000F297B"/>
    <w:rsid w:val="000F3989"/>
    <w:rsid w:val="000F40E4"/>
    <w:rsid w:val="000F4288"/>
    <w:rsid w:val="000F4437"/>
    <w:rsid w:val="000F443E"/>
    <w:rsid w:val="000F44A6"/>
    <w:rsid w:val="000F4512"/>
    <w:rsid w:val="000F4D21"/>
    <w:rsid w:val="000F4DB1"/>
    <w:rsid w:val="000F5117"/>
    <w:rsid w:val="000F551C"/>
    <w:rsid w:val="000F5616"/>
    <w:rsid w:val="000F56BF"/>
    <w:rsid w:val="000F5C59"/>
    <w:rsid w:val="000F5E2A"/>
    <w:rsid w:val="000F6126"/>
    <w:rsid w:val="000F6D4B"/>
    <w:rsid w:val="000F73CF"/>
    <w:rsid w:val="000F74A3"/>
    <w:rsid w:val="000F7634"/>
    <w:rsid w:val="000F77DC"/>
    <w:rsid w:val="00100059"/>
    <w:rsid w:val="001003C2"/>
    <w:rsid w:val="00100514"/>
    <w:rsid w:val="001005DA"/>
    <w:rsid w:val="0010068D"/>
    <w:rsid w:val="00100891"/>
    <w:rsid w:val="00101148"/>
    <w:rsid w:val="00101366"/>
    <w:rsid w:val="00101553"/>
    <w:rsid w:val="00101844"/>
    <w:rsid w:val="001022F6"/>
    <w:rsid w:val="00102B19"/>
    <w:rsid w:val="00102CF4"/>
    <w:rsid w:val="00103347"/>
    <w:rsid w:val="0010349C"/>
    <w:rsid w:val="001036C7"/>
    <w:rsid w:val="00103A33"/>
    <w:rsid w:val="00104336"/>
    <w:rsid w:val="00104429"/>
    <w:rsid w:val="001044FC"/>
    <w:rsid w:val="00104E5F"/>
    <w:rsid w:val="00105340"/>
    <w:rsid w:val="00105796"/>
    <w:rsid w:val="00105952"/>
    <w:rsid w:val="00105C42"/>
    <w:rsid w:val="00105FA1"/>
    <w:rsid w:val="00106D3E"/>
    <w:rsid w:val="00107278"/>
    <w:rsid w:val="00107FB5"/>
    <w:rsid w:val="0011067E"/>
    <w:rsid w:val="00111971"/>
    <w:rsid w:val="00111AAD"/>
    <w:rsid w:val="00111C80"/>
    <w:rsid w:val="00111FC8"/>
    <w:rsid w:val="00113147"/>
    <w:rsid w:val="00113DA5"/>
    <w:rsid w:val="00114120"/>
    <w:rsid w:val="00115015"/>
    <w:rsid w:val="001157DF"/>
    <w:rsid w:val="00116A45"/>
    <w:rsid w:val="00116C21"/>
    <w:rsid w:val="00117303"/>
    <w:rsid w:val="00117789"/>
    <w:rsid w:val="001178F9"/>
    <w:rsid w:val="00117933"/>
    <w:rsid w:val="00117D58"/>
    <w:rsid w:val="001200DF"/>
    <w:rsid w:val="00120977"/>
    <w:rsid w:val="001209F8"/>
    <w:rsid w:val="00120EA0"/>
    <w:rsid w:val="001212B2"/>
    <w:rsid w:val="00121309"/>
    <w:rsid w:val="00121BEF"/>
    <w:rsid w:val="00121C04"/>
    <w:rsid w:val="00121C8D"/>
    <w:rsid w:val="00121E53"/>
    <w:rsid w:val="001226D2"/>
    <w:rsid w:val="00122B08"/>
    <w:rsid w:val="00122D3F"/>
    <w:rsid w:val="001233E8"/>
    <w:rsid w:val="00123E4B"/>
    <w:rsid w:val="0012422B"/>
    <w:rsid w:val="001244BB"/>
    <w:rsid w:val="0012464D"/>
    <w:rsid w:val="00124F5E"/>
    <w:rsid w:val="001250CA"/>
    <w:rsid w:val="00125FFE"/>
    <w:rsid w:val="001260D9"/>
    <w:rsid w:val="00126181"/>
    <w:rsid w:val="00126268"/>
    <w:rsid w:val="0012659E"/>
    <w:rsid w:val="00126AE1"/>
    <w:rsid w:val="00127538"/>
    <w:rsid w:val="00127BAB"/>
    <w:rsid w:val="00130049"/>
    <w:rsid w:val="001300BF"/>
    <w:rsid w:val="00130502"/>
    <w:rsid w:val="00131475"/>
    <w:rsid w:val="001314F8"/>
    <w:rsid w:val="00131C63"/>
    <w:rsid w:val="00131EF0"/>
    <w:rsid w:val="00132280"/>
    <w:rsid w:val="00132352"/>
    <w:rsid w:val="00132565"/>
    <w:rsid w:val="00132B8E"/>
    <w:rsid w:val="00132E3C"/>
    <w:rsid w:val="00133DD0"/>
    <w:rsid w:val="00134459"/>
    <w:rsid w:val="0013462D"/>
    <w:rsid w:val="0013511B"/>
    <w:rsid w:val="001354BA"/>
    <w:rsid w:val="001359E4"/>
    <w:rsid w:val="00135C5D"/>
    <w:rsid w:val="00135EDB"/>
    <w:rsid w:val="0013654E"/>
    <w:rsid w:val="00136683"/>
    <w:rsid w:val="00136686"/>
    <w:rsid w:val="00136B8A"/>
    <w:rsid w:val="00136DD5"/>
    <w:rsid w:val="00136DEE"/>
    <w:rsid w:val="0013705A"/>
    <w:rsid w:val="001374E3"/>
    <w:rsid w:val="00137527"/>
    <w:rsid w:val="0013775B"/>
    <w:rsid w:val="0013796F"/>
    <w:rsid w:val="0014040C"/>
    <w:rsid w:val="00140717"/>
    <w:rsid w:val="00140E1C"/>
    <w:rsid w:val="00141CD6"/>
    <w:rsid w:val="001422B3"/>
    <w:rsid w:val="00142539"/>
    <w:rsid w:val="00142E5C"/>
    <w:rsid w:val="00143414"/>
    <w:rsid w:val="0014356E"/>
    <w:rsid w:val="001436F0"/>
    <w:rsid w:val="001439AA"/>
    <w:rsid w:val="00144A36"/>
    <w:rsid w:val="00145118"/>
    <w:rsid w:val="00145E8B"/>
    <w:rsid w:val="0014623D"/>
    <w:rsid w:val="00146BDF"/>
    <w:rsid w:val="00146D89"/>
    <w:rsid w:val="00147961"/>
    <w:rsid w:val="0014796F"/>
    <w:rsid w:val="00147979"/>
    <w:rsid w:val="00147DC1"/>
    <w:rsid w:val="00150229"/>
    <w:rsid w:val="00150D1F"/>
    <w:rsid w:val="0015134D"/>
    <w:rsid w:val="001515B3"/>
    <w:rsid w:val="00151806"/>
    <w:rsid w:val="00151871"/>
    <w:rsid w:val="00151A8D"/>
    <w:rsid w:val="00151B71"/>
    <w:rsid w:val="00151EF9"/>
    <w:rsid w:val="001520C6"/>
    <w:rsid w:val="00152146"/>
    <w:rsid w:val="00152F87"/>
    <w:rsid w:val="0015367B"/>
    <w:rsid w:val="00153A29"/>
    <w:rsid w:val="00153B38"/>
    <w:rsid w:val="0015466F"/>
    <w:rsid w:val="001546F1"/>
    <w:rsid w:val="001554F4"/>
    <w:rsid w:val="001561CD"/>
    <w:rsid w:val="00156522"/>
    <w:rsid w:val="001565CD"/>
    <w:rsid w:val="001567E0"/>
    <w:rsid w:val="00156DD9"/>
    <w:rsid w:val="00156E94"/>
    <w:rsid w:val="00156EC3"/>
    <w:rsid w:val="001608F9"/>
    <w:rsid w:val="00160F2E"/>
    <w:rsid w:val="00161333"/>
    <w:rsid w:val="00161906"/>
    <w:rsid w:val="00161920"/>
    <w:rsid w:val="00161AA5"/>
    <w:rsid w:val="001625F9"/>
    <w:rsid w:val="0016260A"/>
    <w:rsid w:val="0016264B"/>
    <w:rsid w:val="00162AC5"/>
    <w:rsid w:val="00163C6F"/>
    <w:rsid w:val="00163FA7"/>
    <w:rsid w:val="00164DB6"/>
    <w:rsid w:val="001657DD"/>
    <w:rsid w:val="00165EB2"/>
    <w:rsid w:val="00166224"/>
    <w:rsid w:val="00166A87"/>
    <w:rsid w:val="0016731B"/>
    <w:rsid w:val="001675A8"/>
    <w:rsid w:val="00167B76"/>
    <w:rsid w:val="00167FC4"/>
    <w:rsid w:val="0017041D"/>
    <w:rsid w:val="00170BE6"/>
    <w:rsid w:val="00170CBC"/>
    <w:rsid w:val="00170E32"/>
    <w:rsid w:val="00171115"/>
    <w:rsid w:val="001715C3"/>
    <w:rsid w:val="00171655"/>
    <w:rsid w:val="001718F4"/>
    <w:rsid w:val="00171DED"/>
    <w:rsid w:val="001725E0"/>
    <w:rsid w:val="00173660"/>
    <w:rsid w:val="00173792"/>
    <w:rsid w:val="00174CCA"/>
    <w:rsid w:val="00175205"/>
    <w:rsid w:val="001753CE"/>
    <w:rsid w:val="00175730"/>
    <w:rsid w:val="001757B7"/>
    <w:rsid w:val="00175A16"/>
    <w:rsid w:val="00175B20"/>
    <w:rsid w:val="00175D66"/>
    <w:rsid w:val="0017614E"/>
    <w:rsid w:val="001769DA"/>
    <w:rsid w:val="00177136"/>
    <w:rsid w:val="00177305"/>
    <w:rsid w:val="001773CB"/>
    <w:rsid w:val="001778DD"/>
    <w:rsid w:val="00177EEC"/>
    <w:rsid w:val="001804E8"/>
    <w:rsid w:val="001805B6"/>
    <w:rsid w:val="001809F3"/>
    <w:rsid w:val="00180BD3"/>
    <w:rsid w:val="00180E5B"/>
    <w:rsid w:val="00180E7E"/>
    <w:rsid w:val="001818D9"/>
    <w:rsid w:val="001821DB"/>
    <w:rsid w:val="00182281"/>
    <w:rsid w:val="0018277F"/>
    <w:rsid w:val="00182790"/>
    <w:rsid w:val="001830EF"/>
    <w:rsid w:val="001834CA"/>
    <w:rsid w:val="00183C25"/>
    <w:rsid w:val="00184213"/>
    <w:rsid w:val="0018439B"/>
    <w:rsid w:val="00185151"/>
    <w:rsid w:val="00185230"/>
    <w:rsid w:val="0018537E"/>
    <w:rsid w:val="00185817"/>
    <w:rsid w:val="00185B9E"/>
    <w:rsid w:val="001862B1"/>
    <w:rsid w:val="0018636C"/>
    <w:rsid w:val="001866E5"/>
    <w:rsid w:val="0018684F"/>
    <w:rsid w:val="00186E49"/>
    <w:rsid w:val="0018703C"/>
    <w:rsid w:val="0018743C"/>
    <w:rsid w:val="001876FF"/>
    <w:rsid w:val="0018787A"/>
    <w:rsid w:val="0019094D"/>
    <w:rsid w:val="00190E65"/>
    <w:rsid w:val="00191067"/>
    <w:rsid w:val="00191F24"/>
    <w:rsid w:val="001921A0"/>
    <w:rsid w:val="0019241B"/>
    <w:rsid w:val="00193E02"/>
    <w:rsid w:val="0019439D"/>
    <w:rsid w:val="00194521"/>
    <w:rsid w:val="001945B9"/>
    <w:rsid w:val="00194D43"/>
    <w:rsid w:val="00194E79"/>
    <w:rsid w:val="00195062"/>
    <w:rsid w:val="001952B5"/>
    <w:rsid w:val="00195356"/>
    <w:rsid w:val="001954AA"/>
    <w:rsid w:val="00195772"/>
    <w:rsid w:val="00196F95"/>
    <w:rsid w:val="00197A52"/>
    <w:rsid w:val="00197B90"/>
    <w:rsid w:val="001A0368"/>
    <w:rsid w:val="001A044E"/>
    <w:rsid w:val="001A060A"/>
    <w:rsid w:val="001A0A25"/>
    <w:rsid w:val="001A10BD"/>
    <w:rsid w:val="001A12FE"/>
    <w:rsid w:val="001A1563"/>
    <w:rsid w:val="001A159A"/>
    <w:rsid w:val="001A1679"/>
    <w:rsid w:val="001A19E2"/>
    <w:rsid w:val="001A1A4D"/>
    <w:rsid w:val="001A1C71"/>
    <w:rsid w:val="001A1CBD"/>
    <w:rsid w:val="001A2169"/>
    <w:rsid w:val="001A27FF"/>
    <w:rsid w:val="001A2C74"/>
    <w:rsid w:val="001A377C"/>
    <w:rsid w:val="001A3D1B"/>
    <w:rsid w:val="001A4194"/>
    <w:rsid w:val="001A4741"/>
    <w:rsid w:val="001A4A6C"/>
    <w:rsid w:val="001A5015"/>
    <w:rsid w:val="001A53CF"/>
    <w:rsid w:val="001A5408"/>
    <w:rsid w:val="001A586C"/>
    <w:rsid w:val="001A59B7"/>
    <w:rsid w:val="001A5A43"/>
    <w:rsid w:val="001A5B0E"/>
    <w:rsid w:val="001A6126"/>
    <w:rsid w:val="001A63B1"/>
    <w:rsid w:val="001A63FC"/>
    <w:rsid w:val="001A6A0A"/>
    <w:rsid w:val="001A6F68"/>
    <w:rsid w:val="001A78C0"/>
    <w:rsid w:val="001A796F"/>
    <w:rsid w:val="001A7999"/>
    <w:rsid w:val="001A79D7"/>
    <w:rsid w:val="001A7C58"/>
    <w:rsid w:val="001B01CD"/>
    <w:rsid w:val="001B01DE"/>
    <w:rsid w:val="001B0B4A"/>
    <w:rsid w:val="001B191F"/>
    <w:rsid w:val="001B1D50"/>
    <w:rsid w:val="001B27DB"/>
    <w:rsid w:val="001B2911"/>
    <w:rsid w:val="001B2945"/>
    <w:rsid w:val="001B2C6A"/>
    <w:rsid w:val="001B2D31"/>
    <w:rsid w:val="001B332D"/>
    <w:rsid w:val="001B35F8"/>
    <w:rsid w:val="001B3884"/>
    <w:rsid w:val="001B4526"/>
    <w:rsid w:val="001B4685"/>
    <w:rsid w:val="001B49C9"/>
    <w:rsid w:val="001B5490"/>
    <w:rsid w:val="001B5874"/>
    <w:rsid w:val="001B59CB"/>
    <w:rsid w:val="001B5AB0"/>
    <w:rsid w:val="001B5B85"/>
    <w:rsid w:val="001B5F66"/>
    <w:rsid w:val="001B60E5"/>
    <w:rsid w:val="001B6893"/>
    <w:rsid w:val="001B69A7"/>
    <w:rsid w:val="001B6E67"/>
    <w:rsid w:val="001B6F7A"/>
    <w:rsid w:val="001B75E9"/>
    <w:rsid w:val="001B773D"/>
    <w:rsid w:val="001B7AFF"/>
    <w:rsid w:val="001B7EBC"/>
    <w:rsid w:val="001C09DC"/>
    <w:rsid w:val="001C0D0A"/>
    <w:rsid w:val="001C11E2"/>
    <w:rsid w:val="001C12FA"/>
    <w:rsid w:val="001C1B83"/>
    <w:rsid w:val="001C1C5C"/>
    <w:rsid w:val="001C1F9A"/>
    <w:rsid w:val="001C20F6"/>
    <w:rsid w:val="001C2190"/>
    <w:rsid w:val="001C225C"/>
    <w:rsid w:val="001C24EA"/>
    <w:rsid w:val="001C2531"/>
    <w:rsid w:val="001C25DE"/>
    <w:rsid w:val="001C281B"/>
    <w:rsid w:val="001C31B8"/>
    <w:rsid w:val="001C333F"/>
    <w:rsid w:val="001C337C"/>
    <w:rsid w:val="001C389C"/>
    <w:rsid w:val="001C3F33"/>
    <w:rsid w:val="001C42E5"/>
    <w:rsid w:val="001C4A4E"/>
    <w:rsid w:val="001C4E55"/>
    <w:rsid w:val="001C5137"/>
    <w:rsid w:val="001C5941"/>
    <w:rsid w:val="001C5AAD"/>
    <w:rsid w:val="001C5B62"/>
    <w:rsid w:val="001C5BDF"/>
    <w:rsid w:val="001C5C74"/>
    <w:rsid w:val="001C62DA"/>
    <w:rsid w:val="001C73F5"/>
    <w:rsid w:val="001C7593"/>
    <w:rsid w:val="001C7953"/>
    <w:rsid w:val="001C7DFC"/>
    <w:rsid w:val="001D0044"/>
    <w:rsid w:val="001D0295"/>
    <w:rsid w:val="001D037D"/>
    <w:rsid w:val="001D047F"/>
    <w:rsid w:val="001D0689"/>
    <w:rsid w:val="001D071A"/>
    <w:rsid w:val="001D094F"/>
    <w:rsid w:val="001D0B81"/>
    <w:rsid w:val="001D14C9"/>
    <w:rsid w:val="001D1782"/>
    <w:rsid w:val="001D1C54"/>
    <w:rsid w:val="001D23A9"/>
    <w:rsid w:val="001D269E"/>
    <w:rsid w:val="001D35B5"/>
    <w:rsid w:val="001D37F6"/>
    <w:rsid w:val="001D3D3C"/>
    <w:rsid w:val="001D417D"/>
    <w:rsid w:val="001D4976"/>
    <w:rsid w:val="001D4E40"/>
    <w:rsid w:val="001D4F10"/>
    <w:rsid w:val="001D50A1"/>
    <w:rsid w:val="001D54E9"/>
    <w:rsid w:val="001D567C"/>
    <w:rsid w:val="001D583D"/>
    <w:rsid w:val="001D5AC2"/>
    <w:rsid w:val="001D5BC0"/>
    <w:rsid w:val="001D5D00"/>
    <w:rsid w:val="001D61F6"/>
    <w:rsid w:val="001D65E8"/>
    <w:rsid w:val="001D6659"/>
    <w:rsid w:val="001D6846"/>
    <w:rsid w:val="001E0B7A"/>
    <w:rsid w:val="001E1347"/>
    <w:rsid w:val="001E1AAE"/>
    <w:rsid w:val="001E1C2D"/>
    <w:rsid w:val="001E208C"/>
    <w:rsid w:val="001E2848"/>
    <w:rsid w:val="001E2B76"/>
    <w:rsid w:val="001E312F"/>
    <w:rsid w:val="001E3430"/>
    <w:rsid w:val="001E371F"/>
    <w:rsid w:val="001E3A1F"/>
    <w:rsid w:val="001E3AFF"/>
    <w:rsid w:val="001E3DF7"/>
    <w:rsid w:val="001E3E4C"/>
    <w:rsid w:val="001E4265"/>
    <w:rsid w:val="001E46AF"/>
    <w:rsid w:val="001E4928"/>
    <w:rsid w:val="001E4CC1"/>
    <w:rsid w:val="001E4D17"/>
    <w:rsid w:val="001E5675"/>
    <w:rsid w:val="001E5E3C"/>
    <w:rsid w:val="001E5F0D"/>
    <w:rsid w:val="001E6533"/>
    <w:rsid w:val="001E6E3E"/>
    <w:rsid w:val="001E75B3"/>
    <w:rsid w:val="001E75ED"/>
    <w:rsid w:val="001E7B22"/>
    <w:rsid w:val="001E7CB8"/>
    <w:rsid w:val="001F0937"/>
    <w:rsid w:val="001F125D"/>
    <w:rsid w:val="001F16CC"/>
    <w:rsid w:val="001F1E10"/>
    <w:rsid w:val="001F1ED3"/>
    <w:rsid w:val="001F21B1"/>
    <w:rsid w:val="001F32E3"/>
    <w:rsid w:val="001F3B4A"/>
    <w:rsid w:val="001F444C"/>
    <w:rsid w:val="001F46F2"/>
    <w:rsid w:val="001F47F1"/>
    <w:rsid w:val="001F48C4"/>
    <w:rsid w:val="001F4FAB"/>
    <w:rsid w:val="001F60BA"/>
    <w:rsid w:val="001F6119"/>
    <w:rsid w:val="001F66AB"/>
    <w:rsid w:val="001F67A2"/>
    <w:rsid w:val="001F715B"/>
    <w:rsid w:val="001F7326"/>
    <w:rsid w:val="001F7F57"/>
    <w:rsid w:val="00200212"/>
    <w:rsid w:val="00200354"/>
    <w:rsid w:val="00200564"/>
    <w:rsid w:val="00200B94"/>
    <w:rsid w:val="00200C79"/>
    <w:rsid w:val="00201096"/>
    <w:rsid w:val="0020170A"/>
    <w:rsid w:val="0020190F"/>
    <w:rsid w:val="00201A51"/>
    <w:rsid w:val="00202BC1"/>
    <w:rsid w:val="00202E49"/>
    <w:rsid w:val="002030AC"/>
    <w:rsid w:val="0020331D"/>
    <w:rsid w:val="00203404"/>
    <w:rsid w:val="002053C5"/>
    <w:rsid w:val="0020561C"/>
    <w:rsid w:val="002058B1"/>
    <w:rsid w:val="002061E6"/>
    <w:rsid w:val="002063BA"/>
    <w:rsid w:val="00206BBB"/>
    <w:rsid w:val="00206DF7"/>
    <w:rsid w:val="002075F4"/>
    <w:rsid w:val="00207AA9"/>
    <w:rsid w:val="0021046B"/>
    <w:rsid w:val="002104E3"/>
    <w:rsid w:val="00210BB9"/>
    <w:rsid w:val="002113F5"/>
    <w:rsid w:val="00211494"/>
    <w:rsid w:val="0021332C"/>
    <w:rsid w:val="002133A8"/>
    <w:rsid w:val="00213A0A"/>
    <w:rsid w:val="002147CD"/>
    <w:rsid w:val="002148EB"/>
    <w:rsid w:val="00214B03"/>
    <w:rsid w:val="00214C3F"/>
    <w:rsid w:val="00214FAA"/>
    <w:rsid w:val="0021735F"/>
    <w:rsid w:val="0022046F"/>
    <w:rsid w:val="00220872"/>
    <w:rsid w:val="00220E47"/>
    <w:rsid w:val="0022123F"/>
    <w:rsid w:val="00221A73"/>
    <w:rsid w:val="00221A99"/>
    <w:rsid w:val="00221E18"/>
    <w:rsid w:val="0022201B"/>
    <w:rsid w:val="0022210D"/>
    <w:rsid w:val="0022298D"/>
    <w:rsid w:val="00222A57"/>
    <w:rsid w:val="00222CF2"/>
    <w:rsid w:val="00222EFA"/>
    <w:rsid w:val="002236CE"/>
    <w:rsid w:val="00224070"/>
    <w:rsid w:val="002241C2"/>
    <w:rsid w:val="00224303"/>
    <w:rsid w:val="00224558"/>
    <w:rsid w:val="0022482F"/>
    <w:rsid w:val="0022494D"/>
    <w:rsid w:val="00224BA6"/>
    <w:rsid w:val="00224E94"/>
    <w:rsid w:val="00224F0E"/>
    <w:rsid w:val="0022502F"/>
    <w:rsid w:val="00225039"/>
    <w:rsid w:val="0022549F"/>
    <w:rsid w:val="0022569E"/>
    <w:rsid w:val="002257D2"/>
    <w:rsid w:val="00225D52"/>
    <w:rsid w:val="00226852"/>
    <w:rsid w:val="00226DCF"/>
    <w:rsid w:val="002271ED"/>
    <w:rsid w:val="00227950"/>
    <w:rsid w:val="00227E68"/>
    <w:rsid w:val="002303D6"/>
    <w:rsid w:val="0023046D"/>
    <w:rsid w:val="00230E6B"/>
    <w:rsid w:val="0023113C"/>
    <w:rsid w:val="00231B46"/>
    <w:rsid w:val="00231C32"/>
    <w:rsid w:val="00232090"/>
    <w:rsid w:val="00232440"/>
    <w:rsid w:val="002329F3"/>
    <w:rsid w:val="00232EE9"/>
    <w:rsid w:val="002330CD"/>
    <w:rsid w:val="00233219"/>
    <w:rsid w:val="00233629"/>
    <w:rsid w:val="00234A2D"/>
    <w:rsid w:val="00234AAC"/>
    <w:rsid w:val="00234DE4"/>
    <w:rsid w:val="00234F00"/>
    <w:rsid w:val="0023508C"/>
    <w:rsid w:val="002352A6"/>
    <w:rsid w:val="002356BD"/>
    <w:rsid w:val="00235A3C"/>
    <w:rsid w:val="00235CC1"/>
    <w:rsid w:val="00235E4C"/>
    <w:rsid w:val="00235EF9"/>
    <w:rsid w:val="0023601E"/>
    <w:rsid w:val="0023792F"/>
    <w:rsid w:val="002403FE"/>
    <w:rsid w:val="0024082E"/>
    <w:rsid w:val="00240956"/>
    <w:rsid w:val="00240D07"/>
    <w:rsid w:val="00240E2D"/>
    <w:rsid w:val="002413CA"/>
    <w:rsid w:val="00241D38"/>
    <w:rsid w:val="00241DF9"/>
    <w:rsid w:val="002422FD"/>
    <w:rsid w:val="002423DF"/>
    <w:rsid w:val="00242500"/>
    <w:rsid w:val="002430E0"/>
    <w:rsid w:val="0024322C"/>
    <w:rsid w:val="00243EF0"/>
    <w:rsid w:val="00244E79"/>
    <w:rsid w:val="002452E0"/>
    <w:rsid w:val="002454D8"/>
    <w:rsid w:val="002454E2"/>
    <w:rsid w:val="002457A5"/>
    <w:rsid w:val="00246113"/>
    <w:rsid w:val="00246311"/>
    <w:rsid w:val="00247F64"/>
    <w:rsid w:val="00250A3F"/>
    <w:rsid w:val="00250B10"/>
    <w:rsid w:val="00250B22"/>
    <w:rsid w:val="002512EF"/>
    <w:rsid w:val="002519C6"/>
    <w:rsid w:val="00252F91"/>
    <w:rsid w:val="0025341A"/>
    <w:rsid w:val="002537C0"/>
    <w:rsid w:val="002540C2"/>
    <w:rsid w:val="00254551"/>
    <w:rsid w:val="00254C86"/>
    <w:rsid w:val="00255039"/>
    <w:rsid w:val="0025538A"/>
    <w:rsid w:val="00255530"/>
    <w:rsid w:val="00255EB4"/>
    <w:rsid w:val="002566ED"/>
    <w:rsid w:val="00256726"/>
    <w:rsid w:val="00256965"/>
    <w:rsid w:val="002572B7"/>
    <w:rsid w:val="00257976"/>
    <w:rsid w:val="00257EB0"/>
    <w:rsid w:val="002600EB"/>
    <w:rsid w:val="0026037F"/>
    <w:rsid w:val="00260EB6"/>
    <w:rsid w:val="0026119D"/>
    <w:rsid w:val="002619D5"/>
    <w:rsid w:val="00262343"/>
    <w:rsid w:val="00262A30"/>
    <w:rsid w:val="002633CC"/>
    <w:rsid w:val="002638DC"/>
    <w:rsid w:val="002638DD"/>
    <w:rsid w:val="00263FD9"/>
    <w:rsid w:val="002641FB"/>
    <w:rsid w:val="002657DE"/>
    <w:rsid w:val="00266474"/>
    <w:rsid w:val="002664F3"/>
    <w:rsid w:val="00266723"/>
    <w:rsid w:val="002668BB"/>
    <w:rsid w:val="00266AB0"/>
    <w:rsid w:val="00266ADF"/>
    <w:rsid w:val="00266EA1"/>
    <w:rsid w:val="00266ED7"/>
    <w:rsid w:val="00267240"/>
    <w:rsid w:val="002676F9"/>
    <w:rsid w:val="00267B5D"/>
    <w:rsid w:val="00267BD0"/>
    <w:rsid w:val="00267F32"/>
    <w:rsid w:val="002700FA"/>
    <w:rsid w:val="0027038C"/>
    <w:rsid w:val="00270962"/>
    <w:rsid w:val="00271450"/>
    <w:rsid w:val="00271BFF"/>
    <w:rsid w:val="002722DF"/>
    <w:rsid w:val="00272571"/>
    <w:rsid w:val="0027277C"/>
    <w:rsid w:val="00273242"/>
    <w:rsid w:val="00273481"/>
    <w:rsid w:val="00273CDF"/>
    <w:rsid w:val="00274191"/>
    <w:rsid w:val="002745EA"/>
    <w:rsid w:val="00274881"/>
    <w:rsid w:val="00274ECA"/>
    <w:rsid w:val="00275351"/>
    <w:rsid w:val="002759E5"/>
    <w:rsid w:val="00275A6D"/>
    <w:rsid w:val="0027646C"/>
    <w:rsid w:val="002766D8"/>
    <w:rsid w:val="002767E3"/>
    <w:rsid w:val="0027693B"/>
    <w:rsid w:val="00276A15"/>
    <w:rsid w:val="00277DB0"/>
    <w:rsid w:val="002806A9"/>
    <w:rsid w:val="00280740"/>
    <w:rsid w:val="0028079A"/>
    <w:rsid w:val="0028176D"/>
    <w:rsid w:val="00281CF9"/>
    <w:rsid w:val="00282521"/>
    <w:rsid w:val="00282660"/>
    <w:rsid w:val="002828FD"/>
    <w:rsid w:val="002829AB"/>
    <w:rsid w:val="00282C26"/>
    <w:rsid w:val="00283065"/>
    <w:rsid w:val="00283072"/>
    <w:rsid w:val="00283154"/>
    <w:rsid w:val="0028327B"/>
    <w:rsid w:val="00283288"/>
    <w:rsid w:val="002834F9"/>
    <w:rsid w:val="00283A26"/>
    <w:rsid w:val="00283AAC"/>
    <w:rsid w:val="00284406"/>
    <w:rsid w:val="00284D95"/>
    <w:rsid w:val="0028557B"/>
    <w:rsid w:val="00285640"/>
    <w:rsid w:val="0028576B"/>
    <w:rsid w:val="00285D21"/>
    <w:rsid w:val="002866B5"/>
    <w:rsid w:val="0028686E"/>
    <w:rsid w:val="00286915"/>
    <w:rsid w:val="00286A62"/>
    <w:rsid w:val="00287312"/>
    <w:rsid w:val="00287AF3"/>
    <w:rsid w:val="00290C14"/>
    <w:rsid w:val="00290E41"/>
    <w:rsid w:val="00292BD3"/>
    <w:rsid w:val="00292C2F"/>
    <w:rsid w:val="00292C72"/>
    <w:rsid w:val="00292D0C"/>
    <w:rsid w:val="00293667"/>
    <w:rsid w:val="00294617"/>
    <w:rsid w:val="00294686"/>
    <w:rsid w:val="00294811"/>
    <w:rsid w:val="0029512F"/>
    <w:rsid w:val="002954B8"/>
    <w:rsid w:val="00295B61"/>
    <w:rsid w:val="0029663B"/>
    <w:rsid w:val="002967D0"/>
    <w:rsid w:val="002967F3"/>
    <w:rsid w:val="002968B9"/>
    <w:rsid w:val="00296BCC"/>
    <w:rsid w:val="002971E6"/>
    <w:rsid w:val="002973AB"/>
    <w:rsid w:val="002A0095"/>
    <w:rsid w:val="002A0F9E"/>
    <w:rsid w:val="002A1967"/>
    <w:rsid w:val="002A1A7D"/>
    <w:rsid w:val="002A1B24"/>
    <w:rsid w:val="002A1CFC"/>
    <w:rsid w:val="002A1DFB"/>
    <w:rsid w:val="002A24E0"/>
    <w:rsid w:val="002A27F2"/>
    <w:rsid w:val="002A3032"/>
    <w:rsid w:val="002A303C"/>
    <w:rsid w:val="002A407F"/>
    <w:rsid w:val="002A4736"/>
    <w:rsid w:val="002A4F8B"/>
    <w:rsid w:val="002A50BA"/>
    <w:rsid w:val="002A5B18"/>
    <w:rsid w:val="002A5E3F"/>
    <w:rsid w:val="002A63A6"/>
    <w:rsid w:val="002A67B8"/>
    <w:rsid w:val="002A6842"/>
    <w:rsid w:val="002A6AD4"/>
    <w:rsid w:val="002A6ADB"/>
    <w:rsid w:val="002A7208"/>
    <w:rsid w:val="002A73D5"/>
    <w:rsid w:val="002A75F7"/>
    <w:rsid w:val="002A7997"/>
    <w:rsid w:val="002B06CD"/>
    <w:rsid w:val="002B0933"/>
    <w:rsid w:val="002B0CC2"/>
    <w:rsid w:val="002B0DD7"/>
    <w:rsid w:val="002B130A"/>
    <w:rsid w:val="002B1756"/>
    <w:rsid w:val="002B17BB"/>
    <w:rsid w:val="002B1830"/>
    <w:rsid w:val="002B25D3"/>
    <w:rsid w:val="002B25E6"/>
    <w:rsid w:val="002B2C08"/>
    <w:rsid w:val="002B2F9D"/>
    <w:rsid w:val="002B3120"/>
    <w:rsid w:val="002B3312"/>
    <w:rsid w:val="002B3A08"/>
    <w:rsid w:val="002B3F1F"/>
    <w:rsid w:val="002B464A"/>
    <w:rsid w:val="002B4A31"/>
    <w:rsid w:val="002B5531"/>
    <w:rsid w:val="002B5DC3"/>
    <w:rsid w:val="002B5DF0"/>
    <w:rsid w:val="002B63E6"/>
    <w:rsid w:val="002B64EF"/>
    <w:rsid w:val="002B6702"/>
    <w:rsid w:val="002B690B"/>
    <w:rsid w:val="002B7067"/>
    <w:rsid w:val="002C0B73"/>
    <w:rsid w:val="002C1439"/>
    <w:rsid w:val="002C18BE"/>
    <w:rsid w:val="002C1949"/>
    <w:rsid w:val="002C24B4"/>
    <w:rsid w:val="002C2511"/>
    <w:rsid w:val="002C2579"/>
    <w:rsid w:val="002C2B99"/>
    <w:rsid w:val="002C2C61"/>
    <w:rsid w:val="002C2D97"/>
    <w:rsid w:val="002C31FB"/>
    <w:rsid w:val="002C408D"/>
    <w:rsid w:val="002C4202"/>
    <w:rsid w:val="002C4225"/>
    <w:rsid w:val="002C4657"/>
    <w:rsid w:val="002C4E97"/>
    <w:rsid w:val="002C4F8A"/>
    <w:rsid w:val="002C580F"/>
    <w:rsid w:val="002C5EF9"/>
    <w:rsid w:val="002C61F9"/>
    <w:rsid w:val="002C6D5C"/>
    <w:rsid w:val="002C7363"/>
    <w:rsid w:val="002C76A2"/>
    <w:rsid w:val="002C76E1"/>
    <w:rsid w:val="002C7CEC"/>
    <w:rsid w:val="002D00A1"/>
    <w:rsid w:val="002D0121"/>
    <w:rsid w:val="002D0491"/>
    <w:rsid w:val="002D0941"/>
    <w:rsid w:val="002D1FF7"/>
    <w:rsid w:val="002D20E9"/>
    <w:rsid w:val="002D2310"/>
    <w:rsid w:val="002D2616"/>
    <w:rsid w:val="002D2C13"/>
    <w:rsid w:val="002D2D38"/>
    <w:rsid w:val="002D2EB5"/>
    <w:rsid w:val="002D3A56"/>
    <w:rsid w:val="002D3B0D"/>
    <w:rsid w:val="002D43B9"/>
    <w:rsid w:val="002D447C"/>
    <w:rsid w:val="002D4E59"/>
    <w:rsid w:val="002D4FF0"/>
    <w:rsid w:val="002D52EC"/>
    <w:rsid w:val="002D56CE"/>
    <w:rsid w:val="002D59BA"/>
    <w:rsid w:val="002D69A7"/>
    <w:rsid w:val="002D6A7D"/>
    <w:rsid w:val="002D6B97"/>
    <w:rsid w:val="002D6C7D"/>
    <w:rsid w:val="002D6D28"/>
    <w:rsid w:val="002D6E7E"/>
    <w:rsid w:val="002D713E"/>
    <w:rsid w:val="002D7A86"/>
    <w:rsid w:val="002E00CC"/>
    <w:rsid w:val="002E024D"/>
    <w:rsid w:val="002E16E6"/>
    <w:rsid w:val="002E187D"/>
    <w:rsid w:val="002E18C9"/>
    <w:rsid w:val="002E1B83"/>
    <w:rsid w:val="002E1F60"/>
    <w:rsid w:val="002E20EE"/>
    <w:rsid w:val="002E2995"/>
    <w:rsid w:val="002E2A4F"/>
    <w:rsid w:val="002E3459"/>
    <w:rsid w:val="002E3479"/>
    <w:rsid w:val="002E3BE3"/>
    <w:rsid w:val="002E59A6"/>
    <w:rsid w:val="002E5C23"/>
    <w:rsid w:val="002E604D"/>
    <w:rsid w:val="002E62A4"/>
    <w:rsid w:val="002E6705"/>
    <w:rsid w:val="002E678C"/>
    <w:rsid w:val="002E6AD5"/>
    <w:rsid w:val="002E6D09"/>
    <w:rsid w:val="002E709B"/>
    <w:rsid w:val="002E7677"/>
    <w:rsid w:val="002E792F"/>
    <w:rsid w:val="002E7D11"/>
    <w:rsid w:val="002E7E98"/>
    <w:rsid w:val="002E7F3A"/>
    <w:rsid w:val="002F010D"/>
    <w:rsid w:val="002F020E"/>
    <w:rsid w:val="002F14F9"/>
    <w:rsid w:val="002F1E74"/>
    <w:rsid w:val="002F201B"/>
    <w:rsid w:val="002F23D6"/>
    <w:rsid w:val="002F246B"/>
    <w:rsid w:val="002F256A"/>
    <w:rsid w:val="002F25EE"/>
    <w:rsid w:val="002F2822"/>
    <w:rsid w:val="002F2D02"/>
    <w:rsid w:val="002F2E03"/>
    <w:rsid w:val="002F2F4F"/>
    <w:rsid w:val="002F39BB"/>
    <w:rsid w:val="002F3BF7"/>
    <w:rsid w:val="002F46A8"/>
    <w:rsid w:val="002F4952"/>
    <w:rsid w:val="002F5AAE"/>
    <w:rsid w:val="002F5ACA"/>
    <w:rsid w:val="002F60D5"/>
    <w:rsid w:val="002F69B0"/>
    <w:rsid w:val="002F6B06"/>
    <w:rsid w:val="002F7406"/>
    <w:rsid w:val="002F78E6"/>
    <w:rsid w:val="002F7BA1"/>
    <w:rsid w:val="002F7BDA"/>
    <w:rsid w:val="003001D6"/>
    <w:rsid w:val="003002BB"/>
    <w:rsid w:val="0030135A"/>
    <w:rsid w:val="00301426"/>
    <w:rsid w:val="00301741"/>
    <w:rsid w:val="003017C2"/>
    <w:rsid w:val="0030202A"/>
    <w:rsid w:val="00302704"/>
    <w:rsid w:val="003029DB"/>
    <w:rsid w:val="00302E92"/>
    <w:rsid w:val="00303393"/>
    <w:rsid w:val="00303D4F"/>
    <w:rsid w:val="00303ED3"/>
    <w:rsid w:val="00304303"/>
    <w:rsid w:val="00304436"/>
    <w:rsid w:val="003050E0"/>
    <w:rsid w:val="00305104"/>
    <w:rsid w:val="00305C34"/>
    <w:rsid w:val="00305F89"/>
    <w:rsid w:val="00306166"/>
    <w:rsid w:val="0030661C"/>
    <w:rsid w:val="00307583"/>
    <w:rsid w:val="003077A6"/>
    <w:rsid w:val="0030785C"/>
    <w:rsid w:val="00307F6E"/>
    <w:rsid w:val="003109B5"/>
    <w:rsid w:val="00311074"/>
    <w:rsid w:val="0031188B"/>
    <w:rsid w:val="00311D69"/>
    <w:rsid w:val="003120E1"/>
    <w:rsid w:val="00312538"/>
    <w:rsid w:val="00312A50"/>
    <w:rsid w:val="00313333"/>
    <w:rsid w:val="003139E7"/>
    <w:rsid w:val="00313AE7"/>
    <w:rsid w:val="00313BA1"/>
    <w:rsid w:val="00313D90"/>
    <w:rsid w:val="0031402D"/>
    <w:rsid w:val="003141AE"/>
    <w:rsid w:val="00314A3E"/>
    <w:rsid w:val="00314D87"/>
    <w:rsid w:val="00314DF6"/>
    <w:rsid w:val="00316093"/>
    <w:rsid w:val="003160DB"/>
    <w:rsid w:val="00316BC4"/>
    <w:rsid w:val="00317438"/>
    <w:rsid w:val="0031763F"/>
    <w:rsid w:val="003178F6"/>
    <w:rsid w:val="0032096A"/>
    <w:rsid w:val="00320CEF"/>
    <w:rsid w:val="00320D7B"/>
    <w:rsid w:val="0032122C"/>
    <w:rsid w:val="0032142D"/>
    <w:rsid w:val="00321442"/>
    <w:rsid w:val="00321C39"/>
    <w:rsid w:val="0032219F"/>
    <w:rsid w:val="0032255A"/>
    <w:rsid w:val="003228A6"/>
    <w:rsid w:val="00322A51"/>
    <w:rsid w:val="00322AFD"/>
    <w:rsid w:val="00322DB0"/>
    <w:rsid w:val="00322EBB"/>
    <w:rsid w:val="003237FC"/>
    <w:rsid w:val="00323BE4"/>
    <w:rsid w:val="00323D6F"/>
    <w:rsid w:val="003247AF"/>
    <w:rsid w:val="0032645D"/>
    <w:rsid w:val="00326960"/>
    <w:rsid w:val="00326BB9"/>
    <w:rsid w:val="00327AE5"/>
    <w:rsid w:val="00330074"/>
    <w:rsid w:val="00330BEF"/>
    <w:rsid w:val="003317F4"/>
    <w:rsid w:val="003318DE"/>
    <w:rsid w:val="00331B0B"/>
    <w:rsid w:val="00332C9E"/>
    <w:rsid w:val="003330FD"/>
    <w:rsid w:val="00333180"/>
    <w:rsid w:val="003331A6"/>
    <w:rsid w:val="003336C5"/>
    <w:rsid w:val="00334145"/>
    <w:rsid w:val="00334810"/>
    <w:rsid w:val="003351D0"/>
    <w:rsid w:val="0033541C"/>
    <w:rsid w:val="0033543D"/>
    <w:rsid w:val="003358DA"/>
    <w:rsid w:val="003359A2"/>
    <w:rsid w:val="00335A0E"/>
    <w:rsid w:val="00335B15"/>
    <w:rsid w:val="00335EF2"/>
    <w:rsid w:val="003362B3"/>
    <w:rsid w:val="00336B09"/>
    <w:rsid w:val="00336E1B"/>
    <w:rsid w:val="00336E30"/>
    <w:rsid w:val="00336FD5"/>
    <w:rsid w:val="0033730A"/>
    <w:rsid w:val="0033788C"/>
    <w:rsid w:val="00340DAF"/>
    <w:rsid w:val="003412C8"/>
    <w:rsid w:val="003412ED"/>
    <w:rsid w:val="003417BA"/>
    <w:rsid w:val="00342533"/>
    <w:rsid w:val="00344567"/>
    <w:rsid w:val="0034470D"/>
    <w:rsid w:val="0034482B"/>
    <w:rsid w:val="00344F0A"/>
    <w:rsid w:val="00344FE6"/>
    <w:rsid w:val="00345181"/>
    <w:rsid w:val="00345794"/>
    <w:rsid w:val="00345BFB"/>
    <w:rsid w:val="00345C2C"/>
    <w:rsid w:val="003464BE"/>
    <w:rsid w:val="00346779"/>
    <w:rsid w:val="003474B7"/>
    <w:rsid w:val="00347F1B"/>
    <w:rsid w:val="0035111E"/>
    <w:rsid w:val="003516D4"/>
    <w:rsid w:val="00351784"/>
    <w:rsid w:val="00351F4C"/>
    <w:rsid w:val="003521EC"/>
    <w:rsid w:val="00352AAF"/>
    <w:rsid w:val="00352C7D"/>
    <w:rsid w:val="003532EC"/>
    <w:rsid w:val="0035343F"/>
    <w:rsid w:val="003534B4"/>
    <w:rsid w:val="00353D4B"/>
    <w:rsid w:val="00353E17"/>
    <w:rsid w:val="00354005"/>
    <w:rsid w:val="00354107"/>
    <w:rsid w:val="00354BC9"/>
    <w:rsid w:val="003557BC"/>
    <w:rsid w:val="00355894"/>
    <w:rsid w:val="00355938"/>
    <w:rsid w:val="00355999"/>
    <w:rsid w:val="00355CB8"/>
    <w:rsid w:val="00355D50"/>
    <w:rsid w:val="003563E1"/>
    <w:rsid w:val="003564CF"/>
    <w:rsid w:val="0035683D"/>
    <w:rsid w:val="00356918"/>
    <w:rsid w:val="00356C4A"/>
    <w:rsid w:val="00356DA9"/>
    <w:rsid w:val="003571C7"/>
    <w:rsid w:val="003572D1"/>
    <w:rsid w:val="0035774D"/>
    <w:rsid w:val="003577D9"/>
    <w:rsid w:val="00357A00"/>
    <w:rsid w:val="00357F33"/>
    <w:rsid w:val="003600C6"/>
    <w:rsid w:val="00360B9C"/>
    <w:rsid w:val="00360D0B"/>
    <w:rsid w:val="00360ECE"/>
    <w:rsid w:val="00360F49"/>
    <w:rsid w:val="00361227"/>
    <w:rsid w:val="0036139B"/>
    <w:rsid w:val="00361D75"/>
    <w:rsid w:val="00361E08"/>
    <w:rsid w:val="0036240A"/>
    <w:rsid w:val="003625C5"/>
    <w:rsid w:val="00362D40"/>
    <w:rsid w:val="00362E5E"/>
    <w:rsid w:val="0036338E"/>
    <w:rsid w:val="003633BF"/>
    <w:rsid w:val="003633F4"/>
    <w:rsid w:val="003635E5"/>
    <w:rsid w:val="00363CD0"/>
    <w:rsid w:val="00363E0C"/>
    <w:rsid w:val="00363FAE"/>
    <w:rsid w:val="00364253"/>
    <w:rsid w:val="00364530"/>
    <w:rsid w:val="00364EF1"/>
    <w:rsid w:val="003655E1"/>
    <w:rsid w:val="00365AE3"/>
    <w:rsid w:val="00365EF0"/>
    <w:rsid w:val="003660E9"/>
    <w:rsid w:val="003663D5"/>
    <w:rsid w:val="00366982"/>
    <w:rsid w:val="003677B5"/>
    <w:rsid w:val="00367E06"/>
    <w:rsid w:val="003700EF"/>
    <w:rsid w:val="00370AF6"/>
    <w:rsid w:val="00370DEA"/>
    <w:rsid w:val="003710DC"/>
    <w:rsid w:val="0037130B"/>
    <w:rsid w:val="00371360"/>
    <w:rsid w:val="003713D6"/>
    <w:rsid w:val="003715FB"/>
    <w:rsid w:val="00372D7E"/>
    <w:rsid w:val="00373E3D"/>
    <w:rsid w:val="00374809"/>
    <w:rsid w:val="00374D1E"/>
    <w:rsid w:val="0037504E"/>
    <w:rsid w:val="0037609F"/>
    <w:rsid w:val="00376375"/>
    <w:rsid w:val="003763E1"/>
    <w:rsid w:val="0037682F"/>
    <w:rsid w:val="003769D2"/>
    <w:rsid w:val="00376E7F"/>
    <w:rsid w:val="00377096"/>
    <w:rsid w:val="00377206"/>
    <w:rsid w:val="00377A82"/>
    <w:rsid w:val="00380411"/>
    <w:rsid w:val="00380AF1"/>
    <w:rsid w:val="00380BD2"/>
    <w:rsid w:val="00380F20"/>
    <w:rsid w:val="003810AA"/>
    <w:rsid w:val="003815DF"/>
    <w:rsid w:val="003815FE"/>
    <w:rsid w:val="00381BA9"/>
    <w:rsid w:val="003829A2"/>
    <w:rsid w:val="00382E71"/>
    <w:rsid w:val="003832E8"/>
    <w:rsid w:val="0038340B"/>
    <w:rsid w:val="00383521"/>
    <w:rsid w:val="00383823"/>
    <w:rsid w:val="0038489E"/>
    <w:rsid w:val="00384A69"/>
    <w:rsid w:val="0038518E"/>
    <w:rsid w:val="0038560D"/>
    <w:rsid w:val="00385A0F"/>
    <w:rsid w:val="003862F8"/>
    <w:rsid w:val="0038634F"/>
    <w:rsid w:val="00386FE8"/>
    <w:rsid w:val="0038747B"/>
    <w:rsid w:val="00387750"/>
    <w:rsid w:val="00387803"/>
    <w:rsid w:val="00387FCB"/>
    <w:rsid w:val="0039004E"/>
    <w:rsid w:val="003900A4"/>
    <w:rsid w:val="00390209"/>
    <w:rsid w:val="0039058C"/>
    <w:rsid w:val="00390967"/>
    <w:rsid w:val="00390E50"/>
    <w:rsid w:val="00390EE6"/>
    <w:rsid w:val="003910E9"/>
    <w:rsid w:val="00391700"/>
    <w:rsid w:val="00392557"/>
    <w:rsid w:val="00392A14"/>
    <w:rsid w:val="00392A63"/>
    <w:rsid w:val="00392CB6"/>
    <w:rsid w:val="00393327"/>
    <w:rsid w:val="00393347"/>
    <w:rsid w:val="003935C9"/>
    <w:rsid w:val="00393A67"/>
    <w:rsid w:val="00393B16"/>
    <w:rsid w:val="00394EF4"/>
    <w:rsid w:val="00395360"/>
    <w:rsid w:val="00395772"/>
    <w:rsid w:val="003959E4"/>
    <w:rsid w:val="00395C2C"/>
    <w:rsid w:val="00395D5E"/>
    <w:rsid w:val="00396689"/>
    <w:rsid w:val="00397567"/>
    <w:rsid w:val="00397620"/>
    <w:rsid w:val="003976C4"/>
    <w:rsid w:val="00397A22"/>
    <w:rsid w:val="00397B7B"/>
    <w:rsid w:val="003A0A7E"/>
    <w:rsid w:val="003A0DE4"/>
    <w:rsid w:val="003A101B"/>
    <w:rsid w:val="003A1743"/>
    <w:rsid w:val="003A17B9"/>
    <w:rsid w:val="003A1903"/>
    <w:rsid w:val="003A1C6D"/>
    <w:rsid w:val="003A2948"/>
    <w:rsid w:val="003A29B6"/>
    <w:rsid w:val="003A367C"/>
    <w:rsid w:val="003A3719"/>
    <w:rsid w:val="003A44DA"/>
    <w:rsid w:val="003A463A"/>
    <w:rsid w:val="003A51A1"/>
    <w:rsid w:val="003A56DC"/>
    <w:rsid w:val="003A573C"/>
    <w:rsid w:val="003A583A"/>
    <w:rsid w:val="003A5F35"/>
    <w:rsid w:val="003A6110"/>
    <w:rsid w:val="003A6AF7"/>
    <w:rsid w:val="003A6B48"/>
    <w:rsid w:val="003A711B"/>
    <w:rsid w:val="003A73DA"/>
    <w:rsid w:val="003A7EF0"/>
    <w:rsid w:val="003B0194"/>
    <w:rsid w:val="003B03C4"/>
    <w:rsid w:val="003B0FCA"/>
    <w:rsid w:val="003B0FCD"/>
    <w:rsid w:val="003B1140"/>
    <w:rsid w:val="003B13C3"/>
    <w:rsid w:val="003B18F9"/>
    <w:rsid w:val="003B3764"/>
    <w:rsid w:val="003B39B7"/>
    <w:rsid w:val="003B4017"/>
    <w:rsid w:val="003B408C"/>
    <w:rsid w:val="003B4455"/>
    <w:rsid w:val="003B44C5"/>
    <w:rsid w:val="003B59B0"/>
    <w:rsid w:val="003B5B55"/>
    <w:rsid w:val="003B5EA5"/>
    <w:rsid w:val="003B6B5B"/>
    <w:rsid w:val="003B74D8"/>
    <w:rsid w:val="003B77DE"/>
    <w:rsid w:val="003B7992"/>
    <w:rsid w:val="003B7AF3"/>
    <w:rsid w:val="003B7B7D"/>
    <w:rsid w:val="003C0F94"/>
    <w:rsid w:val="003C1783"/>
    <w:rsid w:val="003C1C59"/>
    <w:rsid w:val="003C1DD2"/>
    <w:rsid w:val="003C286D"/>
    <w:rsid w:val="003C2BC2"/>
    <w:rsid w:val="003C2FF0"/>
    <w:rsid w:val="003C35D8"/>
    <w:rsid w:val="003C361D"/>
    <w:rsid w:val="003C3C33"/>
    <w:rsid w:val="003C3EBE"/>
    <w:rsid w:val="003C3FEE"/>
    <w:rsid w:val="003C40CD"/>
    <w:rsid w:val="003C44EE"/>
    <w:rsid w:val="003C55FD"/>
    <w:rsid w:val="003C56E6"/>
    <w:rsid w:val="003C59FA"/>
    <w:rsid w:val="003C5C18"/>
    <w:rsid w:val="003C5E17"/>
    <w:rsid w:val="003C5F95"/>
    <w:rsid w:val="003C6307"/>
    <w:rsid w:val="003C634B"/>
    <w:rsid w:val="003C7217"/>
    <w:rsid w:val="003C77D4"/>
    <w:rsid w:val="003C7B7F"/>
    <w:rsid w:val="003C7C82"/>
    <w:rsid w:val="003C7D4E"/>
    <w:rsid w:val="003C7FC6"/>
    <w:rsid w:val="003D00CA"/>
    <w:rsid w:val="003D095E"/>
    <w:rsid w:val="003D0EDC"/>
    <w:rsid w:val="003D1235"/>
    <w:rsid w:val="003D128E"/>
    <w:rsid w:val="003D12A7"/>
    <w:rsid w:val="003D156F"/>
    <w:rsid w:val="003D18F1"/>
    <w:rsid w:val="003D1E36"/>
    <w:rsid w:val="003D2EA3"/>
    <w:rsid w:val="003D3165"/>
    <w:rsid w:val="003D31E7"/>
    <w:rsid w:val="003D332B"/>
    <w:rsid w:val="003D38DE"/>
    <w:rsid w:val="003D3B02"/>
    <w:rsid w:val="003D3E3C"/>
    <w:rsid w:val="003D4344"/>
    <w:rsid w:val="003D4669"/>
    <w:rsid w:val="003D4C12"/>
    <w:rsid w:val="003D54EC"/>
    <w:rsid w:val="003D5B53"/>
    <w:rsid w:val="003D6DC1"/>
    <w:rsid w:val="003D6EED"/>
    <w:rsid w:val="003D71A1"/>
    <w:rsid w:val="003D7493"/>
    <w:rsid w:val="003D7661"/>
    <w:rsid w:val="003D7714"/>
    <w:rsid w:val="003D791D"/>
    <w:rsid w:val="003D7AF4"/>
    <w:rsid w:val="003E0313"/>
    <w:rsid w:val="003E1644"/>
    <w:rsid w:val="003E1749"/>
    <w:rsid w:val="003E195D"/>
    <w:rsid w:val="003E2BF6"/>
    <w:rsid w:val="003E2C69"/>
    <w:rsid w:val="003E2E39"/>
    <w:rsid w:val="003E2F09"/>
    <w:rsid w:val="003E30DC"/>
    <w:rsid w:val="003E3264"/>
    <w:rsid w:val="003E33C5"/>
    <w:rsid w:val="003E35A5"/>
    <w:rsid w:val="003E3835"/>
    <w:rsid w:val="003E3E23"/>
    <w:rsid w:val="003E3F87"/>
    <w:rsid w:val="003E4C76"/>
    <w:rsid w:val="003E4E78"/>
    <w:rsid w:val="003E530F"/>
    <w:rsid w:val="003E59B4"/>
    <w:rsid w:val="003E64DF"/>
    <w:rsid w:val="003E7B62"/>
    <w:rsid w:val="003F0108"/>
    <w:rsid w:val="003F068F"/>
    <w:rsid w:val="003F0858"/>
    <w:rsid w:val="003F160E"/>
    <w:rsid w:val="003F1A0F"/>
    <w:rsid w:val="003F220B"/>
    <w:rsid w:val="003F2492"/>
    <w:rsid w:val="003F24F3"/>
    <w:rsid w:val="003F2DC2"/>
    <w:rsid w:val="003F2E44"/>
    <w:rsid w:val="003F324B"/>
    <w:rsid w:val="003F35D4"/>
    <w:rsid w:val="003F3DF4"/>
    <w:rsid w:val="003F4538"/>
    <w:rsid w:val="003F458E"/>
    <w:rsid w:val="003F4912"/>
    <w:rsid w:val="003F553D"/>
    <w:rsid w:val="003F5A94"/>
    <w:rsid w:val="003F5EE4"/>
    <w:rsid w:val="003F64BD"/>
    <w:rsid w:val="003F7735"/>
    <w:rsid w:val="003F7BF6"/>
    <w:rsid w:val="003F7D24"/>
    <w:rsid w:val="003F7F88"/>
    <w:rsid w:val="004000D6"/>
    <w:rsid w:val="0040096B"/>
    <w:rsid w:val="00400A98"/>
    <w:rsid w:val="00400E61"/>
    <w:rsid w:val="00401E33"/>
    <w:rsid w:val="0040251E"/>
    <w:rsid w:val="00402AB5"/>
    <w:rsid w:val="00403296"/>
    <w:rsid w:val="004039DC"/>
    <w:rsid w:val="00403B29"/>
    <w:rsid w:val="004040A9"/>
    <w:rsid w:val="004041ED"/>
    <w:rsid w:val="00404C24"/>
    <w:rsid w:val="00404FAC"/>
    <w:rsid w:val="00404FBB"/>
    <w:rsid w:val="004050B0"/>
    <w:rsid w:val="00405B88"/>
    <w:rsid w:val="00405B8F"/>
    <w:rsid w:val="00405DA8"/>
    <w:rsid w:val="0040662C"/>
    <w:rsid w:val="00406778"/>
    <w:rsid w:val="004068FF"/>
    <w:rsid w:val="00407153"/>
    <w:rsid w:val="004075B8"/>
    <w:rsid w:val="004109A0"/>
    <w:rsid w:val="00410AE8"/>
    <w:rsid w:val="00410CA9"/>
    <w:rsid w:val="00411282"/>
    <w:rsid w:val="00411A68"/>
    <w:rsid w:val="00411BBA"/>
    <w:rsid w:val="00411D56"/>
    <w:rsid w:val="004120FF"/>
    <w:rsid w:val="00412132"/>
    <w:rsid w:val="00412BA4"/>
    <w:rsid w:val="00412E61"/>
    <w:rsid w:val="00413117"/>
    <w:rsid w:val="00413126"/>
    <w:rsid w:val="0041346B"/>
    <w:rsid w:val="004136EF"/>
    <w:rsid w:val="00413E82"/>
    <w:rsid w:val="004141A7"/>
    <w:rsid w:val="004141DD"/>
    <w:rsid w:val="0041428B"/>
    <w:rsid w:val="00414A7F"/>
    <w:rsid w:val="00414CAE"/>
    <w:rsid w:val="00414D01"/>
    <w:rsid w:val="00414DA6"/>
    <w:rsid w:val="00415E22"/>
    <w:rsid w:val="0041604E"/>
    <w:rsid w:val="00416880"/>
    <w:rsid w:val="00416A90"/>
    <w:rsid w:val="00416ACB"/>
    <w:rsid w:val="00416C84"/>
    <w:rsid w:val="00416CF0"/>
    <w:rsid w:val="00416D65"/>
    <w:rsid w:val="00417E07"/>
    <w:rsid w:val="0042017D"/>
    <w:rsid w:val="0042040F"/>
    <w:rsid w:val="00420610"/>
    <w:rsid w:val="0042062E"/>
    <w:rsid w:val="0042070B"/>
    <w:rsid w:val="004210C7"/>
    <w:rsid w:val="004210D9"/>
    <w:rsid w:val="00421179"/>
    <w:rsid w:val="004212AA"/>
    <w:rsid w:val="00421439"/>
    <w:rsid w:val="00421860"/>
    <w:rsid w:val="0042215C"/>
    <w:rsid w:val="004227C3"/>
    <w:rsid w:val="004227F0"/>
    <w:rsid w:val="00422BA1"/>
    <w:rsid w:val="00422CB2"/>
    <w:rsid w:val="004230B2"/>
    <w:rsid w:val="004243A2"/>
    <w:rsid w:val="004243A7"/>
    <w:rsid w:val="004258E7"/>
    <w:rsid w:val="00426400"/>
    <w:rsid w:val="00426413"/>
    <w:rsid w:val="004266BE"/>
    <w:rsid w:val="00426896"/>
    <w:rsid w:val="00426C86"/>
    <w:rsid w:val="00426F29"/>
    <w:rsid w:val="00427194"/>
    <w:rsid w:val="004271E4"/>
    <w:rsid w:val="004277D9"/>
    <w:rsid w:val="00430354"/>
    <w:rsid w:val="00430C7C"/>
    <w:rsid w:val="0043149A"/>
    <w:rsid w:val="00432C5F"/>
    <w:rsid w:val="00432CF9"/>
    <w:rsid w:val="00432E4E"/>
    <w:rsid w:val="00432F43"/>
    <w:rsid w:val="00433103"/>
    <w:rsid w:val="00433530"/>
    <w:rsid w:val="00433662"/>
    <w:rsid w:val="004339C6"/>
    <w:rsid w:val="00433EBB"/>
    <w:rsid w:val="0043449C"/>
    <w:rsid w:val="00434511"/>
    <w:rsid w:val="00434629"/>
    <w:rsid w:val="00434939"/>
    <w:rsid w:val="00435173"/>
    <w:rsid w:val="004351B8"/>
    <w:rsid w:val="0043529D"/>
    <w:rsid w:val="004355A1"/>
    <w:rsid w:val="00435AEC"/>
    <w:rsid w:val="00435D23"/>
    <w:rsid w:val="00435EDD"/>
    <w:rsid w:val="00436AD7"/>
    <w:rsid w:val="004370E6"/>
    <w:rsid w:val="00437C01"/>
    <w:rsid w:val="004400AD"/>
    <w:rsid w:val="0044048F"/>
    <w:rsid w:val="0044060E"/>
    <w:rsid w:val="004407F3"/>
    <w:rsid w:val="004408B9"/>
    <w:rsid w:val="0044121E"/>
    <w:rsid w:val="0044237A"/>
    <w:rsid w:val="00442695"/>
    <w:rsid w:val="00442702"/>
    <w:rsid w:val="004428A8"/>
    <w:rsid w:val="00442B27"/>
    <w:rsid w:val="00442C06"/>
    <w:rsid w:val="0044310C"/>
    <w:rsid w:val="0044360F"/>
    <w:rsid w:val="0044390C"/>
    <w:rsid w:val="0044392F"/>
    <w:rsid w:val="00443BA2"/>
    <w:rsid w:val="00443F6D"/>
    <w:rsid w:val="004443A7"/>
    <w:rsid w:val="0044486B"/>
    <w:rsid w:val="004448DF"/>
    <w:rsid w:val="004448F8"/>
    <w:rsid w:val="004449CD"/>
    <w:rsid w:val="004451CF"/>
    <w:rsid w:val="0044544F"/>
    <w:rsid w:val="0044546E"/>
    <w:rsid w:val="0044549D"/>
    <w:rsid w:val="004459FD"/>
    <w:rsid w:val="00445A01"/>
    <w:rsid w:val="00446037"/>
    <w:rsid w:val="00446090"/>
    <w:rsid w:val="0044639C"/>
    <w:rsid w:val="004463EF"/>
    <w:rsid w:val="00446A95"/>
    <w:rsid w:val="00446F8B"/>
    <w:rsid w:val="004472E3"/>
    <w:rsid w:val="004474CF"/>
    <w:rsid w:val="004475CA"/>
    <w:rsid w:val="00447668"/>
    <w:rsid w:val="00447B98"/>
    <w:rsid w:val="004501D6"/>
    <w:rsid w:val="00450984"/>
    <w:rsid w:val="00451D98"/>
    <w:rsid w:val="0045255F"/>
    <w:rsid w:val="00452B21"/>
    <w:rsid w:val="0045323B"/>
    <w:rsid w:val="004536D7"/>
    <w:rsid w:val="00453E2A"/>
    <w:rsid w:val="00453F1C"/>
    <w:rsid w:val="0045405F"/>
    <w:rsid w:val="00455C82"/>
    <w:rsid w:val="00455D07"/>
    <w:rsid w:val="004565CA"/>
    <w:rsid w:val="0045671F"/>
    <w:rsid w:val="00456C5A"/>
    <w:rsid w:val="00456E61"/>
    <w:rsid w:val="004576FD"/>
    <w:rsid w:val="00457CF2"/>
    <w:rsid w:val="00460512"/>
    <w:rsid w:val="00460EB8"/>
    <w:rsid w:val="0046160C"/>
    <w:rsid w:val="00461616"/>
    <w:rsid w:val="00461B7C"/>
    <w:rsid w:val="00461BAA"/>
    <w:rsid w:val="00461DBF"/>
    <w:rsid w:val="00461FE1"/>
    <w:rsid w:val="004622D6"/>
    <w:rsid w:val="004623E3"/>
    <w:rsid w:val="004626D8"/>
    <w:rsid w:val="00462EE3"/>
    <w:rsid w:val="00463287"/>
    <w:rsid w:val="004638B2"/>
    <w:rsid w:val="00463A1C"/>
    <w:rsid w:val="00463C85"/>
    <w:rsid w:val="00463E04"/>
    <w:rsid w:val="00463F53"/>
    <w:rsid w:val="00464AD0"/>
    <w:rsid w:val="00464ECB"/>
    <w:rsid w:val="00465576"/>
    <w:rsid w:val="00465727"/>
    <w:rsid w:val="004658CD"/>
    <w:rsid w:val="00465920"/>
    <w:rsid w:val="00466208"/>
    <w:rsid w:val="0046677C"/>
    <w:rsid w:val="0046748D"/>
    <w:rsid w:val="004675F2"/>
    <w:rsid w:val="0046774F"/>
    <w:rsid w:val="0046776E"/>
    <w:rsid w:val="00467A10"/>
    <w:rsid w:val="00467D4F"/>
    <w:rsid w:val="004700D0"/>
    <w:rsid w:val="0047033D"/>
    <w:rsid w:val="00470626"/>
    <w:rsid w:val="0047096B"/>
    <w:rsid w:val="00470FAC"/>
    <w:rsid w:val="0047104A"/>
    <w:rsid w:val="0047118D"/>
    <w:rsid w:val="0047220C"/>
    <w:rsid w:val="004722E0"/>
    <w:rsid w:val="004727F3"/>
    <w:rsid w:val="00472E10"/>
    <w:rsid w:val="00472F4E"/>
    <w:rsid w:val="00472FE5"/>
    <w:rsid w:val="004737D9"/>
    <w:rsid w:val="0047436F"/>
    <w:rsid w:val="00474594"/>
    <w:rsid w:val="00474714"/>
    <w:rsid w:val="004747E5"/>
    <w:rsid w:val="00474927"/>
    <w:rsid w:val="00474EB3"/>
    <w:rsid w:val="0047567F"/>
    <w:rsid w:val="00475783"/>
    <w:rsid w:val="00475A2F"/>
    <w:rsid w:val="00476750"/>
    <w:rsid w:val="004767FB"/>
    <w:rsid w:val="0047682A"/>
    <w:rsid w:val="00476C74"/>
    <w:rsid w:val="00476CD1"/>
    <w:rsid w:val="00477844"/>
    <w:rsid w:val="00477A68"/>
    <w:rsid w:val="00480251"/>
    <w:rsid w:val="004803DE"/>
    <w:rsid w:val="0048042F"/>
    <w:rsid w:val="00480635"/>
    <w:rsid w:val="0048070B"/>
    <w:rsid w:val="00480E62"/>
    <w:rsid w:val="00480F93"/>
    <w:rsid w:val="0048220B"/>
    <w:rsid w:val="0048232C"/>
    <w:rsid w:val="004824A4"/>
    <w:rsid w:val="004825BA"/>
    <w:rsid w:val="00482671"/>
    <w:rsid w:val="004826AE"/>
    <w:rsid w:val="004829A9"/>
    <w:rsid w:val="0048300A"/>
    <w:rsid w:val="00483096"/>
    <w:rsid w:val="004836C0"/>
    <w:rsid w:val="0048418F"/>
    <w:rsid w:val="004841DD"/>
    <w:rsid w:val="00484253"/>
    <w:rsid w:val="00484385"/>
    <w:rsid w:val="004843A3"/>
    <w:rsid w:val="004853DE"/>
    <w:rsid w:val="004856AE"/>
    <w:rsid w:val="004859ED"/>
    <w:rsid w:val="00485B12"/>
    <w:rsid w:val="00485B62"/>
    <w:rsid w:val="00485C70"/>
    <w:rsid w:val="00485D9D"/>
    <w:rsid w:val="00485DB7"/>
    <w:rsid w:val="00485ECF"/>
    <w:rsid w:val="00486710"/>
    <w:rsid w:val="00486F98"/>
    <w:rsid w:val="0048757F"/>
    <w:rsid w:val="0048772C"/>
    <w:rsid w:val="00487A95"/>
    <w:rsid w:val="0049021F"/>
    <w:rsid w:val="00490345"/>
    <w:rsid w:val="00490A6C"/>
    <w:rsid w:val="00490F04"/>
    <w:rsid w:val="004911C7"/>
    <w:rsid w:val="004913D3"/>
    <w:rsid w:val="0049140F"/>
    <w:rsid w:val="00491479"/>
    <w:rsid w:val="00491C94"/>
    <w:rsid w:val="004922AA"/>
    <w:rsid w:val="004924EF"/>
    <w:rsid w:val="00492D1A"/>
    <w:rsid w:val="00492EB4"/>
    <w:rsid w:val="004931D2"/>
    <w:rsid w:val="004933DD"/>
    <w:rsid w:val="004935F5"/>
    <w:rsid w:val="004948A3"/>
    <w:rsid w:val="0049496A"/>
    <w:rsid w:val="00494C97"/>
    <w:rsid w:val="00494DCD"/>
    <w:rsid w:val="0049530A"/>
    <w:rsid w:val="004953B8"/>
    <w:rsid w:val="004954B7"/>
    <w:rsid w:val="004958FE"/>
    <w:rsid w:val="00495C15"/>
    <w:rsid w:val="00495C58"/>
    <w:rsid w:val="0049603B"/>
    <w:rsid w:val="004960BD"/>
    <w:rsid w:val="004963A1"/>
    <w:rsid w:val="004970F1"/>
    <w:rsid w:val="0049714A"/>
    <w:rsid w:val="004971E2"/>
    <w:rsid w:val="004978B1"/>
    <w:rsid w:val="00497959"/>
    <w:rsid w:val="00497F0A"/>
    <w:rsid w:val="004A04BF"/>
    <w:rsid w:val="004A06F7"/>
    <w:rsid w:val="004A09E7"/>
    <w:rsid w:val="004A0C15"/>
    <w:rsid w:val="004A0DC6"/>
    <w:rsid w:val="004A0E11"/>
    <w:rsid w:val="004A0F05"/>
    <w:rsid w:val="004A116B"/>
    <w:rsid w:val="004A1221"/>
    <w:rsid w:val="004A132A"/>
    <w:rsid w:val="004A1512"/>
    <w:rsid w:val="004A16A2"/>
    <w:rsid w:val="004A1995"/>
    <w:rsid w:val="004A1FC3"/>
    <w:rsid w:val="004A22E3"/>
    <w:rsid w:val="004A242A"/>
    <w:rsid w:val="004A302C"/>
    <w:rsid w:val="004A31A8"/>
    <w:rsid w:val="004A3361"/>
    <w:rsid w:val="004A3365"/>
    <w:rsid w:val="004A3928"/>
    <w:rsid w:val="004A3C50"/>
    <w:rsid w:val="004A3E81"/>
    <w:rsid w:val="004A4073"/>
    <w:rsid w:val="004A41D5"/>
    <w:rsid w:val="004A5D75"/>
    <w:rsid w:val="004A6021"/>
    <w:rsid w:val="004A65C6"/>
    <w:rsid w:val="004A69CB"/>
    <w:rsid w:val="004A6C1D"/>
    <w:rsid w:val="004A6D33"/>
    <w:rsid w:val="004A7865"/>
    <w:rsid w:val="004A7A8C"/>
    <w:rsid w:val="004A7DD8"/>
    <w:rsid w:val="004B00FA"/>
    <w:rsid w:val="004B019C"/>
    <w:rsid w:val="004B04D9"/>
    <w:rsid w:val="004B0526"/>
    <w:rsid w:val="004B06AF"/>
    <w:rsid w:val="004B07FC"/>
    <w:rsid w:val="004B0A49"/>
    <w:rsid w:val="004B0D90"/>
    <w:rsid w:val="004B0DB9"/>
    <w:rsid w:val="004B0E3F"/>
    <w:rsid w:val="004B0E64"/>
    <w:rsid w:val="004B1D27"/>
    <w:rsid w:val="004B1D45"/>
    <w:rsid w:val="004B259C"/>
    <w:rsid w:val="004B2B4F"/>
    <w:rsid w:val="004B2CE1"/>
    <w:rsid w:val="004B2DE3"/>
    <w:rsid w:val="004B2DF2"/>
    <w:rsid w:val="004B3043"/>
    <w:rsid w:val="004B30BD"/>
    <w:rsid w:val="004B4020"/>
    <w:rsid w:val="004B4097"/>
    <w:rsid w:val="004B4C85"/>
    <w:rsid w:val="004B4E94"/>
    <w:rsid w:val="004B5305"/>
    <w:rsid w:val="004B56F3"/>
    <w:rsid w:val="004B5712"/>
    <w:rsid w:val="004B5A90"/>
    <w:rsid w:val="004B6A8D"/>
    <w:rsid w:val="004B6C1C"/>
    <w:rsid w:val="004B6CAD"/>
    <w:rsid w:val="004B74A7"/>
    <w:rsid w:val="004C04E7"/>
    <w:rsid w:val="004C096F"/>
    <w:rsid w:val="004C0E7A"/>
    <w:rsid w:val="004C1D3A"/>
    <w:rsid w:val="004C226B"/>
    <w:rsid w:val="004C233B"/>
    <w:rsid w:val="004C324C"/>
    <w:rsid w:val="004C34CA"/>
    <w:rsid w:val="004C3B40"/>
    <w:rsid w:val="004C3B67"/>
    <w:rsid w:val="004C401B"/>
    <w:rsid w:val="004C493C"/>
    <w:rsid w:val="004C4A08"/>
    <w:rsid w:val="004C6870"/>
    <w:rsid w:val="004C6D31"/>
    <w:rsid w:val="004C6E0F"/>
    <w:rsid w:val="004C7364"/>
    <w:rsid w:val="004C79C6"/>
    <w:rsid w:val="004D03DE"/>
    <w:rsid w:val="004D06AA"/>
    <w:rsid w:val="004D1627"/>
    <w:rsid w:val="004D1775"/>
    <w:rsid w:val="004D1F1D"/>
    <w:rsid w:val="004D26C7"/>
    <w:rsid w:val="004D2713"/>
    <w:rsid w:val="004D29C6"/>
    <w:rsid w:val="004D3690"/>
    <w:rsid w:val="004D3C92"/>
    <w:rsid w:val="004D3F0A"/>
    <w:rsid w:val="004D4711"/>
    <w:rsid w:val="004D474C"/>
    <w:rsid w:val="004D5C00"/>
    <w:rsid w:val="004D5DE7"/>
    <w:rsid w:val="004D640B"/>
    <w:rsid w:val="004D6FB1"/>
    <w:rsid w:val="004D7622"/>
    <w:rsid w:val="004D7CD4"/>
    <w:rsid w:val="004D7E78"/>
    <w:rsid w:val="004E0512"/>
    <w:rsid w:val="004E0845"/>
    <w:rsid w:val="004E0D68"/>
    <w:rsid w:val="004E0ED3"/>
    <w:rsid w:val="004E1670"/>
    <w:rsid w:val="004E19EC"/>
    <w:rsid w:val="004E1CA4"/>
    <w:rsid w:val="004E1F0D"/>
    <w:rsid w:val="004E23CE"/>
    <w:rsid w:val="004E252D"/>
    <w:rsid w:val="004E2734"/>
    <w:rsid w:val="004E2AB2"/>
    <w:rsid w:val="004E2D89"/>
    <w:rsid w:val="004E2E0B"/>
    <w:rsid w:val="004E30BA"/>
    <w:rsid w:val="004E30EC"/>
    <w:rsid w:val="004E4063"/>
    <w:rsid w:val="004E4609"/>
    <w:rsid w:val="004E47A1"/>
    <w:rsid w:val="004E484A"/>
    <w:rsid w:val="004E48E1"/>
    <w:rsid w:val="004E592C"/>
    <w:rsid w:val="004E639C"/>
    <w:rsid w:val="004E67E2"/>
    <w:rsid w:val="004E6FD5"/>
    <w:rsid w:val="004E7715"/>
    <w:rsid w:val="004E7923"/>
    <w:rsid w:val="004E7C51"/>
    <w:rsid w:val="004E7C91"/>
    <w:rsid w:val="004E7DFF"/>
    <w:rsid w:val="004F0945"/>
    <w:rsid w:val="004F0D7D"/>
    <w:rsid w:val="004F0FB5"/>
    <w:rsid w:val="004F13CB"/>
    <w:rsid w:val="004F1430"/>
    <w:rsid w:val="004F1AFF"/>
    <w:rsid w:val="004F25FF"/>
    <w:rsid w:val="004F26BD"/>
    <w:rsid w:val="004F26DF"/>
    <w:rsid w:val="004F2773"/>
    <w:rsid w:val="004F29B4"/>
    <w:rsid w:val="004F2FF5"/>
    <w:rsid w:val="004F3172"/>
    <w:rsid w:val="004F37AF"/>
    <w:rsid w:val="004F4157"/>
    <w:rsid w:val="004F451F"/>
    <w:rsid w:val="004F4617"/>
    <w:rsid w:val="004F4AD5"/>
    <w:rsid w:val="004F5117"/>
    <w:rsid w:val="004F59A5"/>
    <w:rsid w:val="004F7196"/>
    <w:rsid w:val="004F7B34"/>
    <w:rsid w:val="004F7FE8"/>
    <w:rsid w:val="00500750"/>
    <w:rsid w:val="00500B39"/>
    <w:rsid w:val="00501205"/>
    <w:rsid w:val="0050183A"/>
    <w:rsid w:val="00501EC0"/>
    <w:rsid w:val="0050287B"/>
    <w:rsid w:val="0050325F"/>
    <w:rsid w:val="00503314"/>
    <w:rsid w:val="005038F3"/>
    <w:rsid w:val="0050491B"/>
    <w:rsid w:val="00505026"/>
    <w:rsid w:val="00505171"/>
    <w:rsid w:val="005053AA"/>
    <w:rsid w:val="00505563"/>
    <w:rsid w:val="0050606A"/>
    <w:rsid w:val="00506A80"/>
    <w:rsid w:val="00506CB3"/>
    <w:rsid w:val="00506D6A"/>
    <w:rsid w:val="00507708"/>
    <w:rsid w:val="005077CD"/>
    <w:rsid w:val="00510190"/>
    <w:rsid w:val="005101BE"/>
    <w:rsid w:val="00510275"/>
    <w:rsid w:val="00510A63"/>
    <w:rsid w:val="00510C57"/>
    <w:rsid w:val="00510F97"/>
    <w:rsid w:val="00511D58"/>
    <w:rsid w:val="00511D59"/>
    <w:rsid w:val="00511DE8"/>
    <w:rsid w:val="00511F09"/>
    <w:rsid w:val="005122B2"/>
    <w:rsid w:val="005124D7"/>
    <w:rsid w:val="0051253D"/>
    <w:rsid w:val="005136BF"/>
    <w:rsid w:val="00513A2B"/>
    <w:rsid w:val="00513AAD"/>
    <w:rsid w:val="00514240"/>
    <w:rsid w:val="00514241"/>
    <w:rsid w:val="00514862"/>
    <w:rsid w:val="00514B22"/>
    <w:rsid w:val="00514E97"/>
    <w:rsid w:val="00515087"/>
    <w:rsid w:val="0051511A"/>
    <w:rsid w:val="0051531C"/>
    <w:rsid w:val="0051559D"/>
    <w:rsid w:val="00515850"/>
    <w:rsid w:val="00515AB4"/>
    <w:rsid w:val="00516330"/>
    <w:rsid w:val="00516474"/>
    <w:rsid w:val="00516905"/>
    <w:rsid w:val="005171E6"/>
    <w:rsid w:val="005173B6"/>
    <w:rsid w:val="005178FA"/>
    <w:rsid w:val="00517BB0"/>
    <w:rsid w:val="00520690"/>
    <w:rsid w:val="00520A72"/>
    <w:rsid w:val="00521453"/>
    <w:rsid w:val="00521CAA"/>
    <w:rsid w:val="0052275F"/>
    <w:rsid w:val="00522A6C"/>
    <w:rsid w:val="00523693"/>
    <w:rsid w:val="005237F8"/>
    <w:rsid w:val="005238C6"/>
    <w:rsid w:val="00523BA1"/>
    <w:rsid w:val="005255C9"/>
    <w:rsid w:val="00525AB2"/>
    <w:rsid w:val="00525ECE"/>
    <w:rsid w:val="00527093"/>
    <w:rsid w:val="005270B5"/>
    <w:rsid w:val="005274A1"/>
    <w:rsid w:val="005301C4"/>
    <w:rsid w:val="00530427"/>
    <w:rsid w:val="0053099B"/>
    <w:rsid w:val="00530F0B"/>
    <w:rsid w:val="00531380"/>
    <w:rsid w:val="005316C7"/>
    <w:rsid w:val="00531775"/>
    <w:rsid w:val="00531A06"/>
    <w:rsid w:val="00531B3E"/>
    <w:rsid w:val="00531CC2"/>
    <w:rsid w:val="00531D3D"/>
    <w:rsid w:val="005320EB"/>
    <w:rsid w:val="0053221C"/>
    <w:rsid w:val="005322E7"/>
    <w:rsid w:val="0053237C"/>
    <w:rsid w:val="00532EA6"/>
    <w:rsid w:val="0053364F"/>
    <w:rsid w:val="005336BC"/>
    <w:rsid w:val="00534373"/>
    <w:rsid w:val="00535C1C"/>
    <w:rsid w:val="0053634F"/>
    <w:rsid w:val="00536B8F"/>
    <w:rsid w:val="00537193"/>
    <w:rsid w:val="005374F6"/>
    <w:rsid w:val="00540176"/>
    <w:rsid w:val="005402E2"/>
    <w:rsid w:val="005411D1"/>
    <w:rsid w:val="005416B4"/>
    <w:rsid w:val="0054193F"/>
    <w:rsid w:val="00541D74"/>
    <w:rsid w:val="00542328"/>
    <w:rsid w:val="0054249E"/>
    <w:rsid w:val="00542C85"/>
    <w:rsid w:val="005432BF"/>
    <w:rsid w:val="005438AB"/>
    <w:rsid w:val="00543991"/>
    <w:rsid w:val="005446DB"/>
    <w:rsid w:val="00544A95"/>
    <w:rsid w:val="0054549A"/>
    <w:rsid w:val="00545791"/>
    <w:rsid w:val="00545F11"/>
    <w:rsid w:val="0054652E"/>
    <w:rsid w:val="005466B1"/>
    <w:rsid w:val="005468C3"/>
    <w:rsid w:val="00546C5F"/>
    <w:rsid w:val="0054704E"/>
    <w:rsid w:val="005472B2"/>
    <w:rsid w:val="005476A2"/>
    <w:rsid w:val="005476C7"/>
    <w:rsid w:val="00547A2C"/>
    <w:rsid w:val="00547EB5"/>
    <w:rsid w:val="00550D71"/>
    <w:rsid w:val="005512EC"/>
    <w:rsid w:val="005513E1"/>
    <w:rsid w:val="005515A1"/>
    <w:rsid w:val="00551632"/>
    <w:rsid w:val="00552189"/>
    <w:rsid w:val="005528D2"/>
    <w:rsid w:val="005529E9"/>
    <w:rsid w:val="0055472F"/>
    <w:rsid w:val="005552EF"/>
    <w:rsid w:val="005553D1"/>
    <w:rsid w:val="00555A18"/>
    <w:rsid w:val="00555AC1"/>
    <w:rsid w:val="00555D38"/>
    <w:rsid w:val="00555DF0"/>
    <w:rsid w:val="00555F48"/>
    <w:rsid w:val="00556283"/>
    <w:rsid w:val="00556798"/>
    <w:rsid w:val="005567B5"/>
    <w:rsid w:val="005568DC"/>
    <w:rsid w:val="0055695E"/>
    <w:rsid w:val="00557199"/>
    <w:rsid w:val="00560A85"/>
    <w:rsid w:val="00560E6F"/>
    <w:rsid w:val="00561702"/>
    <w:rsid w:val="00561EDA"/>
    <w:rsid w:val="00563513"/>
    <w:rsid w:val="00563BD4"/>
    <w:rsid w:val="00563C9F"/>
    <w:rsid w:val="00563CCB"/>
    <w:rsid w:val="00563DCE"/>
    <w:rsid w:val="00565057"/>
    <w:rsid w:val="005655D1"/>
    <w:rsid w:val="0056589D"/>
    <w:rsid w:val="00565C79"/>
    <w:rsid w:val="00565EA1"/>
    <w:rsid w:val="00565FB9"/>
    <w:rsid w:val="005664DC"/>
    <w:rsid w:val="00566593"/>
    <w:rsid w:val="00566DF1"/>
    <w:rsid w:val="00570464"/>
    <w:rsid w:val="00570D61"/>
    <w:rsid w:val="00571089"/>
    <w:rsid w:val="00571EBE"/>
    <w:rsid w:val="005725EE"/>
    <w:rsid w:val="00572D18"/>
    <w:rsid w:val="00572FD7"/>
    <w:rsid w:val="0057310B"/>
    <w:rsid w:val="005733E2"/>
    <w:rsid w:val="00574127"/>
    <w:rsid w:val="00574171"/>
    <w:rsid w:val="005744D1"/>
    <w:rsid w:val="00574582"/>
    <w:rsid w:val="005758EE"/>
    <w:rsid w:val="00575D1A"/>
    <w:rsid w:val="00575DAC"/>
    <w:rsid w:val="00576592"/>
    <w:rsid w:val="005767E8"/>
    <w:rsid w:val="00577405"/>
    <w:rsid w:val="005774C4"/>
    <w:rsid w:val="005800B5"/>
    <w:rsid w:val="0058032C"/>
    <w:rsid w:val="0058043B"/>
    <w:rsid w:val="00580A9A"/>
    <w:rsid w:val="00581FA3"/>
    <w:rsid w:val="0058214D"/>
    <w:rsid w:val="0058233E"/>
    <w:rsid w:val="00582A0C"/>
    <w:rsid w:val="00583295"/>
    <w:rsid w:val="0058346E"/>
    <w:rsid w:val="00584301"/>
    <w:rsid w:val="005847D6"/>
    <w:rsid w:val="00584D5C"/>
    <w:rsid w:val="00584DBC"/>
    <w:rsid w:val="00584FD8"/>
    <w:rsid w:val="005857FE"/>
    <w:rsid w:val="00585AFA"/>
    <w:rsid w:val="00585C6E"/>
    <w:rsid w:val="00585DB3"/>
    <w:rsid w:val="0058630E"/>
    <w:rsid w:val="0058635F"/>
    <w:rsid w:val="00586A5F"/>
    <w:rsid w:val="00586B5F"/>
    <w:rsid w:val="00586DF1"/>
    <w:rsid w:val="00587209"/>
    <w:rsid w:val="00587963"/>
    <w:rsid w:val="00587AA6"/>
    <w:rsid w:val="00587C0C"/>
    <w:rsid w:val="00590229"/>
    <w:rsid w:val="005908FB"/>
    <w:rsid w:val="00590AA8"/>
    <w:rsid w:val="00591303"/>
    <w:rsid w:val="00591808"/>
    <w:rsid w:val="00591A93"/>
    <w:rsid w:val="00591ABF"/>
    <w:rsid w:val="005922EF"/>
    <w:rsid w:val="00593002"/>
    <w:rsid w:val="005930AF"/>
    <w:rsid w:val="0059336A"/>
    <w:rsid w:val="0059342B"/>
    <w:rsid w:val="00594143"/>
    <w:rsid w:val="005945EF"/>
    <w:rsid w:val="0059472C"/>
    <w:rsid w:val="005947D7"/>
    <w:rsid w:val="00595078"/>
    <w:rsid w:val="0059565B"/>
    <w:rsid w:val="005956A4"/>
    <w:rsid w:val="00595942"/>
    <w:rsid w:val="0059602B"/>
    <w:rsid w:val="00596353"/>
    <w:rsid w:val="00596BA4"/>
    <w:rsid w:val="00597012"/>
    <w:rsid w:val="005978FE"/>
    <w:rsid w:val="00597BCA"/>
    <w:rsid w:val="00597E48"/>
    <w:rsid w:val="00597EBF"/>
    <w:rsid w:val="00597FBC"/>
    <w:rsid w:val="005A010D"/>
    <w:rsid w:val="005A0A69"/>
    <w:rsid w:val="005A0BF5"/>
    <w:rsid w:val="005A2071"/>
    <w:rsid w:val="005A221A"/>
    <w:rsid w:val="005A2269"/>
    <w:rsid w:val="005A2606"/>
    <w:rsid w:val="005A26A4"/>
    <w:rsid w:val="005A2817"/>
    <w:rsid w:val="005A2DD4"/>
    <w:rsid w:val="005A320D"/>
    <w:rsid w:val="005A3221"/>
    <w:rsid w:val="005A324A"/>
    <w:rsid w:val="005A37DC"/>
    <w:rsid w:val="005A4181"/>
    <w:rsid w:val="005A4928"/>
    <w:rsid w:val="005A4A37"/>
    <w:rsid w:val="005A4FAA"/>
    <w:rsid w:val="005A5044"/>
    <w:rsid w:val="005A508D"/>
    <w:rsid w:val="005A5898"/>
    <w:rsid w:val="005A5A14"/>
    <w:rsid w:val="005A5A6E"/>
    <w:rsid w:val="005A6306"/>
    <w:rsid w:val="005A6D22"/>
    <w:rsid w:val="005A6E54"/>
    <w:rsid w:val="005A7094"/>
    <w:rsid w:val="005A73FA"/>
    <w:rsid w:val="005A7440"/>
    <w:rsid w:val="005A7E90"/>
    <w:rsid w:val="005B0690"/>
    <w:rsid w:val="005B1562"/>
    <w:rsid w:val="005B162F"/>
    <w:rsid w:val="005B180C"/>
    <w:rsid w:val="005B1A7F"/>
    <w:rsid w:val="005B1BAC"/>
    <w:rsid w:val="005B1BF7"/>
    <w:rsid w:val="005B232D"/>
    <w:rsid w:val="005B2432"/>
    <w:rsid w:val="005B29E7"/>
    <w:rsid w:val="005B3010"/>
    <w:rsid w:val="005B31D5"/>
    <w:rsid w:val="005B3231"/>
    <w:rsid w:val="005B3333"/>
    <w:rsid w:val="005B3597"/>
    <w:rsid w:val="005B36EA"/>
    <w:rsid w:val="005B3A71"/>
    <w:rsid w:val="005B41E6"/>
    <w:rsid w:val="005B481B"/>
    <w:rsid w:val="005B4AFF"/>
    <w:rsid w:val="005B4F6F"/>
    <w:rsid w:val="005B5103"/>
    <w:rsid w:val="005B63FD"/>
    <w:rsid w:val="005B66ED"/>
    <w:rsid w:val="005B6973"/>
    <w:rsid w:val="005B6E0D"/>
    <w:rsid w:val="005B73E5"/>
    <w:rsid w:val="005B74F3"/>
    <w:rsid w:val="005B75B9"/>
    <w:rsid w:val="005B78B1"/>
    <w:rsid w:val="005B7ADC"/>
    <w:rsid w:val="005C016F"/>
    <w:rsid w:val="005C02BF"/>
    <w:rsid w:val="005C05A4"/>
    <w:rsid w:val="005C06D1"/>
    <w:rsid w:val="005C088E"/>
    <w:rsid w:val="005C1869"/>
    <w:rsid w:val="005C1B96"/>
    <w:rsid w:val="005C2487"/>
    <w:rsid w:val="005C2A7E"/>
    <w:rsid w:val="005C2B78"/>
    <w:rsid w:val="005C32BF"/>
    <w:rsid w:val="005C3AA8"/>
    <w:rsid w:val="005C3F6F"/>
    <w:rsid w:val="005C471D"/>
    <w:rsid w:val="005C486E"/>
    <w:rsid w:val="005C4E48"/>
    <w:rsid w:val="005C56AC"/>
    <w:rsid w:val="005C5792"/>
    <w:rsid w:val="005C5F1F"/>
    <w:rsid w:val="005C61A9"/>
    <w:rsid w:val="005C6A11"/>
    <w:rsid w:val="005C6ECA"/>
    <w:rsid w:val="005C6FCA"/>
    <w:rsid w:val="005C7054"/>
    <w:rsid w:val="005C75E0"/>
    <w:rsid w:val="005C7D3B"/>
    <w:rsid w:val="005D083F"/>
    <w:rsid w:val="005D096B"/>
    <w:rsid w:val="005D0ACB"/>
    <w:rsid w:val="005D0B73"/>
    <w:rsid w:val="005D0BB1"/>
    <w:rsid w:val="005D0C5C"/>
    <w:rsid w:val="005D1122"/>
    <w:rsid w:val="005D128E"/>
    <w:rsid w:val="005D159F"/>
    <w:rsid w:val="005D1AC5"/>
    <w:rsid w:val="005D278D"/>
    <w:rsid w:val="005D2D89"/>
    <w:rsid w:val="005D2F43"/>
    <w:rsid w:val="005D4327"/>
    <w:rsid w:val="005D48B8"/>
    <w:rsid w:val="005D4C2D"/>
    <w:rsid w:val="005D51D1"/>
    <w:rsid w:val="005D51D4"/>
    <w:rsid w:val="005D520D"/>
    <w:rsid w:val="005D561B"/>
    <w:rsid w:val="005D5978"/>
    <w:rsid w:val="005D5A24"/>
    <w:rsid w:val="005D5F3E"/>
    <w:rsid w:val="005D6C69"/>
    <w:rsid w:val="005D71E5"/>
    <w:rsid w:val="005D75E8"/>
    <w:rsid w:val="005D76FC"/>
    <w:rsid w:val="005D782A"/>
    <w:rsid w:val="005D7AC3"/>
    <w:rsid w:val="005D7B58"/>
    <w:rsid w:val="005D7D26"/>
    <w:rsid w:val="005D7F14"/>
    <w:rsid w:val="005E01B6"/>
    <w:rsid w:val="005E06BC"/>
    <w:rsid w:val="005E0EA9"/>
    <w:rsid w:val="005E122C"/>
    <w:rsid w:val="005E12F9"/>
    <w:rsid w:val="005E186F"/>
    <w:rsid w:val="005E19B3"/>
    <w:rsid w:val="005E238E"/>
    <w:rsid w:val="005E25E6"/>
    <w:rsid w:val="005E273A"/>
    <w:rsid w:val="005E2795"/>
    <w:rsid w:val="005E2852"/>
    <w:rsid w:val="005E2B2B"/>
    <w:rsid w:val="005E2ECF"/>
    <w:rsid w:val="005E2F32"/>
    <w:rsid w:val="005E3075"/>
    <w:rsid w:val="005E3342"/>
    <w:rsid w:val="005E33D1"/>
    <w:rsid w:val="005E33DA"/>
    <w:rsid w:val="005E3C16"/>
    <w:rsid w:val="005E3D7E"/>
    <w:rsid w:val="005E3E31"/>
    <w:rsid w:val="005E4531"/>
    <w:rsid w:val="005E4769"/>
    <w:rsid w:val="005E4CD2"/>
    <w:rsid w:val="005E50B2"/>
    <w:rsid w:val="005E50E3"/>
    <w:rsid w:val="005E57E6"/>
    <w:rsid w:val="005E59B9"/>
    <w:rsid w:val="005E5B1A"/>
    <w:rsid w:val="005E6038"/>
    <w:rsid w:val="005E6216"/>
    <w:rsid w:val="005E64EB"/>
    <w:rsid w:val="005E6523"/>
    <w:rsid w:val="005E6979"/>
    <w:rsid w:val="005E7236"/>
    <w:rsid w:val="005E7347"/>
    <w:rsid w:val="005E7965"/>
    <w:rsid w:val="005F003F"/>
    <w:rsid w:val="005F0BF3"/>
    <w:rsid w:val="005F0BF5"/>
    <w:rsid w:val="005F15A7"/>
    <w:rsid w:val="005F1D9A"/>
    <w:rsid w:val="005F2078"/>
    <w:rsid w:val="005F20FE"/>
    <w:rsid w:val="005F2236"/>
    <w:rsid w:val="005F2BF4"/>
    <w:rsid w:val="005F376F"/>
    <w:rsid w:val="005F37D3"/>
    <w:rsid w:val="005F39F3"/>
    <w:rsid w:val="005F3A43"/>
    <w:rsid w:val="005F3BAB"/>
    <w:rsid w:val="005F44DD"/>
    <w:rsid w:val="005F4B11"/>
    <w:rsid w:val="005F4EA2"/>
    <w:rsid w:val="005F50DE"/>
    <w:rsid w:val="005F625D"/>
    <w:rsid w:val="005F631C"/>
    <w:rsid w:val="005F6606"/>
    <w:rsid w:val="005F6CBB"/>
    <w:rsid w:val="005F73FC"/>
    <w:rsid w:val="005F740D"/>
    <w:rsid w:val="005F77D6"/>
    <w:rsid w:val="005F7875"/>
    <w:rsid w:val="005F7C72"/>
    <w:rsid w:val="006009B4"/>
    <w:rsid w:val="00600A01"/>
    <w:rsid w:val="006015A1"/>
    <w:rsid w:val="00601922"/>
    <w:rsid w:val="00601F07"/>
    <w:rsid w:val="0060211A"/>
    <w:rsid w:val="006026D0"/>
    <w:rsid w:val="006026FC"/>
    <w:rsid w:val="0060272F"/>
    <w:rsid w:val="0060293F"/>
    <w:rsid w:val="00602C41"/>
    <w:rsid w:val="00602F0A"/>
    <w:rsid w:val="00602F6D"/>
    <w:rsid w:val="0060349E"/>
    <w:rsid w:val="00603C8E"/>
    <w:rsid w:val="00604396"/>
    <w:rsid w:val="00604623"/>
    <w:rsid w:val="006047B3"/>
    <w:rsid w:val="00604E07"/>
    <w:rsid w:val="00604F72"/>
    <w:rsid w:val="00605131"/>
    <w:rsid w:val="0060546B"/>
    <w:rsid w:val="00605993"/>
    <w:rsid w:val="00606093"/>
    <w:rsid w:val="0060624D"/>
    <w:rsid w:val="006069B3"/>
    <w:rsid w:val="00606A69"/>
    <w:rsid w:val="00606B75"/>
    <w:rsid w:val="006071D5"/>
    <w:rsid w:val="0060738B"/>
    <w:rsid w:val="006073E7"/>
    <w:rsid w:val="0060757E"/>
    <w:rsid w:val="006078A1"/>
    <w:rsid w:val="00607BDE"/>
    <w:rsid w:val="00607D53"/>
    <w:rsid w:val="006100A1"/>
    <w:rsid w:val="006100A3"/>
    <w:rsid w:val="0061046D"/>
    <w:rsid w:val="006112B1"/>
    <w:rsid w:val="00611431"/>
    <w:rsid w:val="006116E7"/>
    <w:rsid w:val="00611B5A"/>
    <w:rsid w:val="00611EB1"/>
    <w:rsid w:val="00612035"/>
    <w:rsid w:val="00612955"/>
    <w:rsid w:val="00612AE2"/>
    <w:rsid w:val="00612C53"/>
    <w:rsid w:val="00612C67"/>
    <w:rsid w:val="00613460"/>
    <w:rsid w:val="0061387B"/>
    <w:rsid w:val="006140F5"/>
    <w:rsid w:val="006145F3"/>
    <w:rsid w:val="006146F7"/>
    <w:rsid w:val="00614A0D"/>
    <w:rsid w:val="00614B90"/>
    <w:rsid w:val="006151C8"/>
    <w:rsid w:val="006154D6"/>
    <w:rsid w:val="0061611F"/>
    <w:rsid w:val="00616670"/>
    <w:rsid w:val="006171AA"/>
    <w:rsid w:val="00617359"/>
    <w:rsid w:val="0061768B"/>
    <w:rsid w:val="00620460"/>
    <w:rsid w:val="00620DAA"/>
    <w:rsid w:val="006214D2"/>
    <w:rsid w:val="00621CE9"/>
    <w:rsid w:val="0062227C"/>
    <w:rsid w:val="006222C3"/>
    <w:rsid w:val="00622483"/>
    <w:rsid w:val="00622977"/>
    <w:rsid w:val="00622E1F"/>
    <w:rsid w:val="0062362A"/>
    <w:rsid w:val="00623678"/>
    <w:rsid w:val="00623964"/>
    <w:rsid w:val="006240B2"/>
    <w:rsid w:val="006244EC"/>
    <w:rsid w:val="00624E7C"/>
    <w:rsid w:val="00624E9F"/>
    <w:rsid w:val="00624F70"/>
    <w:rsid w:val="006250BF"/>
    <w:rsid w:val="006257EE"/>
    <w:rsid w:val="00625ACB"/>
    <w:rsid w:val="006267C4"/>
    <w:rsid w:val="00626AF0"/>
    <w:rsid w:val="00626BD6"/>
    <w:rsid w:val="006279CB"/>
    <w:rsid w:val="006302B8"/>
    <w:rsid w:val="00630461"/>
    <w:rsid w:val="0063065A"/>
    <w:rsid w:val="0063091C"/>
    <w:rsid w:val="00630B02"/>
    <w:rsid w:val="00630EC0"/>
    <w:rsid w:val="00631C1F"/>
    <w:rsid w:val="006323C4"/>
    <w:rsid w:val="00632978"/>
    <w:rsid w:val="00632CAB"/>
    <w:rsid w:val="00632D89"/>
    <w:rsid w:val="00632EA7"/>
    <w:rsid w:val="00633455"/>
    <w:rsid w:val="006334A5"/>
    <w:rsid w:val="006336DF"/>
    <w:rsid w:val="006339A8"/>
    <w:rsid w:val="00633DCB"/>
    <w:rsid w:val="00634076"/>
    <w:rsid w:val="00634086"/>
    <w:rsid w:val="0063428D"/>
    <w:rsid w:val="00634CA7"/>
    <w:rsid w:val="00634D43"/>
    <w:rsid w:val="00634EF0"/>
    <w:rsid w:val="00635028"/>
    <w:rsid w:val="00635116"/>
    <w:rsid w:val="006353EF"/>
    <w:rsid w:val="0063596D"/>
    <w:rsid w:val="006364D2"/>
    <w:rsid w:val="006369AF"/>
    <w:rsid w:val="00636A82"/>
    <w:rsid w:val="00636B76"/>
    <w:rsid w:val="00637586"/>
    <w:rsid w:val="00637C95"/>
    <w:rsid w:val="00637F2D"/>
    <w:rsid w:val="006400CC"/>
    <w:rsid w:val="006408DE"/>
    <w:rsid w:val="00641B79"/>
    <w:rsid w:val="00641EE0"/>
    <w:rsid w:val="00642031"/>
    <w:rsid w:val="006428AB"/>
    <w:rsid w:val="00642DD2"/>
    <w:rsid w:val="006430C4"/>
    <w:rsid w:val="0064330F"/>
    <w:rsid w:val="00643367"/>
    <w:rsid w:val="00643511"/>
    <w:rsid w:val="006437AE"/>
    <w:rsid w:val="00643D89"/>
    <w:rsid w:val="0064431B"/>
    <w:rsid w:val="0064473C"/>
    <w:rsid w:val="006447DB"/>
    <w:rsid w:val="00644BE8"/>
    <w:rsid w:val="00644E2D"/>
    <w:rsid w:val="006458F3"/>
    <w:rsid w:val="00645954"/>
    <w:rsid w:val="00645C6B"/>
    <w:rsid w:val="00645EDB"/>
    <w:rsid w:val="00646441"/>
    <w:rsid w:val="00646A9C"/>
    <w:rsid w:val="00646E12"/>
    <w:rsid w:val="00646EC9"/>
    <w:rsid w:val="00646FC1"/>
    <w:rsid w:val="00647951"/>
    <w:rsid w:val="00647C64"/>
    <w:rsid w:val="00647E23"/>
    <w:rsid w:val="00650FAE"/>
    <w:rsid w:val="00651018"/>
    <w:rsid w:val="006510B2"/>
    <w:rsid w:val="006510F3"/>
    <w:rsid w:val="006510FD"/>
    <w:rsid w:val="0065140F"/>
    <w:rsid w:val="0065168A"/>
    <w:rsid w:val="00651AD3"/>
    <w:rsid w:val="00651BDC"/>
    <w:rsid w:val="00652B21"/>
    <w:rsid w:val="00653342"/>
    <w:rsid w:val="00653371"/>
    <w:rsid w:val="006538B6"/>
    <w:rsid w:val="006538C6"/>
    <w:rsid w:val="00653B26"/>
    <w:rsid w:val="00653D10"/>
    <w:rsid w:val="006544E7"/>
    <w:rsid w:val="00654A04"/>
    <w:rsid w:val="00656549"/>
    <w:rsid w:val="00656E1D"/>
    <w:rsid w:val="00657055"/>
    <w:rsid w:val="0065709F"/>
    <w:rsid w:val="006574CA"/>
    <w:rsid w:val="00657F11"/>
    <w:rsid w:val="00657F98"/>
    <w:rsid w:val="00660147"/>
    <w:rsid w:val="00661309"/>
    <w:rsid w:val="00661861"/>
    <w:rsid w:val="006619D6"/>
    <w:rsid w:val="00661B13"/>
    <w:rsid w:val="00661E45"/>
    <w:rsid w:val="00662459"/>
    <w:rsid w:val="00662882"/>
    <w:rsid w:val="006628F0"/>
    <w:rsid w:val="0066294E"/>
    <w:rsid w:val="00662FAB"/>
    <w:rsid w:val="00663D15"/>
    <w:rsid w:val="00663F0E"/>
    <w:rsid w:val="0066412A"/>
    <w:rsid w:val="00664332"/>
    <w:rsid w:val="00664608"/>
    <w:rsid w:val="00664738"/>
    <w:rsid w:val="00664F8F"/>
    <w:rsid w:val="00665D0A"/>
    <w:rsid w:val="00666A90"/>
    <w:rsid w:val="00667109"/>
    <w:rsid w:val="00667199"/>
    <w:rsid w:val="006676BE"/>
    <w:rsid w:val="00667AB4"/>
    <w:rsid w:val="00667DC1"/>
    <w:rsid w:val="006703B6"/>
    <w:rsid w:val="00670A1B"/>
    <w:rsid w:val="00670B81"/>
    <w:rsid w:val="00670F76"/>
    <w:rsid w:val="0067113D"/>
    <w:rsid w:val="0067148C"/>
    <w:rsid w:val="0067164E"/>
    <w:rsid w:val="006716FE"/>
    <w:rsid w:val="00671726"/>
    <w:rsid w:val="006717F3"/>
    <w:rsid w:val="006722E0"/>
    <w:rsid w:val="00672C70"/>
    <w:rsid w:val="00672EE7"/>
    <w:rsid w:val="00673543"/>
    <w:rsid w:val="0067359A"/>
    <w:rsid w:val="006739F1"/>
    <w:rsid w:val="006745B1"/>
    <w:rsid w:val="00674630"/>
    <w:rsid w:val="00674878"/>
    <w:rsid w:val="00674A08"/>
    <w:rsid w:val="00674BD2"/>
    <w:rsid w:val="006759F6"/>
    <w:rsid w:val="00676370"/>
    <w:rsid w:val="0067659C"/>
    <w:rsid w:val="00676717"/>
    <w:rsid w:val="00676E39"/>
    <w:rsid w:val="00676F11"/>
    <w:rsid w:val="00677809"/>
    <w:rsid w:val="0067782F"/>
    <w:rsid w:val="00677DB2"/>
    <w:rsid w:val="00680348"/>
    <w:rsid w:val="00680442"/>
    <w:rsid w:val="00680546"/>
    <w:rsid w:val="006807FD"/>
    <w:rsid w:val="00681101"/>
    <w:rsid w:val="00681191"/>
    <w:rsid w:val="00681894"/>
    <w:rsid w:val="00682316"/>
    <w:rsid w:val="00682623"/>
    <w:rsid w:val="0068310A"/>
    <w:rsid w:val="006835A8"/>
    <w:rsid w:val="006836C3"/>
    <w:rsid w:val="006836E7"/>
    <w:rsid w:val="006838BF"/>
    <w:rsid w:val="00683C19"/>
    <w:rsid w:val="00683C99"/>
    <w:rsid w:val="00684121"/>
    <w:rsid w:val="00684183"/>
    <w:rsid w:val="00684E94"/>
    <w:rsid w:val="00685011"/>
    <w:rsid w:val="00685894"/>
    <w:rsid w:val="00685A89"/>
    <w:rsid w:val="00685B53"/>
    <w:rsid w:val="00686354"/>
    <w:rsid w:val="00686370"/>
    <w:rsid w:val="00687BE2"/>
    <w:rsid w:val="00687DAC"/>
    <w:rsid w:val="006900E4"/>
    <w:rsid w:val="00690285"/>
    <w:rsid w:val="00690E37"/>
    <w:rsid w:val="00690F88"/>
    <w:rsid w:val="006916E8"/>
    <w:rsid w:val="006920AF"/>
    <w:rsid w:val="006925C1"/>
    <w:rsid w:val="00692F07"/>
    <w:rsid w:val="00693A49"/>
    <w:rsid w:val="00695B60"/>
    <w:rsid w:val="00696484"/>
    <w:rsid w:val="00696635"/>
    <w:rsid w:val="00696B39"/>
    <w:rsid w:val="00697006"/>
    <w:rsid w:val="006976C5"/>
    <w:rsid w:val="00697BC5"/>
    <w:rsid w:val="00697E9D"/>
    <w:rsid w:val="00697EB7"/>
    <w:rsid w:val="006A01AC"/>
    <w:rsid w:val="006A0E1D"/>
    <w:rsid w:val="006A112F"/>
    <w:rsid w:val="006A1767"/>
    <w:rsid w:val="006A1F7D"/>
    <w:rsid w:val="006A21A5"/>
    <w:rsid w:val="006A2696"/>
    <w:rsid w:val="006A2879"/>
    <w:rsid w:val="006A2D78"/>
    <w:rsid w:val="006A3314"/>
    <w:rsid w:val="006A3B78"/>
    <w:rsid w:val="006A415A"/>
    <w:rsid w:val="006A43B7"/>
    <w:rsid w:val="006A4B3C"/>
    <w:rsid w:val="006A5447"/>
    <w:rsid w:val="006A5979"/>
    <w:rsid w:val="006A5DEF"/>
    <w:rsid w:val="006A640B"/>
    <w:rsid w:val="006A6482"/>
    <w:rsid w:val="006A6711"/>
    <w:rsid w:val="006A67E4"/>
    <w:rsid w:val="006A68C3"/>
    <w:rsid w:val="006A73CF"/>
    <w:rsid w:val="006A772A"/>
    <w:rsid w:val="006A7783"/>
    <w:rsid w:val="006A7C4F"/>
    <w:rsid w:val="006B00E6"/>
    <w:rsid w:val="006B0559"/>
    <w:rsid w:val="006B0AF3"/>
    <w:rsid w:val="006B14F8"/>
    <w:rsid w:val="006B1CBE"/>
    <w:rsid w:val="006B1D9B"/>
    <w:rsid w:val="006B214A"/>
    <w:rsid w:val="006B24F6"/>
    <w:rsid w:val="006B2DB8"/>
    <w:rsid w:val="006B3266"/>
    <w:rsid w:val="006B337E"/>
    <w:rsid w:val="006B3693"/>
    <w:rsid w:val="006B37E3"/>
    <w:rsid w:val="006B3819"/>
    <w:rsid w:val="006B3FF4"/>
    <w:rsid w:val="006B414B"/>
    <w:rsid w:val="006B43B8"/>
    <w:rsid w:val="006B46FC"/>
    <w:rsid w:val="006B4926"/>
    <w:rsid w:val="006B4C23"/>
    <w:rsid w:val="006B50AF"/>
    <w:rsid w:val="006B5166"/>
    <w:rsid w:val="006B52C6"/>
    <w:rsid w:val="006B5892"/>
    <w:rsid w:val="006B6FCD"/>
    <w:rsid w:val="006C015C"/>
    <w:rsid w:val="006C0284"/>
    <w:rsid w:val="006C0810"/>
    <w:rsid w:val="006C0917"/>
    <w:rsid w:val="006C13C1"/>
    <w:rsid w:val="006C15AF"/>
    <w:rsid w:val="006C1823"/>
    <w:rsid w:val="006C19BA"/>
    <w:rsid w:val="006C1BF0"/>
    <w:rsid w:val="006C1DD9"/>
    <w:rsid w:val="006C2158"/>
    <w:rsid w:val="006C2204"/>
    <w:rsid w:val="006C27C1"/>
    <w:rsid w:val="006C2D78"/>
    <w:rsid w:val="006C2F58"/>
    <w:rsid w:val="006C3159"/>
    <w:rsid w:val="006C32FB"/>
    <w:rsid w:val="006C3D24"/>
    <w:rsid w:val="006C3DCE"/>
    <w:rsid w:val="006C4015"/>
    <w:rsid w:val="006C41F7"/>
    <w:rsid w:val="006C47BD"/>
    <w:rsid w:val="006C49EE"/>
    <w:rsid w:val="006C5832"/>
    <w:rsid w:val="006C5D71"/>
    <w:rsid w:val="006C60B1"/>
    <w:rsid w:val="006C6D1A"/>
    <w:rsid w:val="006C75D9"/>
    <w:rsid w:val="006C79CD"/>
    <w:rsid w:val="006C79F6"/>
    <w:rsid w:val="006D028D"/>
    <w:rsid w:val="006D0695"/>
    <w:rsid w:val="006D0999"/>
    <w:rsid w:val="006D0F13"/>
    <w:rsid w:val="006D0FB1"/>
    <w:rsid w:val="006D1DC9"/>
    <w:rsid w:val="006D22C9"/>
    <w:rsid w:val="006D2AEB"/>
    <w:rsid w:val="006D3552"/>
    <w:rsid w:val="006D39DD"/>
    <w:rsid w:val="006D3B23"/>
    <w:rsid w:val="006D4314"/>
    <w:rsid w:val="006D4356"/>
    <w:rsid w:val="006D47D0"/>
    <w:rsid w:val="006D5A63"/>
    <w:rsid w:val="006D5F53"/>
    <w:rsid w:val="006D60FC"/>
    <w:rsid w:val="006D65A1"/>
    <w:rsid w:val="006D71D8"/>
    <w:rsid w:val="006D74D5"/>
    <w:rsid w:val="006D7BEB"/>
    <w:rsid w:val="006D7BFD"/>
    <w:rsid w:val="006D7F35"/>
    <w:rsid w:val="006E005C"/>
    <w:rsid w:val="006E05DD"/>
    <w:rsid w:val="006E0684"/>
    <w:rsid w:val="006E0730"/>
    <w:rsid w:val="006E099E"/>
    <w:rsid w:val="006E0D6A"/>
    <w:rsid w:val="006E12F6"/>
    <w:rsid w:val="006E1DE0"/>
    <w:rsid w:val="006E215E"/>
    <w:rsid w:val="006E2339"/>
    <w:rsid w:val="006E2686"/>
    <w:rsid w:val="006E2BEE"/>
    <w:rsid w:val="006E2EC9"/>
    <w:rsid w:val="006E34A7"/>
    <w:rsid w:val="006E3544"/>
    <w:rsid w:val="006E3E1A"/>
    <w:rsid w:val="006E4308"/>
    <w:rsid w:val="006E5C7B"/>
    <w:rsid w:val="006E665F"/>
    <w:rsid w:val="006E73DC"/>
    <w:rsid w:val="006F05D1"/>
    <w:rsid w:val="006F0CCA"/>
    <w:rsid w:val="006F0E0A"/>
    <w:rsid w:val="006F1110"/>
    <w:rsid w:val="006F14AB"/>
    <w:rsid w:val="006F15FC"/>
    <w:rsid w:val="006F24D6"/>
    <w:rsid w:val="006F2737"/>
    <w:rsid w:val="006F273C"/>
    <w:rsid w:val="006F336E"/>
    <w:rsid w:val="006F3515"/>
    <w:rsid w:val="006F3544"/>
    <w:rsid w:val="006F3A28"/>
    <w:rsid w:val="006F3C29"/>
    <w:rsid w:val="006F4896"/>
    <w:rsid w:val="006F4F2D"/>
    <w:rsid w:val="006F564E"/>
    <w:rsid w:val="006F579B"/>
    <w:rsid w:val="006F5807"/>
    <w:rsid w:val="006F5D4D"/>
    <w:rsid w:val="006F627E"/>
    <w:rsid w:val="006F7040"/>
    <w:rsid w:val="006F7379"/>
    <w:rsid w:val="006F751C"/>
    <w:rsid w:val="006F7558"/>
    <w:rsid w:val="006F792F"/>
    <w:rsid w:val="006F7981"/>
    <w:rsid w:val="00700588"/>
    <w:rsid w:val="007006D8"/>
    <w:rsid w:val="00700C67"/>
    <w:rsid w:val="00701C82"/>
    <w:rsid w:val="00702278"/>
    <w:rsid w:val="007026FA"/>
    <w:rsid w:val="007027F4"/>
    <w:rsid w:val="00702861"/>
    <w:rsid w:val="00702D7B"/>
    <w:rsid w:val="0070354A"/>
    <w:rsid w:val="0070362E"/>
    <w:rsid w:val="007036E9"/>
    <w:rsid w:val="007039C8"/>
    <w:rsid w:val="00703AA5"/>
    <w:rsid w:val="00703B51"/>
    <w:rsid w:val="00704E4D"/>
    <w:rsid w:val="00704EF1"/>
    <w:rsid w:val="0070517E"/>
    <w:rsid w:val="007055E1"/>
    <w:rsid w:val="00705832"/>
    <w:rsid w:val="0070583C"/>
    <w:rsid w:val="00705866"/>
    <w:rsid w:val="00705CA0"/>
    <w:rsid w:val="00706087"/>
    <w:rsid w:val="00706500"/>
    <w:rsid w:val="00706537"/>
    <w:rsid w:val="00706746"/>
    <w:rsid w:val="00706764"/>
    <w:rsid w:val="00706CB7"/>
    <w:rsid w:val="007070D5"/>
    <w:rsid w:val="0070795F"/>
    <w:rsid w:val="00707970"/>
    <w:rsid w:val="00707D4F"/>
    <w:rsid w:val="007100FB"/>
    <w:rsid w:val="007109C7"/>
    <w:rsid w:val="007109E8"/>
    <w:rsid w:val="0071101B"/>
    <w:rsid w:val="00711F13"/>
    <w:rsid w:val="00711F46"/>
    <w:rsid w:val="00712198"/>
    <w:rsid w:val="007121B9"/>
    <w:rsid w:val="007123E8"/>
    <w:rsid w:val="0071251C"/>
    <w:rsid w:val="00712CAD"/>
    <w:rsid w:val="00713375"/>
    <w:rsid w:val="00713B22"/>
    <w:rsid w:val="00713EF9"/>
    <w:rsid w:val="00714149"/>
    <w:rsid w:val="007141E6"/>
    <w:rsid w:val="00714E52"/>
    <w:rsid w:val="00715072"/>
    <w:rsid w:val="00715386"/>
    <w:rsid w:val="00715B57"/>
    <w:rsid w:val="00715E4D"/>
    <w:rsid w:val="00715E94"/>
    <w:rsid w:val="00715F2C"/>
    <w:rsid w:val="00715F35"/>
    <w:rsid w:val="00716623"/>
    <w:rsid w:val="00716C58"/>
    <w:rsid w:val="007178CA"/>
    <w:rsid w:val="00717E65"/>
    <w:rsid w:val="0072000C"/>
    <w:rsid w:val="00720035"/>
    <w:rsid w:val="00720471"/>
    <w:rsid w:val="0072083A"/>
    <w:rsid w:val="00720C87"/>
    <w:rsid w:val="00720D7B"/>
    <w:rsid w:val="00721BCB"/>
    <w:rsid w:val="00721DEE"/>
    <w:rsid w:val="00722402"/>
    <w:rsid w:val="00722A11"/>
    <w:rsid w:val="00722AF2"/>
    <w:rsid w:val="00722D50"/>
    <w:rsid w:val="00722EB7"/>
    <w:rsid w:val="007235C3"/>
    <w:rsid w:val="007237BB"/>
    <w:rsid w:val="00723DCB"/>
    <w:rsid w:val="00723F6F"/>
    <w:rsid w:val="007246D0"/>
    <w:rsid w:val="00724AF2"/>
    <w:rsid w:val="00724C01"/>
    <w:rsid w:val="00724EAD"/>
    <w:rsid w:val="00725238"/>
    <w:rsid w:val="0072556D"/>
    <w:rsid w:val="0072557F"/>
    <w:rsid w:val="00725629"/>
    <w:rsid w:val="00725FAF"/>
    <w:rsid w:val="0072603D"/>
    <w:rsid w:val="007263B4"/>
    <w:rsid w:val="007265EC"/>
    <w:rsid w:val="0072673E"/>
    <w:rsid w:val="007267E7"/>
    <w:rsid w:val="00727161"/>
    <w:rsid w:val="00727177"/>
    <w:rsid w:val="007279B7"/>
    <w:rsid w:val="00727A31"/>
    <w:rsid w:val="00727E52"/>
    <w:rsid w:val="007301AB"/>
    <w:rsid w:val="007302D6"/>
    <w:rsid w:val="007305F1"/>
    <w:rsid w:val="0073083E"/>
    <w:rsid w:val="00730863"/>
    <w:rsid w:val="00730DAC"/>
    <w:rsid w:val="007312C0"/>
    <w:rsid w:val="007319B9"/>
    <w:rsid w:val="007323E0"/>
    <w:rsid w:val="00732829"/>
    <w:rsid w:val="00732B12"/>
    <w:rsid w:val="00732BEE"/>
    <w:rsid w:val="00734294"/>
    <w:rsid w:val="00734927"/>
    <w:rsid w:val="00734C7C"/>
    <w:rsid w:val="00735890"/>
    <w:rsid w:val="00735AF3"/>
    <w:rsid w:val="00735E19"/>
    <w:rsid w:val="0073615A"/>
    <w:rsid w:val="007366AE"/>
    <w:rsid w:val="007368FC"/>
    <w:rsid w:val="00736ACC"/>
    <w:rsid w:val="00737054"/>
    <w:rsid w:val="0073710F"/>
    <w:rsid w:val="0073767E"/>
    <w:rsid w:val="007378B4"/>
    <w:rsid w:val="00737B37"/>
    <w:rsid w:val="007402DB"/>
    <w:rsid w:val="0074067B"/>
    <w:rsid w:val="00740B44"/>
    <w:rsid w:val="00740CD6"/>
    <w:rsid w:val="00740CDE"/>
    <w:rsid w:val="0074114B"/>
    <w:rsid w:val="00741265"/>
    <w:rsid w:val="00741690"/>
    <w:rsid w:val="007418E7"/>
    <w:rsid w:val="0074275F"/>
    <w:rsid w:val="007427F9"/>
    <w:rsid w:val="00742C90"/>
    <w:rsid w:val="00742CA6"/>
    <w:rsid w:val="00742D90"/>
    <w:rsid w:val="00742FB7"/>
    <w:rsid w:val="0074303B"/>
    <w:rsid w:val="00743115"/>
    <w:rsid w:val="00743210"/>
    <w:rsid w:val="00743737"/>
    <w:rsid w:val="00744157"/>
    <w:rsid w:val="007448AD"/>
    <w:rsid w:val="00744AA1"/>
    <w:rsid w:val="00744C50"/>
    <w:rsid w:val="00745050"/>
    <w:rsid w:val="00745213"/>
    <w:rsid w:val="0074523D"/>
    <w:rsid w:val="00745D58"/>
    <w:rsid w:val="00745E70"/>
    <w:rsid w:val="0074624E"/>
    <w:rsid w:val="00746451"/>
    <w:rsid w:val="00746A3D"/>
    <w:rsid w:val="00746CAD"/>
    <w:rsid w:val="0074760A"/>
    <w:rsid w:val="00747831"/>
    <w:rsid w:val="00750115"/>
    <w:rsid w:val="007503F6"/>
    <w:rsid w:val="00750C4C"/>
    <w:rsid w:val="00750D54"/>
    <w:rsid w:val="00750E6A"/>
    <w:rsid w:val="0075150B"/>
    <w:rsid w:val="00751BD5"/>
    <w:rsid w:val="0075243E"/>
    <w:rsid w:val="00752B33"/>
    <w:rsid w:val="00752EAA"/>
    <w:rsid w:val="007533DD"/>
    <w:rsid w:val="00753D76"/>
    <w:rsid w:val="00754131"/>
    <w:rsid w:val="00754CFB"/>
    <w:rsid w:val="007552F9"/>
    <w:rsid w:val="00755D2F"/>
    <w:rsid w:val="0075610B"/>
    <w:rsid w:val="00756184"/>
    <w:rsid w:val="00756A61"/>
    <w:rsid w:val="00756DC5"/>
    <w:rsid w:val="0075724C"/>
    <w:rsid w:val="0075724E"/>
    <w:rsid w:val="0075743D"/>
    <w:rsid w:val="00757BA9"/>
    <w:rsid w:val="007601C2"/>
    <w:rsid w:val="007608BC"/>
    <w:rsid w:val="00760BB2"/>
    <w:rsid w:val="007610E3"/>
    <w:rsid w:val="007614FF"/>
    <w:rsid w:val="00761580"/>
    <w:rsid w:val="00761ED1"/>
    <w:rsid w:val="00762009"/>
    <w:rsid w:val="00762488"/>
    <w:rsid w:val="0076260A"/>
    <w:rsid w:val="00762FA4"/>
    <w:rsid w:val="00763511"/>
    <w:rsid w:val="007638DB"/>
    <w:rsid w:val="00763D69"/>
    <w:rsid w:val="007641EE"/>
    <w:rsid w:val="007646B4"/>
    <w:rsid w:val="00764852"/>
    <w:rsid w:val="0076494A"/>
    <w:rsid w:val="00764E52"/>
    <w:rsid w:val="00764F65"/>
    <w:rsid w:val="00764F88"/>
    <w:rsid w:val="00765198"/>
    <w:rsid w:val="007653F2"/>
    <w:rsid w:val="00765C1A"/>
    <w:rsid w:val="00767798"/>
    <w:rsid w:val="0076783E"/>
    <w:rsid w:val="007706AF"/>
    <w:rsid w:val="007714BA"/>
    <w:rsid w:val="0077154F"/>
    <w:rsid w:val="007716FA"/>
    <w:rsid w:val="00772224"/>
    <w:rsid w:val="00772531"/>
    <w:rsid w:val="00773987"/>
    <w:rsid w:val="00774011"/>
    <w:rsid w:val="0077418D"/>
    <w:rsid w:val="007742C7"/>
    <w:rsid w:val="007742E4"/>
    <w:rsid w:val="00775C6D"/>
    <w:rsid w:val="00775E0E"/>
    <w:rsid w:val="00775F40"/>
    <w:rsid w:val="0077676D"/>
    <w:rsid w:val="007767E7"/>
    <w:rsid w:val="00776AB8"/>
    <w:rsid w:val="00776BFD"/>
    <w:rsid w:val="00776DAD"/>
    <w:rsid w:val="00776FE4"/>
    <w:rsid w:val="007771A9"/>
    <w:rsid w:val="00780B1D"/>
    <w:rsid w:val="00780F2F"/>
    <w:rsid w:val="00781194"/>
    <w:rsid w:val="00781C29"/>
    <w:rsid w:val="00781D38"/>
    <w:rsid w:val="00781D6F"/>
    <w:rsid w:val="00781E34"/>
    <w:rsid w:val="00781EF7"/>
    <w:rsid w:val="0078217F"/>
    <w:rsid w:val="007825F2"/>
    <w:rsid w:val="007826BC"/>
    <w:rsid w:val="00782910"/>
    <w:rsid w:val="00782BE1"/>
    <w:rsid w:val="0078349E"/>
    <w:rsid w:val="00783648"/>
    <w:rsid w:val="0078380B"/>
    <w:rsid w:val="0078398B"/>
    <w:rsid w:val="00783A20"/>
    <w:rsid w:val="00783D2D"/>
    <w:rsid w:val="00785BBA"/>
    <w:rsid w:val="00785BE9"/>
    <w:rsid w:val="007865C0"/>
    <w:rsid w:val="007866E6"/>
    <w:rsid w:val="00786D36"/>
    <w:rsid w:val="007876E2"/>
    <w:rsid w:val="007877FA"/>
    <w:rsid w:val="0078780C"/>
    <w:rsid w:val="00790146"/>
    <w:rsid w:val="00790308"/>
    <w:rsid w:val="007904DF"/>
    <w:rsid w:val="00790540"/>
    <w:rsid w:val="00790716"/>
    <w:rsid w:val="00790CF2"/>
    <w:rsid w:val="007913A8"/>
    <w:rsid w:val="00791524"/>
    <w:rsid w:val="00791A07"/>
    <w:rsid w:val="007921AC"/>
    <w:rsid w:val="0079252E"/>
    <w:rsid w:val="00792B9A"/>
    <w:rsid w:val="0079300A"/>
    <w:rsid w:val="007930B1"/>
    <w:rsid w:val="007930F4"/>
    <w:rsid w:val="007933BF"/>
    <w:rsid w:val="00793AD0"/>
    <w:rsid w:val="00793B23"/>
    <w:rsid w:val="00793ECE"/>
    <w:rsid w:val="0079407A"/>
    <w:rsid w:val="0079416E"/>
    <w:rsid w:val="007942AC"/>
    <w:rsid w:val="007942FF"/>
    <w:rsid w:val="00794E69"/>
    <w:rsid w:val="0079511A"/>
    <w:rsid w:val="007952CD"/>
    <w:rsid w:val="007958D1"/>
    <w:rsid w:val="0079682A"/>
    <w:rsid w:val="007969FB"/>
    <w:rsid w:val="00797DDA"/>
    <w:rsid w:val="00797FC1"/>
    <w:rsid w:val="007A018A"/>
    <w:rsid w:val="007A0956"/>
    <w:rsid w:val="007A0B32"/>
    <w:rsid w:val="007A1240"/>
    <w:rsid w:val="007A1633"/>
    <w:rsid w:val="007A22C1"/>
    <w:rsid w:val="007A2C2E"/>
    <w:rsid w:val="007A2D2B"/>
    <w:rsid w:val="007A2E74"/>
    <w:rsid w:val="007A3115"/>
    <w:rsid w:val="007A4182"/>
    <w:rsid w:val="007A4D3B"/>
    <w:rsid w:val="007A51B3"/>
    <w:rsid w:val="007A5380"/>
    <w:rsid w:val="007A5ECD"/>
    <w:rsid w:val="007A6158"/>
    <w:rsid w:val="007A65A4"/>
    <w:rsid w:val="007A6AA5"/>
    <w:rsid w:val="007A7195"/>
    <w:rsid w:val="007A74AF"/>
    <w:rsid w:val="007A7F06"/>
    <w:rsid w:val="007B03E3"/>
    <w:rsid w:val="007B0F87"/>
    <w:rsid w:val="007B1938"/>
    <w:rsid w:val="007B1EC5"/>
    <w:rsid w:val="007B2983"/>
    <w:rsid w:val="007B2D67"/>
    <w:rsid w:val="007B32B5"/>
    <w:rsid w:val="007B3C61"/>
    <w:rsid w:val="007B3D9F"/>
    <w:rsid w:val="007B3DA9"/>
    <w:rsid w:val="007B46F5"/>
    <w:rsid w:val="007B4902"/>
    <w:rsid w:val="007B4F3F"/>
    <w:rsid w:val="007B5141"/>
    <w:rsid w:val="007B640A"/>
    <w:rsid w:val="007B6D0F"/>
    <w:rsid w:val="007B6D97"/>
    <w:rsid w:val="007B7232"/>
    <w:rsid w:val="007B72B1"/>
    <w:rsid w:val="007B748F"/>
    <w:rsid w:val="007B755A"/>
    <w:rsid w:val="007B7808"/>
    <w:rsid w:val="007B7A52"/>
    <w:rsid w:val="007C01C6"/>
    <w:rsid w:val="007C03CA"/>
    <w:rsid w:val="007C1D8F"/>
    <w:rsid w:val="007C201F"/>
    <w:rsid w:val="007C218A"/>
    <w:rsid w:val="007C2194"/>
    <w:rsid w:val="007C22B9"/>
    <w:rsid w:val="007C252A"/>
    <w:rsid w:val="007C329F"/>
    <w:rsid w:val="007C34C9"/>
    <w:rsid w:val="007C358B"/>
    <w:rsid w:val="007C35DC"/>
    <w:rsid w:val="007C39F5"/>
    <w:rsid w:val="007C3EBA"/>
    <w:rsid w:val="007C40E0"/>
    <w:rsid w:val="007C4275"/>
    <w:rsid w:val="007C472D"/>
    <w:rsid w:val="007C4E47"/>
    <w:rsid w:val="007C532B"/>
    <w:rsid w:val="007C538D"/>
    <w:rsid w:val="007C5AC8"/>
    <w:rsid w:val="007C5D30"/>
    <w:rsid w:val="007C6289"/>
    <w:rsid w:val="007C6392"/>
    <w:rsid w:val="007C6532"/>
    <w:rsid w:val="007C6AB7"/>
    <w:rsid w:val="007C6BD5"/>
    <w:rsid w:val="007C6E25"/>
    <w:rsid w:val="007C6FF2"/>
    <w:rsid w:val="007C7069"/>
    <w:rsid w:val="007C73E5"/>
    <w:rsid w:val="007C7716"/>
    <w:rsid w:val="007D0A78"/>
    <w:rsid w:val="007D1048"/>
    <w:rsid w:val="007D107B"/>
    <w:rsid w:val="007D15D1"/>
    <w:rsid w:val="007D18A2"/>
    <w:rsid w:val="007D1FDC"/>
    <w:rsid w:val="007D22E4"/>
    <w:rsid w:val="007D2443"/>
    <w:rsid w:val="007D2809"/>
    <w:rsid w:val="007D2C58"/>
    <w:rsid w:val="007D2FA2"/>
    <w:rsid w:val="007D343C"/>
    <w:rsid w:val="007D3B80"/>
    <w:rsid w:val="007D402D"/>
    <w:rsid w:val="007D50F9"/>
    <w:rsid w:val="007D5373"/>
    <w:rsid w:val="007D59BD"/>
    <w:rsid w:val="007D5AB1"/>
    <w:rsid w:val="007D681F"/>
    <w:rsid w:val="007D70E4"/>
    <w:rsid w:val="007D7106"/>
    <w:rsid w:val="007D7237"/>
    <w:rsid w:val="007D7807"/>
    <w:rsid w:val="007D7FE3"/>
    <w:rsid w:val="007E05F0"/>
    <w:rsid w:val="007E0A23"/>
    <w:rsid w:val="007E188C"/>
    <w:rsid w:val="007E22F6"/>
    <w:rsid w:val="007E2786"/>
    <w:rsid w:val="007E29C2"/>
    <w:rsid w:val="007E2C59"/>
    <w:rsid w:val="007E312C"/>
    <w:rsid w:val="007E39FE"/>
    <w:rsid w:val="007E4813"/>
    <w:rsid w:val="007E51EE"/>
    <w:rsid w:val="007E66A1"/>
    <w:rsid w:val="007E7A28"/>
    <w:rsid w:val="007F0455"/>
    <w:rsid w:val="007F046F"/>
    <w:rsid w:val="007F068D"/>
    <w:rsid w:val="007F0C49"/>
    <w:rsid w:val="007F0CD3"/>
    <w:rsid w:val="007F0D09"/>
    <w:rsid w:val="007F11D6"/>
    <w:rsid w:val="007F17ED"/>
    <w:rsid w:val="007F1EE7"/>
    <w:rsid w:val="007F1FCB"/>
    <w:rsid w:val="007F2724"/>
    <w:rsid w:val="007F327E"/>
    <w:rsid w:val="007F3711"/>
    <w:rsid w:val="007F3730"/>
    <w:rsid w:val="007F3919"/>
    <w:rsid w:val="007F3F35"/>
    <w:rsid w:val="007F4656"/>
    <w:rsid w:val="007F46CB"/>
    <w:rsid w:val="007F47A1"/>
    <w:rsid w:val="007F4D6C"/>
    <w:rsid w:val="007F585E"/>
    <w:rsid w:val="007F58E2"/>
    <w:rsid w:val="007F645D"/>
    <w:rsid w:val="007F69A6"/>
    <w:rsid w:val="007F6B22"/>
    <w:rsid w:val="007F70A9"/>
    <w:rsid w:val="007F7101"/>
    <w:rsid w:val="007F74F6"/>
    <w:rsid w:val="007F795F"/>
    <w:rsid w:val="007F7B76"/>
    <w:rsid w:val="007F7B89"/>
    <w:rsid w:val="007F7CA0"/>
    <w:rsid w:val="00800A6A"/>
    <w:rsid w:val="00800DA6"/>
    <w:rsid w:val="0080184A"/>
    <w:rsid w:val="008019CD"/>
    <w:rsid w:val="00801ADB"/>
    <w:rsid w:val="00801C87"/>
    <w:rsid w:val="00801CCB"/>
    <w:rsid w:val="00802384"/>
    <w:rsid w:val="008023B1"/>
    <w:rsid w:val="00802C8B"/>
    <w:rsid w:val="0080382D"/>
    <w:rsid w:val="00803B9C"/>
    <w:rsid w:val="00803FB4"/>
    <w:rsid w:val="00804425"/>
    <w:rsid w:val="00804694"/>
    <w:rsid w:val="00804E46"/>
    <w:rsid w:val="00804E66"/>
    <w:rsid w:val="00805362"/>
    <w:rsid w:val="008053BB"/>
    <w:rsid w:val="0080591C"/>
    <w:rsid w:val="00805B90"/>
    <w:rsid w:val="0080604E"/>
    <w:rsid w:val="00806222"/>
    <w:rsid w:val="0080633D"/>
    <w:rsid w:val="00806343"/>
    <w:rsid w:val="008064DC"/>
    <w:rsid w:val="00806677"/>
    <w:rsid w:val="00806950"/>
    <w:rsid w:val="00806C60"/>
    <w:rsid w:val="00806E28"/>
    <w:rsid w:val="00806F5C"/>
    <w:rsid w:val="00807654"/>
    <w:rsid w:val="008076B3"/>
    <w:rsid w:val="008079AC"/>
    <w:rsid w:val="00810062"/>
    <w:rsid w:val="00811D0D"/>
    <w:rsid w:val="00811FDE"/>
    <w:rsid w:val="00811FEA"/>
    <w:rsid w:val="008126DC"/>
    <w:rsid w:val="00812A22"/>
    <w:rsid w:val="00812EF2"/>
    <w:rsid w:val="00813510"/>
    <w:rsid w:val="00813921"/>
    <w:rsid w:val="00813DAC"/>
    <w:rsid w:val="0081424C"/>
    <w:rsid w:val="0081461D"/>
    <w:rsid w:val="00814A1D"/>
    <w:rsid w:val="00814E81"/>
    <w:rsid w:val="00815295"/>
    <w:rsid w:val="008152C5"/>
    <w:rsid w:val="008161DB"/>
    <w:rsid w:val="00816273"/>
    <w:rsid w:val="00816A27"/>
    <w:rsid w:val="00816C92"/>
    <w:rsid w:val="008172A4"/>
    <w:rsid w:val="00817323"/>
    <w:rsid w:val="00817445"/>
    <w:rsid w:val="00817CCD"/>
    <w:rsid w:val="00817F2F"/>
    <w:rsid w:val="00820381"/>
    <w:rsid w:val="0082060C"/>
    <w:rsid w:val="0082066C"/>
    <w:rsid w:val="00820EF6"/>
    <w:rsid w:val="008219B7"/>
    <w:rsid w:val="00821B3C"/>
    <w:rsid w:val="00821B70"/>
    <w:rsid w:val="00821D8A"/>
    <w:rsid w:val="0082208D"/>
    <w:rsid w:val="008222FC"/>
    <w:rsid w:val="00822946"/>
    <w:rsid w:val="008229FD"/>
    <w:rsid w:val="00823076"/>
    <w:rsid w:val="008230A8"/>
    <w:rsid w:val="00823552"/>
    <w:rsid w:val="008235D7"/>
    <w:rsid w:val="00823669"/>
    <w:rsid w:val="0082370E"/>
    <w:rsid w:val="00823888"/>
    <w:rsid w:val="00823D46"/>
    <w:rsid w:val="00823D92"/>
    <w:rsid w:val="00823FBE"/>
    <w:rsid w:val="008248AF"/>
    <w:rsid w:val="0082495F"/>
    <w:rsid w:val="00824C72"/>
    <w:rsid w:val="00824CB3"/>
    <w:rsid w:val="00825B0B"/>
    <w:rsid w:val="00825F56"/>
    <w:rsid w:val="00826AEB"/>
    <w:rsid w:val="00826E4A"/>
    <w:rsid w:val="00827265"/>
    <w:rsid w:val="00827ACF"/>
    <w:rsid w:val="00827DEE"/>
    <w:rsid w:val="00827E78"/>
    <w:rsid w:val="00830B6F"/>
    <w:rsid w:val="008310D8"/>
    <w:rsid w:val="00831651"/>
    <w:rsid w:val="008316CA"/>
    <w:rsid w:val="00831EB0"/>
    <w:rsid w:val="00831F61"/>
    <w:rsid w:val="0083218E"/>
    <w:rsid w:val="00832273"/>
    <w:rsid w:val="00833547"/>
    <w:rsid w:val="008335BF"/>
    <w:rsid w:val="00833A92"/>
    <w:rsid w:val="00833C27"/>
    <w:rsid w:val="00833D2F"/>
    <w:rsid w:val="00835159"/>
    <w:rsid w:val="00835408"/>
    <w:rsid w:val="00835D7F"/>
    <w:rsid w:val="00835F20"/>
    <w:rsid w:val="008360BD"/>
    <w:rsid w:val="00836C15"/>
    <w:rsid w:val="00837570"/>
    <w:rsid w:val="00837716"/>
    <w:rsid w:val="00837CDA"/>
    <w:rsid w:val="008404EA"/>
    <w:rsid w:val="0084059B"/>
    <w:rsid w:val="008414DC"/>
    <w:rsid w:val="00841B4C"/>
    <w:rsid w:val="00841DFF"/>
    <w:rsid w:val="00841F67"/>
    <w:rsid w:val="00841F68"/>
    <w:rsid w:val="00841F93"/>
    <w:rsid w:val="008423E7"/>
    <w:rsid w:val="0084242F"/>
    <w:rsid w:val="0084292D"/>
    <w:rsid w:val="00842C80"/>
    <w:rsid w:val="00842D1D"/>
    <w:rsid w:val="00842E10"/>
    <w:rsid w:val="008431CE"/>
    <w:rsid w:val="008437B9"/>
    <w:rsid w:val="00843EF4"/>
    <w:rsid w:val="00844927"/>
    <w:rsid w:val="00844A42"/>
    <w:rsid w:val="0084588E"/>
    <w:rsid w:val="00846435"/>
    <w:rsid w:val="00846741"/>
    <w:rsid w:val="008468D8"/>
    <w:rsid w:val="00846B6F"/>
    <w:rsid w:val="00846B7D"/>
    <w:rsid w:val="00846BDD"/>
    <w:rsid w:val="0084717C"/>
    <w:rsid w:val="00847266"/>
    <w:rsid w:val="00847503"/>
    <w:rsid w:val="008476C4"/>
    <w:rsid w:val="0084799C"/>
    <w:rsid w:val="00847A59"/>
    <w:rsid w:val="00847E09"/>
    <w:rsid w:val="008504B0"/>
    <w:rsid w:val="00851AA4"/>
    <w:rsid w:val="00851B0F"/>
    <w:rsid w:val="00851E42"/>
    <w:rsid w:val="00853005"/>
    <w:rsid w:val="00853496"/>
    <w:rsid w:val="008534D2"/>
    <w:rsid w:val="00853571"/>
    <w:rsid w:val="00853CD3"/>
    <w:rsid w:val="00855291"/>
    <w:rsid w:val="008562FB"/>
    <w:rsid w:val="00856419"/>
    <w:rsid w:val="00856437"/>
    <w:rsid w:val="00856AA9"/>
    <w:rsid w:val="00857212"/>
    <w:rsid w:val="0085758E"/>
    <w:rsid w:val="008577F4"/>
    <w:rsid w:val="00857C7E"/>
    <w:rsid w:val="00857DEF"/>
    <w:rsid w:val="00857F82"/>
    <w:rsid w:val="00860033"/>
    <w:rsid w:val="008601E7"/>
    <w:rsid w:val="00860452"/>
    <w:rsid w:val="00860540"/>
    <w:rsid w:val="00860854"/>
    <w:rsid w:val="00860C78"/>
    <w:rsid w:val="008610C8"/>
    <w:rsid w:val="00861732"/>
    <w:rsid w:val="00861ACB"/>
    <w:rsid w:val="00861AFC"/>
    <w:rsid w:val="00861B84"/>
    <w:rsid w:val="00861D20"/>
    <w:rsid w:val="008621DF"/>
    <w:rsid w:val="00862510"/>
    <w:rsid w:val="00862B4D"/>
    <w:rsid w:val="00863017"/>
    <w:rsid w:val="0086304C"/>
    <w:rsid w:val="0086323A"/>
    <w:rsid w:val="0086364E"/>
    <w:rsid w:val="00863849"/>
    <w:rsid w:val="00863A82"/>
    <w:rsid w:val="008644F9"/>
    <w:rsid w:val="0086593B"/>
    <w:rsid w:val="00865A19"/>
    <w:rsid w:val="008662AC"/>
    <w:rsid w:val="0086654D"/>
    <w:rsid w:val="008665E8"/>
    <w:rsid w:val="00866915"/>
    <w:rsid w:val="00866EDE"/>
    <w:rsid w:val="00866FFC"/>
    <w:rsid w:val="00867073"/>
    <w:rsid w:val="00867509"/>
    <w:rsid w:val="00867528"/>
    <w:rsid w:val="00867707"/>
    <w:rsid w:val="0086788C"/>
    <w:rsid w:val="00867ED4"/>
    <w:rsid w:val="0087048C"/>
    <w:rsid w:val="008707B5"/>
    <w:rsid w:val="0087116C"/>
    <w:rsid w:val="00871B8E"/>
    <w:rsid w:val="00871F3A"/>
    <w:rsid w:val="00872007"/>
    <w:rsid w:val="008735AC"/>
    <w:rsid w:val="0087471B"/>
    <w:rsid w:val="00874D89"/>
    <w:rsid w:val="00875131"/>
    <w:rsid w:val="008752C9"/>
    <w:rsid w:val="0087547E"/>
    <w:rsid w:val="00875607"/>
    <w:rsid w:val="0087579D"/>
    <w:rsid w:val="00875AA5"/>
    <w:rsid w:val="00875DDF"/>
    <w:rsid w:val="00876A03"/>
    <w:rsid w:val="00876AED"/>
    <w:rsid w:val="00876BAD"/>
    <w:rsid w:val="00876BC7"/>
    <w:rsid w:val="00876C76"/>
    <w:rsid w:val="00877500"/>
    <w:rsid w:val="00877A04"/>
    <w:rsid w:val="00877CB3"/>
    <w:rsid w:val="00877F72"/>
    <w:rsid w:val="0088044E"/>
    <w:rsid w:val="00880514"/>
    <w:rsid w:val="008817B7"/>
    <w:rsid w:val="008817F3"/>
    <w:rsid w:val="00881BE1"/>
    <w:rsid w:val="00881DFC"/>
    <w:rsid w:val="00881E55"/>
    <w:rsid w:val="00881F41"/>
    <w:rsid w:val="00881F55"/>
    <w:rsid w:val="008821D3"/>
    <w:rsid w:val="008822E2"/>
    <w:rsid w:val="00882ADE"/>
    <w:rsid w:val="00882F4A"/>
    <w:rsid w:val="008836BB"/>
    <w:rsid w:val="00883C6E"/>
    <w:rsid w:val="00883D56"/>
    <w:rsid w:val="00883DFA"/>
    <w:rsid w:val="008841DA"/>
    <w:rsid w:val="00884268"/>
    <w:rsid w:val="00885320"/>
    <w:rsid w:val="008853E8"/>
    <w:rsid w:val="008857CA"/>
    <w:rsid w:val="00885A8F"/>
    <w:rsid w:val="00885D56"/>
    <w:rsid w:val="0088643E"/>
    <w:rsid w:val="00886731"/>
    <w:rsid w:val="0088682B"/>
    <w:rsid w:val="00886B62"/>
    <w:rsid w:val="00886BC5"/>
    <w:rsid w:val="00886D06"/>
    <w:rsid w:val="00887048"/>
    <w:rsid w:val="008871B6"/>
    <w:rsid w:val="00887563"/>
    <w:rsid w:val="00887634"/>
    <w:rsid w:val="0088790E"/>
    <w:rsid w:val="008903C2"/>
    <w:rsid w:val="008907BE"/>
    <w:rsid w:val="00890978"/>
    <w:rsid w:val="00890E00"/>
    <w:rsid w:val="00891166"/>
    <w:rsid w:val="008914D3"/>
    <w:rsid w:val="008918D8"/>
    <w:rsid w:val="00891963"/>
    <w:rsid w:val="00891D90"/>
    <w:rsid w:val="0089205F"/>
    <w:rsid w:val="00892C48"/>
    <w:rsid w:val="00892D6C"/>
    <w:rsid w:val="00893A25"/>
    <w:rsid w:val="00893CCF"/>
    <w:rsid w:val="0089404B"/>
    <w:rsid w:val="008940E9"/>
    <w:rsid w:val="008948C4"/>
    <w:rsid w:val="00894991"/>
    <w:rsid w:val="00895E02"/>
    <w:rsid w:val="00895E9F"/>
    <w:rsid w:val="00895EA7"/>
    <w:rsid w:val="00896252"/>
    <w:rsid w:val="008962E0"/>
    <w:rsid w:val="0089632F"/>
    <w:rsid w:val="008963BC"/>
    <w:rsid w:val="008965C1"/>
    <w:rsid w:val="008967F1"/>
    <w:rsid w:val="00896B1E"/>
    <w:rsid w:val="0089710D"/>
    <w:rsid w:val="008972CC"/>
    <w:rsid w:val="00897B5C"/>
    <w:rsid w:val="00897CA2"/>
    <w:rsid w:val="00897FA8"/>
    <w:rsid w:val="008A0FC4"/>
    <w:rsid w:val="008A18AC"/>
    <w:rsid w:val="008A18AE"/>
    <w:rsid w:val="008A18B7"/>
    <w:rsid w:val="008A1AB0"/>
    <w:rsid w:val="008A1C7A"/>
    <w:rsid w:val="008A1D08"/>
    <w:rsid w:val="008A232D"/>
    <w:rsid w:val="008A24A3"/>
    <w:rsid w:val="008A2536"/>
    <w:rsid w:val="008A317E"/>
    <w:rsid w:val="008A3AFF"/>
    <w:rsid w:val="008A43D9"/>
    <w:rsid w:val="008A48F3"/>
    <w:rsid w:val="008A4CCF"/>
    <w:rsid w:val="008A4DE9"/>
    <w:rsid w:val="008A54A4"/>
    <w:rsid w:val="008A5ABB"/>
    <w:rsid w:val="008A5E6E"/>
    <w:rsid w:val="008A5FAE"/>
    <w:rsid w:val="008A6098"/>
    <w:rsid w:val="008A60CC"/>
    <w:rsid w:val="008A64D1"/>
    <w:rsid w:val="008A66CE"/>
    <w:rsid w:val="008A72D2"/>
    <w:rsid w:val="008A73FA"/>
    <w:rsid w:val="008A77F9"/>
    <w:rsid w:val="008A7B94"/>
    <w:rsid w:val="008A7E61"/>
    <w:rsid w:val="008B0158"/>
    <w:rsid w:val="008B0B0A"/>
    <w:rsid w:val="008B0E9D"/>
    <w:rsid w:val="008B0F31"/>
    <w:rsid w:val="008B1440"/>
    <w:rsid w:val="008B2B16"/>
    <w:rsid w:val="008B2BD6"/>
    <w:rsid w:val="008B385D"/>
    <w:rsid w:val="008B3976"/>
    <w:rsid w:val="008B3EF0"/>
    <w:rsid w:val="008B4158"/>
    <w:rsid w:val="008B44BE"/>
    <w:rsid w:val="008B4C6D"/>
    <w:rsid w:val="008B53E5"/>
    <w:rsid w:val="008B5CB0"/>
    <w:rsid w:val="008B5DDB"/>
    <w:rsid w:val="008B6272"/>
    <w:rsid w:val="008B628C"/>
    <w:rsid w:val="008B63CC"/>
    <w:rsid w:val="008B66DD"/>
    <w:rsid w:val="008B676D"/>
    <w:rsid w:val="008B6FFA"/>
    <w:rsid w:val="008B79B5"/>
    <w:rsid w:val="008C0955"/>
    <w:rsid w:val="008C0C2B"/>
    <w:rsid w:val="008C0CA6"/>
    <w:rsid w:val="008C170F"/>
    <w:rsid w:val="008C1D65"/>
    <w:rsid w:val="008C2340"/>
    <w:rsid w:val="008C2351"/>
    <w:rsid w:val="008C2577"/>
    <w:rsid w:val="008C3439"/>
    <w:rsid w:val="008C3663"/>
    <w:rsid w:val="008C37CD"/>
    <w:rsid w:val="008C42EF"/>
    <w:rsid w:val="008C4670"/>
    <w:rsid w:val="008C4A89"/>
    <w:rsid w:val="008C52CD"/>
    <w:rsid w:val="008C5413"/>
    <w:rsid w:val="008C57F1"/>
    <w:rsid w:val="008C5E1C"/>
    <w:rsid w:val="008C6113"/>
    <w:rsid w:val="008C64DB"/>
    <w:rsid w:val="008C74CA"/>
    <w:rsid w:val="008C7EC3"/>
    <w:rsid w:val="008C7F47"/>
    <w:rsid w:val="008D0B0E"/>
    <w:rsid w:val="008D0B6D"/>
    <w:rsid w:val="008D16EC"/>
    <w:rsid w:val="008D1A5F"/>
    <w:rsid w:val="008D22F8"/>
    <w:rsid w:val="008D240E"/>
    <w:rsid w:val="008D2422"/>
    <w:rsid w:val="008D292B"/>
    <w:rsid w:val="008D2B58"/>
    <w:rsid w:val="008D2CCB"/>
    <w:rsid w:val="008D31D3"/>
    <w:rsid w:val="008D3815"/>
    <w:rsid w:val="008D38D2"/>
    <w:rsid w:val="008D3A7F"/>
    <w:rsid w:val="008D3F04"/>
    <w:rsid w:val="008D4059"/>
    <w:rsid w:val="008D45AF"/>
    <w:rsid w:val="008D491F"/>
    <w:rsid w:val="008D4B81"/>
    <w:rsid w:val="008D4BC1"/>
    <w:rsid w:val="008D501F"/>
    <w:rsid w:val="008D512E"/>
    <w:rsid w:val="008D523C"/>
    <w:rsid w:val="008D53D3"/>
    <w:rsid w:val="008D55B5"/>
    <w:rsid w:val="008D5992"/>
    <w:rsid w:val="008D6017"/>
    <w:rsid w:val="008D608E"/>
    <w:rsid w:val="008D60BC"/>
    <w:rsid w:val="008D6505"/>
    <w:rsid w:val="008D6ED3"/>
    <w:rsid w:val="008D76FE"/>
    <w:rsid w:val="008D7ABE"/>
    <w:rsid w:val="008E00A1"/>
    <w:rsid w:val="008E0CDE"/>
    <w:rsid w:val="008E0F6D"/>
    <w:rsid w:val="008E109D"/>
    <w:rsid w:val="008E1110"/>
    <w:rsid w:val="008E1A39"/>
    <w:rsid w:val="008E1BB1"/>
    <w:rsid w:val="008E1FF5"/>
    <w:rsid w:val="008E204C"/>
    <w:rsid w:val="008E2109"/>
    <w:rsid w:val="008E250B"/>
    <w:rsid w:val="008E260B"/>
    <w:rsid w:val="008E2D06"/>
    <w:rsid w:val="008E420F"/>
    <w:rsid w:val="008E4750"/>
    <w:rsid w:val="008E4D3E"/>
    <w:rsid w:val="008E4D6F"/>
    <w:rsid w:val="008E50CE"/>
    <w:rsid w:val="008E5416"/>
    <w:rsid w:val="008E571C"/>
    <w:rsid w:val="008E5DE6"/>
    <w:rsid w:val="008E5E3F"/>
    <w:rsid w:val="008E6539"/>
    <w:rsid w:val="008E6AF2"/>
    <w:rsid w:val="008E6BAC"/>
    <w:rsid w:val="008E6D07"/>
    <w:rsid w:val="008E6F45"/>
    <w:rsid w:val="008E7AE7"/>
    <w:rsid w:val="008F005E"/>
    <w:rsid w:val="008F024C"/>
    <w:rsid w:val="008F03BE"/>
    <w:rsid w:val="008F03D2"/>
    <w:rsid w:val="008F0AC8"/>
    <w:rsid w:val="008F0C3B"/>
    <w:rsid w:val="008F11EC"/>
    <w:rsid w:val="008F1280"/>
    <w:rsid w:val="008F195D"/>
    <w:rsid w:val="008F1A1F"/>
    <w:rsid w:val="008F1B63"/>
    <w:rsid w:val="008F1CC2"/>
    <w:rsid w:val="008F1E3E"/>
    <w:rsid w:val="008F1FBD"/>
    <w:rsid w:val="008F2503"/>
    <w:rsid w:val="008F286A"/>
    <w:rsid w:val="008F2992"/>
    <w:rsid w:val="008F2B38"/>
    <w:rsid w:val="008F2CA4"/>
    <w:rsid w:val="008F35E9"/>
    <w:rsid w:val="008F3A08"/>
    <w:rsid w:val="008F3CFD"/>
    <w:rsid w:val="008F3E80"/>
    <w:rsid w:val="008F4289"/>
    <w:rsid w:val="008F44A0"/>
    <w:rsid w:val="008F4B49"/>
    <w:rsid w:val="008F4D27"/>
    <w:rsid w:val="008F55A7"/>
    <w:rsid w:val="008F633E"/>
    <w:rsid w:val="008F652E"/>
    <w:rsid w:val="008F683C"/>
    <w:rsid w:val="008F68A5"/>
    <w:rsid w:val="008F6BBA"/>
    <w:rsid w:val="008F6D7A"/>
    <w:rsid w:val="008F7DB6"/>
    <w:rsid w:val="008F7F65"/>
    <w:rsid w:val="00900B37"/>
    <w:rsid w:val="00900BBE"/>
    <w:rsid w:val="00900C98"/>
    <w:rsid w:val="0090110A"/>
    <w:rsid w:val="00901593"/>
    <w:rsid w:val="00901853"/>
    <w:rsid w:val="00901F11"/>
    <w:rsid w:val="00901F5A"/>
    <w:rsid w:val="009023FA"/>
    <w:rsid w:val="00902B98"/>
    <w:rsid w:val="00902FDC"/>
    <w:rsid w:val="00903265"/>
    <w:rsid w:val="00903633"/>
    <w:rsid w:val="00903810"/>
    <w:rsid w:val="00903CC1"/>
    <w:rsid w:val="00903D72"/>
    <w:rsid w:val="00903F40"/>
    <w:rsid w:val="0090401F"/>
    <w:rsid w:val="009040D8"/>
    <w:rsid w:val="0090455E"/>
    <w:rsid w:val="00904816"/>
    <w:rsid w:val="00904900"/>
    <w:rsid w:val="00905AE4"/>
    <w:rsid w:val="00905D23"/>
    <w:rsid w:val="0090653C"/>
    <w:rsid w:val="009069D8"/>
    <w:rsid w:val="009071FF"/>
    <w:rsid w:val="00907913"/>
    <w:rsid w:val="00907EAA"/>
    <w:rsid w:val="009100DF"/>
    <w:rsid w:val="00910178"/>
    <w:rsid w:val="00910814"/>
    <w:rsid w:val="00910824"/>
    <w:rsid w:val="00910B7B"/>
    <w:rsid w:val="0091149B"/>
    <w:rsid w:val="00911867"/>
    <w:rsid w:val="00911C00"/>
    <w:rsid w:val="00911E1B"/>
    <w:rsid w:val="00911F95"/>
    <w:rsid w:val="00912018"/>
    <w:rsid w:val="009123B8"/>
    <w:rsid w:val="009127A7"/>
    <w:rsid w:val="00912F91"/>
    <w:rsid w:val="0091308B"/>
    <w:rsid w:val="00913F34"/>
    <w:rsid w:val="00914301"/>
    <w:rsid w:val="00915302"/>
    <w:rsid w:val="00915435"/>
    <w:rsid w:val="0091545A"/>
    <w:rsid w:val="009154C3"/>
    <w:rsid w:val="00915AB4"/>
    <w:rsid w:val="00915F9A"/>
    <w:rsid w:val="009160BF"/>
    <w:rsid w:val="009164A5"/>
    <w:rsid w:val="009167EE"/>
    <w:rsid w:val="00916930"/>
    <w:rsid w:val="00916CA4"/>
    <w:rsid w:val="0091710D"/>
    <w:rsid w:val="009178BA"/>
    <w:rsid w:val="0091794B"/>
    <w:rsid w:val="00917B37"/>
    <w:rsid w:val="00920909"/>
    <w:rsid w:val="00921B6C"/>
    <w:rsid w:val="009224E8"/>
    <w:rsid w:val="00922A89"/>
    <w:rsid w:val="009242E6"/>
    <w:rsid w:val="00924F9C"/>
    <w:rsid w:val="009251C6"/>
    <w:rsid w:val="009252E8"/>
    <w:rsid w:val="00925911"/>
    <w:rsid w:val="00925B28"/>
    <w:rsid w:val="009265D0"/>
    <w:rsid w:val="00926F6A"/>
    <w:rsid w:val="0092718C"/>
    <w:rsid w:val="0092724E"/>
    <w:rsid w:val="00930452"/>
    <w:rsid w:val="009304FA"/>
    <w:rsid w:val="00930728"/>
    <w:rsid w:val="0093091C"/>
    <w:rsid w:val="00930B65"/>
    <w:rsid w:val="00930C55"/>
    <w:rsid w:val="00930EE7"/>
    <w:rsid w:val="00931163"/>
    <w:rsid w:val="00931B3B"/>
    <w:rsid w:val="00931C04"/>
    <w:rsid w:val="00931F3C"/>
    <w:rsid w:val="00932778"/>
    <w:rsid w:val="00932B92"/>
    <w:rsid w:val="00932CB0"/>
    <w:rsid w:val="00932D03"/>
    <w:rsid w:val="009334C4"/>
    <w:rsid w:val="009335FB"/>
    <w:rsid w:val="00933E33"/>
    <w:rsid w:val="00934943"/>
    <w:rsid w:val="00934A90"/>
    <w:rsid w:val="00934B6B"/>
    <w:rsid w:val="00934BCF"/>
    <w:rsid w:val="00934BDE"/>
    <w:rsid w:val="00934C89"/>
    <w:rsid w:val="00934D1C"/>
    <w:rsid w:val="009351A8"/>
    <w:rsid w:val="00935841"/>
    <w:rsid w:val="00935848"/>
    <w:rsid w:val="00935D05"/>
    <w:rsid w:val="00935DF3"/>
    <w:rsid w:val="009364A4"/>
    <w:rsid w:val="00936B51"/>
    <w:rsid w:val="00937286"/>
    <w:rsid w:val="009373AD"/>
    <w:rsid w:val="00937544"/>
    <w:rsid w:val="00937B12"/>
    <w:rsid w:val="00937B34"/>
    <w:rsid w:val="009402C8"/>
    <w:rsid w:val="00940379"/>
    <w:rsid w:val="0094047B"/>
    <w:rsid w:val="0094083E"/>
    <w:rsid w:val="00940A55"/>
    <w:rsid w:val="00940C18"/>
    <w:rsid w:val="00940F24"/>
    <w:rsid w:val="00940FFE"/>
    <w:rsid w:val="00941078"/>
    <w:rsid w:val="0094161D"/>
    <w:rsid w:val="00942174"/>
    <w:rsid w:val="009421F8"/>
    <w:rsid w:val="0094265A"/>
    <w:rsid w:val="009427BE"/>
    <w:rsid w:val="009429B6"/>
    <w:rsid w:val="00942FC2"/>
    <w:rsid w:val="00943BA4"/>
    <w:rsid w:val="00943EFD"/>
    <w:rsid w:val="009441D7"/>
    <w:rsid w:val="0094426B"/>
    <w:rsid w:val="0094431B"/>
    <w:rsid w:val="0094446B"/>
    <w:rsid w:val="009445B9"/>
    <w:rsid w:val="0094461A"/>
    <w:rsid w:val="00944830"/>
    <w:rsid w:val="00944AFA"/>
    <w:rsid w:val="00945745"/>
    <w:rsid w:val="009458AB"/>
    <w:rsid w:val="00945B55"/>
    <w:rsid w:val="00945D5F"/>
    <w:rsid w:val="00946370"/>
    <w:rsid w:val="009463CC"/>
    <w:rsid w:val="0094690D"/>
    <w:rsid w:val="00946AA6"/>
    <w:rsid w:val="00947204"/>
    <w:rsid w:val="009474EC"/>
    <w:rsid w:val="00947B18"/>
    <w:rsid w:val="00950232"/>
    <w:rsid w:val="00950BFE"/>
    <w:rsid w:val="00951370"/>
    <w:rsid w:val="00951823"/>
    <w:rsid w:val="00951CF1"/>
    <w:rsid w:val="00952632"/>
    <w:rsid w:val="00952646"/>
    <w:rsid w:val="0095287F"/>
    <w:rsid w:val="009528A9"/>
    <w:rsid w:val="0095341F"/>
    <w:rsid w:val="00953788"/>
    <w:rsid w:val="009539F1"/>
    <w:rsid w:val="009542C8"/>
    <w:rsid w:val="00954943"/>
    <w:rsid w:val="00954DBC"/>
    <w:rsid w:val="0095562B"/>
    <w:rsid w:val="00955841"/>
    <w:rsid w:val="00955D7E"/>
    <w:rsid w:val="009566E0"/>
    <w:rsid w:val="00956EDE"/>
    <w:rsid w:val="00957085"/>
    <w:rsid w:val="00957277"/>
    <w:rsid w:val="009572B9"/>
    <w:rsid w:val="00957938"/>
    <w:rsid w:val="00960142"/>
    <w:rsid w:val="00960BC1"/>
    <w:rsid w:val="009611A3"/>
    <w:rsid w:val="00961785"/>
    <w:rsid w:val="009617B5"/>
    <w:rsid w:val="009624DC"/>
    <w:rsid w:val="009624FF"/>
    <w:rsid w:val="00962592"/>
    <w:rsid w:val="009625F6"/>
    <w:rsid w:val="00962ACC"/>
    <w:rsid w:val="00962F03"/>
    <w:rsid w:val="009630FD"/>
    <w:rsid w:val="00963C1F"/>
    <w:rsid w:val="00963D80"/>
    <w:rsid w:val="00963EDB"/>
    <w:rsid w:val="00964387"/>
    <w:rsid w:val="00964A84"/>
    <w:rsid w:val="0096505C"/>
    <w:rsid w:val="0096528B"/>
    <w:rsid w:val="009652D1"/>
    <w:rsid w:val="00965503"/>
    <w:rsid w:val="00965B5B"/>
    <w:rsid w:val="00965EEE"/>
    <w:rsid w:val="0096602F"/>
    <w:rsid w:val="0096632A"/>
    <w:rsid w:val="0096663D"/>
    <w:rsid w:val="00966B78"/>
    <w:rsid w:val="00966BE6"/>
    <w:rsid w:val="00966CC0"/>
    <w:rsid w:val="00966DB8"/>
    <w:rsid w:val="00966DC0"/>
    <w:rsid w:val="00967148"/>
    <w:rsid w:val="00967842"/>
    <w:rsid w:val="00967D08"/>
    <w:rsid w:val="00970F1F"/>
    <w:rsid w:val="009713DB"/>
    <w:rsid w:val="0097155F"/>
    <w:rsid w:val="009716B3"/>
    <w:rsid w:val="00971A1A"/>
    <w:rsid w:val="00971FB5"/>
    <w:rsid w:val="00972B42"/>
    <w:rsid w:val="00972DA7"/>
    <w:rsid w:val="00972E26"/>
    <w:rsid w:val="00973874"/>
    <w:rsid w:val="00973B1A"/>
    <w:rsid w:val="00973EB0"/>
    <w:rsid w:val="009740BD"/>
    <w:rsid w:val="00974152"/>
    <w:rsid w:val="00974274"/>
    <w:rsid w:val="0097456C"/>
    <w:rsid w:val="00974A71"/>
    <w:rsid w:val="00974D61"/>
    <w:rsid w:val="00975A5A"/>
    <w:rsid w:val="00975B3E"/>
    <w:rsid w:val="00975C87"/>
    <w:rsid w:val="00975D57"/>
    <w:rsid w:val="00975FC0"/>
    <w:rsid w:val="00976392"/>
    <w:rsid w:val="009765D0"/>
    <w:rsid w:val="009766AE"/>
    <w:rsid w:val="00976A96"/>
    <w:rsid w:val="00976EBD"/>
    <w:rsid w:val="00977022"/>
    <w:rsid w:val="00977112"/>
    <w:rsid w:val="009775F0"/>
    <w:rsid w:val="0097768C"/>
    <w:rsid w:val="00977872"/>
    <w:rsid w:val="00977ABD"/>
    <w:rsid w:val="00977D53"/>
    <w:rsid w:val="00980758"/>
    <w:rsid w:val="0098186C"/>
    <w:rsid w:val="00981A7B"/>
    <w:rsid w:val="00981AF7"/>
    <w:rsid w:val="00981EF3"/>
    <w:rsid w:val="00982A32"/>
    <w:rsid w:val="00982E99"/>
    <w:rsid w:val="009832EE"/>
    <w:rsid w:val="00983564"/>
    <w:rsid w:val="009835B2"/>
    <w:rsid w:val="009838E8"/>
    <w:rsid w:val="00983A13"/>
    <w:rsid w:val="00983DD0"/>
    <w:rsid w:val="0098494F"/>
    <w:rsid w:val="00986499"/>
    <w:rsid w:val="009869B3"/>
    <w:rsid w:val="00986E1C"/>
    <w:rsid w:val="009872DD"/>
    <w:rsid w:val="009908B4"/>
    <w:rsid w:val="00990F89"/>
    <w:rsid w:val="00991BE2"/>
    <w:rsid w:val="00991C84"/>
    <w:rsid w:val="009921F2"/>
    <w:rsid w:val="0099253D"/>
    <w:rsid w:val="00992784"/>
    <w:rsid w:val="00992F46"/>
    <w:rsid w:val="00992FA3"/>
    <w:rsid w:val="00993306"/>
    <w:rsid w:val="009933D2"/>
    <w:rsid w:val="00993C71"/>
    <w:rsid w:val="00994278"/>
    <w:rsid w:val="00994BD5"/>
    <w:rsid w:val="0099594D"/>
    <w:rsid w:val="00995B01"/>
    <w:rsid w:val="00995E6D"/>
    <w:rsid w:val="009960E7"/>
    <w:rsid w:val="00996229"/>
    <w:rsid w:val="00996A19"/>
    <w:rsid w:val="0099724F"/>
    <w:rsid w:val="009977A0"/>
    <w:rsid w:val="009979B8"/>
    <w:rsid w:val="00997E19"/>
    <w:rsid w:val="00997F68"/>
    <w:rsid w:val="009A0466"/>
    <w:rsid w:val="009A06FC"/>
    <w:rsid w:val="009A0AFA"/>
    <w:rsid w:val="009A0C55"/>
    <w:rsid w:val="009A0E19"/>
    <w:rsid w:val="009A0EDD"/>
    <w:rsid w:val="009A1E0E"/>
    <w:rsid w:val="009A2218"/>
    <w:rsid w:val="009A227D"/>
    <w:rsid w:val="009A2B38"/>
    <w:rsid w:val="009A3FC5"/>
    <w:rsid w:val="009A4099"/>
    <w:rsid w:val="009A41D0"/>
    <w:rsid w:val="009A49AF"/>
    <w:rsid w:val="009A5659"/>
    <w:rsid w:val="009A5667"/>
    <w:rsid w:val="009A5C8C"/>
    <w:rsid w:val="009A6071"/>
    <w:rsid w:val="009A6179"/>
    <w:rsid w:val="009A6630"/>
    <w:rsid w:val="009A6B44"/>
    <w:rsid w:val="009A723F"/>
    <w:rsid w:val="009A7906"/>
    <w:rsid w:val="009A7B1F"/>
    <w:rsid w:val="009B0848"/>
    <w:rsid w:val="009B096F"/>
    <w:rsid w:val="009B0FDB"/>
    <w:rsid w:val="009B1092"/>
    <w:rsid w:val="009B118C"/>
    <w:rsid w:val="009B1759"/>
    <w:rsid w:val="009B175A"/>
    <w:rsid w:val="009B1867"/>
    <w:rsid w:val="009B1924"/>
    <w:rsid w:val="009B1ABB"/>
    <w:rsid w:val="009B1B1E"/>
    <w:rsid w:val="009B1F57"/>
    <w:rsid w:val="009B30F7"/>
    <w:rsid w:val="009B3691"/>
    <w:rsid w:val="009B3847"/>
    <w:rsid w:val="009B3EB0"/>
    <w:rsid w:val="009B4346"/>
    <w:rsid w:val="009B4569"/>
    <w:rsid w:val="009B4F4F"/>
    <w:rsid w:val="009B55A2"/>
    <w:rsid w:val="009B5EA7"/>
    <w:rsid w:val="009B638B"/>
    <w:rsid w:val="009B6D82"/>
    <w:rsid w:val="009C01C5"/>
    <w:rsid w:val="009C03FE"/>
    <w:rsid w:val="009C08A8"/>
    <w:rsid w:val="009C12A7"/>
    <w:rsid w:val="009C12D7"/>
    <w:rsid w:val="009C22C8"/>
    <w:rsid w:val="009C248A"/>
    <w:rsid w:val="009C2569"/>
    <w:rsid w:val="009C322A"/>
    <w:rsid w:val="009C3BFA"/>
    <w:rsid w:val="009C3D6E"/>
    <w:rsid w:val="009C3EBA"/>
    <w:rsid w:val="009C3F96"/>
    <w:rsid w:val="009C4071"/>
    <w:rsid w:val="009C42E3"/>
    <w:rsid w:val="009C473C"/>
    <w:rsid w:val="009C6840"/>
    <w:rsid w:val="009C6D07"/>
    <w:rsid w:val="009D074F"/>
    <w:rsid w:val="009D0CE8"/>
    <w:rsid w:val="009D0D9B"/>
    <w:rsid w:val="009D1287"/>
    <w:rsid w:val="009D188D"/>
    <w:rsid w:val="009D1A1D"/>
    <w:rsid w:val="009D1E0B"/>
    <w:rsid w:val="009D218D"/>
    <w:rsid w:val="009D2531"/>
    <w:rsid w:val="009D2719"/>
    <w:rsid w:val="009D2833"/>
    <w:rsid w:val="009D2FB4"/>
    <w:rsid w:val="009D3ACB"/>
    <w:rsid w:val="009D3DF0"/>
    <w:rsid w:val="009D4147"/>
    <w:rsid w:val="009D49D9"/>
    <w:rsid w:val="009D4FA6"/>
    <w:rsid w:val="009D56C2"/>
    <w:rsid w:val="009D5D4E"/>
    <w:rsid w:val="009D5E5E"/>
    <w:rsid w:val="009D635E"/>
    <w:rsid w:val="009D657A"/>
    <w:rsid w:val="009D68CB"/>
    <w:rsid w:val="009D6AB4"/>
    <w:rsid w:val="009E00FD"/>
    <w:rsid w:val="009E0F31"/>
    <w:rsid w:val="009E15FD"/>
    <w:rsid w:val="009E1680"/>
    <w:rsid w:val="009E1A42"/>
    <w:rsid w:val="009E1EF0"/>
    <w:rsid w:val="009E2537"/>
    <w:rsid w:val="009E2EEE"/>
    <w:rsid w:val="009E35EB"/>
    <w:rsid w:val="009E36D3"/>
    <w:rsid w:val="009E3932"/>
    <w:rsid w:val="009E3BF7"/>
    <w:rsid w:val="009E3C84"/>
    <w:rsid w:val="009E4907"/>
    <w:rsid w:val="009E495E"/>
    <w:rsid w:val="009E4BB7"/>
    <w:rsid w:val="009E4EDF"/>
    <w:rsid w:val="009E50B5"/>
    <w:rsid w:val="009E524E"/>
    <w:rsid w:val="009E5D4E"/>
    <w:rsid w:val="009E601B"/>
    <w:rsid w:val="009E64CE"/>
    <w:rsid w:val="009E715C"/>
    <w:rsid w:val="009E7B88"/>
    <w:rsid w:val="009E7F07"/>
    <w:rsid w:val="009E7F92"/>
    <w:rsid w:val="009F0651"/>
    <w:rsid w:val="009F077F"/>
    <w:rsid w:val="009F0A20"/>
    <w:rsid w:val="009F0A2C"/>
    <w:rsid w:val="009F0C60"/>
    <w:rsid w:val="009F14C8"/>
    <w:rsid w:val="009F219A"/>
    <w:rsid w:val="009F2C63"/>
    <w:rsid w:val="009F3513"/>
    <w:rsid w:val="009F3655"/>
    <w:rsid w:val="009F37C7"/>
    <w:rsid w:val="009F3EF8"/>
    <w:rsid w:val="009F3F8B"/>
    <w:rsid w:val="009F409A"/>
    <w:rsid w:val="009F4211"/>
    <w:rsid w:val="009F497A"/>
    <w:rsid w:val="009F5298"/>
    <w:rsid w:val="009F53E4"/>
    <w:rsid w:val="009F5442"/>
    <w:rsid w:val="009F5478"/>
    <w:rsid w:val="009F5A77"/>
    <w:rsid w:val="009F5BEB"/>
    <w:rsid w:val="009F61E7"/>
    <w:rsid w:val="009F7672"/>
    <w:rsid w:val="009F77A5"/>
    <w:rsid w:val="009F796C"/>
    <w:rsid w:val="009F7B46"/>
    <w:rsid w:val="00A00720"/>
    <w:rsid w:val="00A00804"/>
    <w:rsid w:val="00A01273"/>
    <w:rsid w:val="00A0127E"/>
    <w:rsid w:val="00A02157"/>
    <w:rsid w:val="00A02C8F"/>
    <w:rsid w:val="00A03131"/>
    <w:rsid w:val="00A0399E"/>
    <w:rsid w:val="00A03AA9"/>
    <w:rsid w:val="00A03B66"/>
    <w:rsid w:val="00A03D59"/>
    <w:rsid w:val="00A03EBF"/>
    <w:rsid w:val="00A04545"/>
    <w:rsid w:val="00A0495B"/>
    <w:rsid w:val="00A04E0F"/>
    <w:rsid w:val="00A05034"/>
    <w:rsid w:val="00A050EE"/>
    <w:rsid w:val="00A055E8"/>
    <w:rsid w:val="00A05FE7"/>
    <w:rsid w:val="00A06A51"/>
    <w:rsid w:val="00A07351"/>
    <w:rsid w:val="00A07C29"/>
    <w:rsid w:val="00A07E5E"/>
    <w:rsid w:val="00A106DB"/>
    <w:rsid w:val="00A10705"/>
    <w:rsid w:val="00A107F0"/>
    <w:rsid w:val="00A108BE"/>
    <w:rsid w:val="00A10953"/>
    <w:rsid w:val="00A10ACC"/>
    <w:rsid w:val="00A10ADC"/>
    <w:rsid w:val="00A111CC"/>
    <w:rsid w:val="00A11384"/>
    <w:rsid w:val="00A1161F"/>
    <w:rsid w:val="00A1164B"/>
    <w:rsid w:val="00A11BA3"/>
    <w:rsid w:val="00A11D75"/>
    <w:rsid w:val="00A12FA4"/>
    <w:rsid w:val="00A132C0"/>
    <w:rsid w:val="00A13CEC"/>
    <w:rsid w:val="00A14686"/>
    <w:rsid w:val="00A14B13"/>
    <w:rsid w:val="00A14C80"/>
    <w:rsid w:val="00A15061"/>
    <w:rsid w:val="00A154ED"/>
    <w:rsid w:val="00A15C8F"/>
    <w:rsid w:val="00A165AC"/>
    <w:rsid w:val="00A16734"/>
    <w:rsid w:val="00A16A6B"/>
    <w:rsid w:val="00A16CA1"/>
    <w:rsid w:val="00A172A2"/>
    <w:rsid w:val="00A176FA"/>
    <w:rsid w:val="00A176FE"/>
    <w:rsid w:val="00A17829"/>
    <w:rsid w:val="00A17B11"/>
    <w:rsid w:val="00A17D6C"/>
    <w:rsid w:val="00A20583"/>
    <w:rsid w:val="00A215CB"/>
    <w:rsid w:val="00A21B56"/>
    <w:rsid w:val="00A21CAD"/>
    <w:rsid w:val="00A2256A"/>
    <w:rsid w:val="00A2265A"/>
    <w:rsid w:val="00A24350"/>
    <w:rsid w:val="00A24A1B"/>
    <w:rsid w:val="00A24A60"/>
    <w:rsid w:val="00A24C0F"/>
    <w:rsid w:val="00A24C39"/>
    <w:rsid w:val="00A25296"/>
    <w:rsid w:val="00A25815"/>
    <w:rsid w:val="00A26266"/>
    <w:rsid w:val="00A263FF"/>
    <w:rsid w:val="00A26FDE"/>
    <w:rsid w:val="00A26FFC"/>
    <w:rsid w:val="00A27A00"/>
    <w:rsid w:val="00A27F00"/>
    <w:rsid w:val="00A27F70"/>
    <w:rsid w:val="00A3004F"/>
    <w:rsid w:val="00A31191"/>
    <w:rsid w:val="00A3151C"/>
    <w:rsid w:val="00A32489"/>
    <w:rsid w:val="00A33202"/>
    <w:rsid w:val="00A3354B"/>
    <w:rsid w:val="00A3397C"/>
    <w:rsid w:val="00A33D60"/>
    <w:rsid w:val="00A34673"/>
    <w:rsid w:val="00A34E8A"/>
    <w:rsid w:val="00A354AB"/>
    <w:rsid w:val="00A354DF"/>
    <w:rsid w:val="00A35D60"/>
    <w:rsid w:val="00A35EA9"/>
    <w:rsid w:val="00A35F22"/>
    <w:rsid w:val="00A36178"/>
    <w:rsid w:val="00A36185"/>
    <w:rsid w:val="00A3658F"/>
    <w:rsid w:val="00A3664D"/>
    <w:rsid w:val="00A36913"/>
    <w:rsid w:val="00A3692D"/>
    <w:rsid w:val="00A36A8C"/>
    <w:rsid w:val="00A374DA"/>
    <w:rsid w:val="00A37F18"/>
    <w:rsid w:val="00A403F8"/>
    <w:rsid w:val="00A40C39"/>
    <w:rsid w:val="00A41585"/>
    <w:rsid w:val="00A41841"/>
    <w:rsid w:val="00A419F1"/>
    <w:rsid w:val="00A41CD2"/>
    <w:rsid w:val="00A41DB2"/>
    <w:rsid w:val="00A42253"/>
    <w:rsid w:val="00A423CB"/>
    <w:rsid w:val="00A424DC"/>
    <w:rsid w:val="00A42AA4"/>
    <w:rsid w:val="00A42FA8"/>
    <w:rsid w:val="00A43034"/>
    <w:rsid w:val="00A43124"/>
    <w:rsid w:val="00A434CB"/>
    <w:rsid w:val="00A43EA2"/>
    <w:rsid w:val="00A4432F"/>
    <w:rsid w:val="00A4439A"/>
    <w:rsid w:val="00A443EA"/>
    <w:rsid w:val="00A44B5E"/>
    <w:rsid w:val="00A44D68"/>
    <w:rsid w:val="00A45228"/>
    <w:rsid w:val="00A46748"/>
    <w:rsid w:val="00A46B24"/>
    <w:rsid w:val="00A46C08"/>
    <w:rsid w:val="00A46D8B"/>
    <w:rsid w:val="00A47188"/>
    <w:rsid w:val="00A47300"/>
    <w:rsid w:val="00A47342"/>
    <w:rsid w:val="00A476C0"/>
    <w:rsid w:val="00A47DF9"/>
    <w:rsid w:val="00A503CD"/>
    <w:rsid w:val="00A5060E"/>
    <w:rsid w:val="00A507EF"/>
    <w:rsid w:val="00A5095D"/>
    <w:rsid w:val="00A50BAF"/>
    <w:rsid w:val="00A50FB2"/>
    <w:rsid w:val="00A51325"/>
    <w:rsid w:val="00A51912"/>
    <w:rsid w:val="00A51B4A"/>
    <w:rsid w:val="00A523B5"/>
    <w:rsid w:val="00A5249A"/>
    <w:rsid w:val="00A5288E"/>
    <w:rsid w:val="00A52B47"/>
    <w:rsid w:val="00A52D5B"/>
    <w:rsid w:val="00A537F5"/>
    <w:rsid w:val="00A53EF0"/>
    <w:rsid w:val="00A54329"/>
    <w:rsid w:val="00A54B03"/>
    <w:rsid w:val="00A5527A"/>
    <w:rsid w:val="00A556C3"/>
    <w:rsid w:val="00A557FC"/>
    <w:rsid w:val="00A564A9"/>
    <w:rsid w:val="00A56634"/>
    <w:rsid w:val="00A56A98"/>
    <w:rsid w:val="00A56AD6"/>
    <w:rsid w:val="00A56B8A"/>
    <w:rsid w:val="00A6057D"/>
    <w:rsid w:val="00A6121C"/>
    <w:rsid w:val="00A614BC"/>
    <w:rsid w:val="00A61684"/>
    <w:rsid w:val="00A61791"/>
    <w:rsid w:val="00A618F1"/>
    <w:rsid w:val="00A61B72"/>
    <w:rsid w:val="00A62340"/>
    <w:rsid w:val="00A62B35"/>
    <w:rsid w:val="00A62E39"/>
    <w:rsid w:val="00A631D1"/>
    <w:rsid w:val="00A63890"/>
    <w:rsid w:val="00A63BF0"/>
    <w:rsid w:val="00A63D52"/>
    <w:rsid w:val="00A63F36"/>
    <w:rsid w:val="00A64187"/>
    <w:rsid w:val="00A642BF"/>
    <w:rsid w:val="00A643A4"/>
    <w:rsid w:val="00A6466F"/>
    <w:rsid w:val="00A65863"/>
    <w:rsid w:val="00A659AC"/>
    <w:rsid w:val="00A66501"/>
    <w:rsid w:val="00A66796"/>
    <w:rsid w:val="00A66E42"/>
    <w:rsid w:val="00A6733F"/>
    <w:rsid w:val="00A676DD"/>
    <w:rsid w:val="00A679B3"/>
    <w:rsid w:val="00A67B2D"/>
    <w:rsid w:val="00A67EB1"/>
    <w:rsid w:val="00A7036E"/>
    <w:rsid w:val="00A709C2"/>
    <w:rsid w:val="00A70E6E"/>
    <w:rsid w:val="00A70FF2"/>
    <w:rsid w:val="00A717CB"/>
    <w:rsid w:val="00A7192B"/>
    <w:rsid w:val="00A71C76"/>
    <w:rsid w:val="00A71D8F"/>
    <w:rsid w:val="00A72128"/>
    <w:rsid w:val="00A7228D"/>
    <w:rsid w:val="00A72933"/>
    <w:rsid w:val="00A72A27"/>
    <w:rsid w:val="00A72ECD"/>
    <w:rsid w:val="00A73118"/>
    <w:rsid w:val="00A73405"/>
    <w:rsid w:val="00A740B3"/>
    <w:rsid w:val="00A74983"/>
    <w:rsid w:val="00A74DF3"/>
    <w:rsid w:val="00A74F41"/>
    <w:rsid w:val="00A750E7"/>
    <w:rsid w:val="00A754AA"/>
    <w:rsid w:val="00A76490"/>
    <w:rsid w:val="00A771C3"/>
    <w:rsid w:val="00A80220"/>
    <w:rsid w:val="00A80EAD"/>
    <w:rsid w:val="00A81020"/>
    <w:rsid w:val="00A81083"/>
    <w:rsid w:val="00A81AF9"/>
    <w:rsid w:val="00A82250"/>
    <w:rsid w:val="00A82BD7"/>
    <w:rsid w:val="00A834A6"/>
    <w:rsid w:val="00A83D2D"/>
    <w:rsid w:val="00A8453B"/>
    <w:rsid w:val="00A84809"/>
    <w:rsid w:val="00A850FB"/>
    <w:rsid w:val="00A8542E"/>
    <w:rsid w:val="00A856B6"/>
    <w:rsid w:val="00A857FE"/>
    <w:rsid w:val="00A85BC6"/>
    <w:rsid w:val="00A85EF3"/>
    <w:rsid w:val="00A85F38"/>
    <w:rsid w:val="00A86027"/>
    <w:rsid w:val="00A8633D"/>
    <w:rsid w:val="00A86868"/>
    <w:rsid w:val="00A86A01"/>
    <w:rsid w:val="00A86DB7"/>
    <w:rsid w:val="00A86DE9"/>
    <w:rsid w:val="00A872E5"/>
    <w:rsid w:val="00A8784E"/>
    <w:rsid w:val="00A87925"/>
    <w:rsid w:val="00A87979"/>
    <w:rsid w:val="00A87B36"/>
    <w:rsid w:val="00A87C9E"/>
    <w:rsid w:val="00A900C8"/>
    <w:rsid w:val="00A903C4"/>
    <w:rsid w:val="00A905F6"/>
    <w:rsid w:val="00A90BC1"/>
    <w:rsid w:val="00A90E25"/>
    <w:rsid w:val="00A91177"/>
    <w:rsid w:val="00A91967"/>
    <w:rsid w:val="00A91CD6"/>
    <w:rsid w:val="00A928F9"/>
    <w:rsid w:val="00A92B3B"/>
    <w:rsid w:val="00A92B44"/>
    <w:rsid w:val="00A931F0"/>
    <w:rsid w:val="00A9337A"/>
    <w:rsid w:val="00A94003"/>
    <w:rsid w:val="00A941B0"/>
    <w:rsid w:val="00A94FB7"/>
    <w:rsid w:val="00A951B1"/>
    <w:rsid w:val="00A95209"/>
    <w:rsid w:val="00A9623F"/>
    <w:rsid w:val="00A96295"/>
    <w:rsid w:val="00A967B9"/>
    <w:rsid w:val="00A96A07"/>
    <w:rsid w:val="00A96A74"/>
    <w:rsid w:val="00A97023"/>
    <w:rsid w:val="00A976A5"/>
    <w:rsid w:val="00A977B0"/>
    <w:rsid w:val="00A97830"/>
    <w:rsid w:val="00A97919"/>
    <w:rsid w:val="00A97D46"/>
    <w:rsid w:val="00A97DDB"/>
    <w:rsid w:val="00AA0143"/>
    <w:rsid w:val="00AA02B1"/>
    <w:rsid w:val="00AA04C4"/>
    <w:rsid w:val="00AA06C7"/>
    <w:rsid w:val="00AA08A5"/>
    <w:rsid w:val="00AA166C"/>
    <w:rsid w:val="00AA1B27"/>
    <w:rsid w:val="00AA1BBF"/>
    <w:rsid w:val="00AA1FFE"/>
    <w:rsid w:val="00AA239A"/>
    <w:rsid w:val="00AA2D1D"/>
    <w:rsid w:val="00AA2EA7"/>
    <w:rsid w:val="00AA30E1"/>
    <w:rsid w:val="00AA31C6"/>
    <w:rsid w:val="00AA36B4"/>
    <w:rsid w:val="00AA3F76"/>
    <w:rsid w:val="00AA4752"/>
    <w:rsid w:val="00AA4820"/>
    <w:rsid w:val="00AA4AEC"/>
    <w:rsid w:val="00AA4F2F"/>
    <w:rsid w:val="00AA5473"/>
    <w:rsid w:val="00AA560D"/>
    <w:rsid w:val="00AA5FBE"/>
    <w:rsid w:val="00AA61D5"/>
    <w:rsid w:val="00AA61DA"/>
    <w:rsid w:val="00AA644F"/>
    <w:rsid w:val="00AA7104"/>
    <w:rsid w:val="00AA771A"/>
    <w:rsid w:val="00AA7D37"/>
    <w:rsid w:val="00AB026A"/>
    <w:rsid w:val="00AB059D"/>
    <w:rsid w:val="00AB0DF2"/>
    <w:rsid w:val="00AB11D2"/>
    <w:rsid w:val="00AB123D"/>
    <w:rsid w:val="00AB145A"/>
    <w:rsid w:val="00AB17AB"/>
    <w:rsid w:val="00AB1B7F"/>
    <w:rsid w:val="00AB1C68"/>
    <w:rsid w:val="00AB2101"/>
    <w:rsid w:val="00AB220B"/>
    <w:rsid w:val="00AB280C"/>
    <w:rsid w:val="00AB285F"/>
    <w:rsid w:val="00AB2C52"/>
    <w:rsid w:val="00AB3531"/>
    <w:rsid w:val="00AB3A73"/>
    <w:rsid w:val="00AB3AC2"/>
    <w:rsid w:val="00AB3BF1"/>
    <w:rsid w:val="00AB4046"/>
    <w:rsid w:val="00AB48AF"/>
    <w:rsid w:val="00AB4D2D"/>
    <w:rsid w:val="00AB4F37"/>
    <w:rsid w:val="00AB4F8D"/>
    <w:rsid w:val="00AB510C"/>
    <w:rsid w:val="00AB514C"/>
    <w:rsid w:val="00AB5585"/>
    <w:rsid w:val="00AB56D7"/>
    <w:rsid w:val="00AB5C71"/>
    <w:rsid w:val="00AB5DEE"/>
    <w:rsid w:val="00AB6044"/>
    <w:rsid w:val="00AB6914"/>
    <w:rsid w:val="00AB6F6A"/>
    <w:rsid w:val="00AB70A0"/>
    <w:rsid w:val="00AB75B0"/>
    <w:rsid w:val="00AB7A12"/>
    <w:rsid w:val="00AB7A51"/>
    <w:rsid w:val="00AB7E08"/>
    <w:rsid w:val="00AB7EA4"/>
    <w:rsid w:val="00AC029D"/>
    <w:rsid w:val="00AC03B1"/>
    <w:rsid w:val="00AC084B"/>
    <w:rsid w:val="00AC223A"/>
    <w:rsid w:val="00AC2429"/>
    <w:rsid w:val="00AC2806"/>
    <w:rsid w:val="00AC291F"/>
    <w:rsid w:val="00AC2940"/>
    <w:rsid w:val="00AC2A9D"/>
    <w:rsid w:val="00AC2AA5"/>
    <w:rsid w:val="00AC2BE2"/>
    <w:rsid w:val="00AC3E01"/>
    <w:rsid w:val="00AC4571"/>
    <w:rsid w:val="00AC4DF7"/>
    <w:rsid w:val="00AC50B6"/>
    <w:rsid w:val="00AC5E93"/>
    <w:rsid w:val="00AC5EC7"/>
    <w:rsid w:val="00AC6072"/>
    <w:rsid w:val="00AC6394"/>
    <w:rsid w:val="00AC63D8"/>
    <w:rsid w:val="00AC6C3B"/>
    <w:rsid w:val="00AC7255"/>
    <w:rsid w:val="00AC75E5"/>
    <w:rsid w:val="00AD00EA"/>
    <w:rsid w:val="00AD02D0"/>
    <w:rsid w:val="00AD0BCD"/>
    <w:rsid w:val="00AD197F"/>
    <w:rsid w:val="00AD1B57"/>
    <w:rsid w:val="00AD1B8C"/>
    <w:rsid w:val="00AD2347"/>
    <w:rsid w:val="00AD2822"/>
    <w:rsid w:val="00AD2A45"/>
    <w:rsid w:val="00AD2F46"/>
    <w:rsid w:val="00AD2FE1"/>
    <w:rsid w:val="00AD3189"/>
    <w:rsid w:val="00AD326D"/>
    <w:rsid w:val="00AD3725"/>
    <w:rsid w:val="00AD37FC"/>
    <w:rsid w:val="00AD3C6A"/>
    <w:rsid w:val="00AD3DD8"/>
    <w:rsid w:val="00AD4360"/>
    <w:rsid w:val="00AD461E"/>
    <w:rsid w:val="00AD4E9D"/>
    <w:rsid w:val="00AD66C8"/>
    <w:rsid w:val="00AD680D"/>
    <w:rsid w:val="00AD68C1"/>
    <w:rsid w:val="00AD6907"/>
    <w:rsid w:val="00AD6E2D"/>
    <w:rsid w:val="00AD6EA8"/>
    <w:rsid w:val="00AD7516"/>
    <w:rsid w:val="00AD79F8"/>
    <w:rsid w:val="00AD7B10"/>
    <w:rsid w:val="00AD7BDA"/>
    <w:rsid w:val="00AD7CD2"/>
    <w:rsid w:val="00AD7EF6"/>
    <w:rsid w:val="00AE0356"/>
    <w:rsid w:val="00AE06EE"/>
    <w:rsid w:val="00AE09C7"/>
    <w:rsid w:val="00AE0C1D"/>
    <w:rsid w:val="00AE0F83"/>
    <w:rsid w:val="00AE15EE"/>
    <w:rsid w:val="00AE19E1"/>
    <w:rsid w:val="00AE1E60"/>
    <w:rsid w:val="00AE277F"/>
    <w:rsid w:val="00AE27BB"/>
    <w:rsid w:val="00AE2B5D"/>
    <w:rsid w:val="00AE2D3E"/>
    <w:rsid w:val="00AE3046"/>
    <w:rsid w:val="00AE3301"/>
    <w:rsid w:val="00AE3976"/>
    <w:rsid w:val="00AE399E"/>
    <w:rsid w:val="00AE3A5E"/>
    <w:rsid w:val="00AE3DCF"/>
    <w:rsid w:val="00AE40E3"/>
    <w:rsid w:val="00AE40E9"/>
    <w:rsid w:val="00AE47A9"/>
    <w:rsid w:val="00AE4A44"/>
    <w:rsid w:val="00AE588A"/>
    <w:rsid w:val="00AE5ACA"/>
    <w:rsid w:val="00AE5D64"/>
    <w:rsid w:val="00AE63DE"/>
    <w:rsid w:val="00AE65DD"/>
    <w:rsid w:val="00AE6F5B"/>
    <w:rsid w:val="00AE7127"/>
    <w:rsid w:val="00AE7270"/>
    <w:rsid w:val="00AE7632"/>
    <w:rsid w:val="00AE7D05"/>
    <w:rsid w:val="00AE7DA0"/>
    <w:rsid w:val="00AF0050"/>
    <w:rsid w:val="00AF06ED"/>
    <w:rsid w:val="00AF1244"/>
    <w:rsid w:val="00AF1373"/>
    <w:rsid w:val="00AF15D8"/>
    <w:rsid w:val="00AF173B"/>
    <w:rsid w:val="00AF181A"/>
    <w:rsid w:val="00AF199A"/>
    <w:rsid w:val="00AF19E4"/>
    <w:rsid w:val="00AF1CCD"/>
    <w:rsid w:val="00AF1E01"/>
    <w:rsid w:val="00AF25D4"/>
    <w:rsid w:val="00AF31AB"/>
    <w:rsid w:val="00AF31CB"/>
    <w:rsid w:val="00AF3627"/>
    <w:rsid w:val="00AF3666"/>
    <w:rsid w:val="00AF3764"/>
    <w:rsid w:val="00AF3838"/>
    <w:rsid w:val="00AF40F1"/>
    <w:rsid w:val="00AF4137"/>
    <w:rsid w:val="00AF49C7"/>
    <w:rsid w:val="00AF4EA7"/>
    <w:rsid w:val="00AF5581"/>
    <w:rsid w:val="00AF5A68"/>
    <w:rsid w:val="00AF5F43"/>
    <w:rsid w:val="00AF665C"/>
    <w:rsid w:val="00AF6986"/>
    <w:rsid w:val="00AF770A"/>
    <w:rsid w:val="00AF78EA"/>
    <w:rsid w:val="00AF7EE8"/>
    <w:rsid w:val="00B00333"/>
    <w:rsid w:val="00B00350"/>
    <w:rsid w:val="00B00826"/>
    <w:rsid w:val="00B019EE"/>
    <w:rsid w:val="00B01D27"/>
    <w:rsid w:val="00B01F9F"/>
    <w:rsid w:val="00B02147"/>
    <w:rsid w:val="00B02360"/>
    <w:rsid w:val="00B0256F"/>
    <w:rsid w:val="00B02CEB"/>
    <w:rsid w:val="00B042B6"/>
    <w:rsid w:val="00B0472D"/>
    <w:rsid w:val="00B04E28"/>
    <w:rsid w:val="00B05A6A"/>
    <w:rsid w:val="00B06124"/>
    <w:rsid w:val="00B0619C"/>
    <w:rsid w:val="00B064DA"/>
    <w:rsid w:val="00B0661E"/>
    <w:rsid w:val="00B06B99"/>
    <w:rsid w:val="00B06F59"/>
    <w:rsid w:val="00B0712B"/>
    <w:rsid w:val="00B0763D"/>
    <w:rsid w:val="00B07A1B"/>
    <w:rsid w:val="00B07A2C"/>
    <w:rsid w:val="00B07CB2"/>
    <w:rsid w:val="00B10193"/>
    <w:rsid w:val="00B1038B"/>
    <w:rsid w:val="00B10F27"/>
    <w:rsid w:val="00B1117D"/>
    <w:rsid w:val="00B111C3"/>
    <w:rsid w:val="00B11538"/>
    <w:rsid w:val="00B11A7E"/>
    <w:rsid w:val="00B11D58"/>
    <w:rsid w:val="00B12B7E"/>
    <w:rsid w:val="00B1384F"/>
    <w:rsid w:val="00B14155"/>
    <w:rsid w:val="00B14317"/>
    <w:rsid w:val="00B14503"/>
    <w:rsid w:val="00B1460E"/>
    <w:rsid w:val="00B1523F"/>
    <w:rsid w:val="00B15EC0"/>
    <w:rsid w:val="00B15EF6"/>
    <w:rsid w:val="00B16056"/>
    <w:rsid w:val="00B16158"/>
    <w:rsid w:val="00B170AA"/>
    <w:rsid w:val="00B1737C"/>
    <w:rsid w:val="00B1743E"/>
    <w:rsid w:val="00B17B63"/>
    <w:rsid w:val="00B20C96"/>
    <w:rsid w:val="00B20D21"/>
    <w:rsid w:val="00B21C5B"/>
    <w:rsid w:val="00B22251"/>
    <w:rsid w:val="00B224ED"/>
    <w:rsid w:val="00B22D5E"/>
    <w:rsid w:val="00B23599"/>
    <w:rsid w:val="00B235A0"/>
    <w:rsid w:val="00B240D3"/>
    <w:rsid w:val="00B24D34"/>
    <w:rsid w:val="00B25897"/>
    <w:rsid w:val="00B25C54"/>
    <w:rsid w:val="00B261D9"/>
    <w:rsid w:val="00B261FA"/>
    <w:rsid w:val="00B2621E"/>
    <w:rsid w:val="00B26295"/>
    <w:rsid w:val="00B26A4B"/>
    <w:rsid w:val="00B26BA8"/>
    <w:rsid w:val="00B26DBD"/>
    <w:rsid w:val="00B2754E"/>
    <w:rsid w:val="00B276E8"/>
    <w:rsid w:val="00B27983"/>
    <w:rsid w:val="00B27D4B"/>
    <w:rsid w:val="00B3080D"/>
    <w:rsid w:val="00B31889"/>
    <w:rsid w:val="00B32184"/>
    <w:rsid w:val="00B3224B"/>
    <w:rsid w:val="00B325DE"/>
    <w:rsid w:val="00B32920"/>
    <w:rsid w:val="00B3308B"/>
    <w:rsid w:val="00B338C7"/>
    <w:rsid w:val="00B34B67"/>
    <w:rsid w:val="00B35613"/>
    <w:rsid w:val="00B359FF"/>
    <w:rsid w:val="00B35F1C"/>
    <w:rsid w:val="00B36133"/>
    <w:rsid w:val="00B361F1"/>
    <w:rsid w:val="00B363A6"/>
    <w:rsid w:val="00B36881"/>
    <w:rsid w:val="00B36AE5"/>
    <w:rsid w:val="00B36C6A"/>
    <w:rsid w:val="00B371A4"/>
    <w:rsid w:val="00B3736D"/>
    <w:rsid w:val="00B37AC7"/>
    <w:rsid w:val="00B40C39"/>
    <w:rsid w:val="00B40C90"/>
    <w:rsid w:val="00B4121A"/>
    <w:rsid w:val="00B41507"/>
    <w:rsid w:val="00B42259"/>
    <w:rsid w:val="00B42DAE"/>
    <w:rsid w:val="00B43021"/>
    <w:rsid w:val="00B432FE"/>
    <w:rsid w:val="00B4382C"/>
    <w:rsid w:val="00B443AC"/>
    <w:rsid w:val="00B44532"/>
    <w:rsid w:val="00B4504F"/>
    <w:rsid w:val="00B45DD0"/>
    <w:rsid w:val="00B45E1C"/>
    <w:rsid w:val="00B4636C"/>
    <w:rsid w:val="00B46B3B"/>
    <w:rsid w:val="00B46D5D"/>
    <w:rsid w:val="00B46EE4"/>
    <w:rsid w:val="00B4781D"/>
    <w:rsid w:val="00B47F3B"/>
    <w:rsid w:val="00B500A0"/>
    <w:rsid w:val="00B518E5"/>
    <w:rsid w:val="00B51AEA"/>
    <w:rsid w:val="00B525E5"/>
    <w:rsid w:val="00B528E8"/>
    <w:rsid w:val="00B52BE2"/>
    <w:rsid w:val="00B52C95"/>
    <w:rsid w:val="00B52E42"/>
    <w:rsid w:val="00B52F06"/>
    <w:rsid w:val="00B5372D"/>
    <w:rsid w:val="00B538AD"/>
    <w:rsid w:val="00B53E08"/>
    <w:rsid w:val="00B53E95"/>
    <w:rsid w:val="00B54340"/>
    <w:rsid w:val="00B543BA"/>
    <w:rsid w:val="00B5445E"/>
    <w:rsid w:val="00B54768"/>
    <w:rsid w:val="00B54858"/>
    <w:rsid w:val="00B548B6"/>
    <w:rsid w:val="00B54DF5"/>
    <w:rsid w:val="00B560DA"/>
    <w:rsid w:val="00B568F2"/>
    <w:rsid w:val="00B569D5"/>
    <w:rsid w:val="00B56C2D"/>
    <w:rsid w:val="00B571F2"/>
    <w:rsid w:val="00B57200"/>
    <w:rsid w:val="00B577AC"/>
    <w:rsid w:val="00B57D76"/>
    <w:rsid w:val="00B60077"/>
    <w:rsid w:val="00B60DF4"/>
    <w:rsid w:val="00B6104D"/>
    <w:rsid w:val="00B61A89"/>
    <w:rsid w:val="00B61AB2"/>
    <w:rsid w:val="00B61CB2"/>
    <w:rsid w:val="00B61D2D"/>
    <w:rsid w:val="00B625A9"/>
    <w:rsid w:val="00B6283F"/>
    <w:rsid w:val="00B629D1"/>
    <w:rsid w:val="00B629E3"/>
    <w:rsid w:val="00B62D50"/>
    <w:rsid w:val="00B62FEF"/>
    <w:rsid w:val="00B636E4"/>
    <w:rsid w:val="00B63771"/>
    <w:rsid w:val="00B637B9"/>
    <w:rsid w:val="00B63AAD"/>
    <w:rsid w:val="00B63F94"/>
    <w:rsid w:val="00B64078"/>
    <w:rsid w:val="00B64187"/>
    <w:rsid w:val="00B64D8D"/>
    <w:rsid w:val="00B64F7D"/>
    <w:rsid w:val="00B652E9"/>
    <w:rsid w:val="00B6540D"/>
    <w:rsid w:val="00B656E9"/>
    <w:rsid w:val="00B65C7B"/>
    <w:rsid w:val="00B6640F"/>
    <w:rsid w:val="00B66421"/>
    <w:rsid w:val="00B66585"/>
    <w:rsid w:val="00B671B1"/>
    <w:rsid w:val="00B67282"/>
    <w:rsid w:val="00B676CD"/>
    <w:rsid w:val="00B676D6"/>
    <w:rsid w:val="00B67ACA"/>
    <w:rsid w:val="00B70353"/>
    <w:rsid w:val="00B70691"/>
    <w:rsid w:val="00B70B92"/>
    <w:rsid w:val="00B70BB9"/>
    <w:rsid w:val="00B70C14"/>
    <w:rsid w:val="00B71266"/>
    <w:rsid w:val="00B71555"/>
    <w:rsid w:val="00B71709"/>
    <w:rsid w:val="00B717EE"/>
    <w:rsid w:val="00B71A8C"/>
    <w:rsid w:val="00B71B64"/>
    <w:rsid w:val="00B726B0"/>
    <w:rsid w:val="00B72753"/>
    <w:rsid w:val="00B72890"/>
    <w:rsid w:val="00B729E3"/>
    <w:rsid w:val="00B72E37"/>
    <w:rsid w:val="00B72F60"/>
    <w:rsid w:val="00B73836"/>
    <w:rsid w:val="00B73E04"/>
    <w:rsid w:val="00B741AE"/>
    <w:rsid w:val="00B74254"/>
    <w:rsid w:val="00B742EE"/>
    <w:rsid w:val="00B74931"/>
    <w:rsid w:val="00B74C48"/>
    <w:rsid w:val="00B75245"/>
    <w:rsid w:val="00B75721"/>
    <w:rsid w:val="00B758A4"/>
    <w:rsid w:val="00B75A19"/>
    <w:rsid w:val="00B766EF"/>
    <w:rsid w:val="00B767A3"/>
    <w:rsid w:val="00B76AC4"/>
    <w:rsid w:val="00B80B6F"/>
    <w:rsid w:val="00B8122D"/>
    <w:rsid w:val="00B821B5"/>
    <w:rsid w:val="00B823E2"/>
    <w:rsid w:val="00B82592"/>
    <w:rsid w:val="00B82F0E"/>
    <w:rsid w:val="00B83339"/>
    <w:rsid w:val="00B840B6"/>
    <w:rsid w:val="00B845D6"/>
    <w:rsid w:val="00B84669"/>
    <w:rsid w:val="00B84DCB"/>
    <w:rsid w:val="00B85617"/>
    <w:rsid w:val="00B85EEE"/>
    <w:rsid w:val="00B86008"/>
    <w:rsid w:val="00B86023"/>
    <w:rsid w:val="00B867E9"/>
    <w:rsid w:val="00B86AD8"/>
    <w:rsid w:val="00B87029"/>
    <w:rsid w:val="00B87144"/>
    <w:rsid w:val="00B8732D"/>
    <w:rsid w:val="00B905E3"/>
    <w:rsid w:val="00B90ED7"/>
    <w:rsid w:val="00B910C0"/>
    <w:rsid w:val="00B91254"/>
    <w:rsid w:val="00B9126F"/>
    <w:rsid w:val="00B913DB"/>
    <w:rsid w:val="00B91A0B"/>
    <w:rsid w:val="00B91A62"/>
    <w:rsid w:val="00B924EA"/>
    <w:rsid w:val="00B92746"/>
    <w:rsid w:val="00B92B85"/>
    <w:rsid w:val="00B92E25"/>
    <w:rsid w:val="00B931D2"/>
    <w:rsid w:val="00B93B7B"/>
    <w:rsid w:val="00B93DC9"/>
    <w:rsid w:val="00B94199"/>
    <w:rsid w:val="00B94416"/>
    <w:rsid w:val="00B946DA"/>
    <w:rsid w:val="00B94877"/>
    <w:rsid w:val="00B94F7A"/>
    <w:rsid w:val="00B9508C"/>
    <w:rsid w:val="00B95148"/>
    <w:rsid w:val="00B953C4"/>
    <w:rsid w:val="00B957F3"/>
    <w:rsid w:val="00B95C51"/>
    <w:rsid w:val="00B962A8"/>
    <w:rsid w:val="00B9658E"/>
    <w:rsid w:val="00B968DA"/>
    <w:rsid w:val="00B97200"/>
    <w:rsid w:val="00B97E96"/>
    <w:rsid w:val="00BA06FA"/>
    <w:rsid w:val="00BA079C"/>
    <w:rsid w:val="00BA09CB"/>
    <w:rsid w:val="00BA0F44"/>
    <w:rsid w:val="00BA1240"/>
    <w:rsid w:val="00BA1322"/>
    <w:rsid w:val="00BA1E9F"/>
    <w:rsid w:val="00BA25C6"/>
    <w:rsid w:val="00BA2792"/>
    <w:rsid w:val="00BA2AFF"/>
    <w:rsid w:val="00BA2D65"/>
    <w:rsid w:val="00BA342A"/>
    <w:rsid w:val="00BA3522"/>
    <w:rsid w:val="00BA356E"/>
    <w:rsid w:val="00BA36F5"/>
    <w:rsid w:val="00BA3781"/>
    <w:rsid w:val="00BA3B07"/>
    <w:rsid w:val="00BA4283"/>
    <w:rsid w:val="00BA4403"/>
    <w:rsid w:val="00BA46A5"/>
    <w:rsid w:val="00BA48BE"/>
    <w:rsid w:val="00BA4CBC"/>
    <w:rsid w:val="00BA566E"/>
    <w:rsid w:val="00BA56D4"/>
    <w:rsid w:val="00BA6266"/>
    <w:rsid w:val="00BA65EA"/>
    <w:rsid w:val="00BA6959"/>
    <w:rsid w:val="00BA6B15"/>
    <w:rsid w:val="00BA6EAC"/>
    <w:rsid w:val="00BA7013"/>
    <w:rsid w:val="00BA781D"/>
    <w:rsid w:val="00BA7A6A"/>
    <w:rsid w:val="00BB0C5F"/>
    <w:rsid w:val="00BB0C95"/>
    <w:rsid w:val="00BB214E"/>
    <w:rsid w:val="00BB237B"/>
    <w:rsid w:val="00BB23C1"/>
    <w:rsid w:val="00BB285A"/>
    <w:rsid w:val="00BB2990"/>
    <w:rsid w:val="00BB2A09"/>
    <w:rsid w:val="00BB32D6"/>
    <w:rsid w:val="00BB3663"/>
    <w:rsid w:val="00BB36CF"/>
    <w:rsid w:val="00BB39F0"/>
    <w:rsid w:val="00BB3A8B"/>
    <w:rsid w:val="00BB3DE1"/>
    <w:rsid w:val="00BB42AC"/>
    <w:rsid w:val="00BB4F6C"/>
    <w:rsid w:val="00BB54C4"/>
    <w:rsid w:val="00BB622C"/>
    <w:rsid w:val="00BB6992"/>
    <w:rsid w:val="00BB6B27"/>
    <w:rsid w:val="00BB6B86"/>
    <w:rsid w:val="00BB71F0"/>
    <w:rsid w:val="00BB7B9F"/>
    <w:rsid w:val="00BB7D67"/>
    <w:rsid w:val="00BC052F"/>
    <w:rsid w:val="00BC0D2D"/>
    <w:rsid w:val="00BC10EF"/>
    <w:rsid w:val="00BC18A1"/>
    <w:rsid w:val="00BC1A38"/>
    <w:rsid w:val="00BC26AA"/>
    <w:rsid w:val="00BC28CF"/>
    <w:rsid w:val="00BC2CB2"/>
    <w:rsid w:val="00BC2DC7"/>
    <w:rsid w:val="00BC3A95"/>
    <w:rsid w:val="00BC3AD7"/>
    <w:rsid w:val="00BC3B8F"/>
    <w:rsid w:val="00BC3D18"/>
    <w:rsid w:val="00BC3DE5"/>
    <w:rsid w:val="00BC465D"/>
    <w:rsid w:val="00BC4676"/>
    <w:rsid w:val="00BC480C"/>
    <w:rsid w:val="00BC4AC8"/>
    <w:rsid w:val="00BC5435"/>
    <w:rsid w:val="00BC54F3"/>
    <w:rsid w:val="00BC5770"/>
    <w:rsid w:val="00BC5DA2"/>
    <w:rsid w:val="00BC6273"/>
    <w:rsid w:val="00BC6828"/>
    <w:rsid w:val="00BC69AE"/>
    <w:rsid w:val="00BC6A71"/>
    <w:rsid w:val="00BC7131"/>
    <w:rsid w:val="00BC7E39"/>
    <w:rsid w:val="00BC7F8A"/>
    <w:rsid w:val="00BD04CA"/>
    <w:rsid w:val="00BD04E7"/>
    <w:rsid w:val="00BD0BA6"/>
    <w:rsid w:val="00BD0DD5"/>
    <w:rsid w:val="00BD0F1B"/>
    <w:rsid w:val="00BD11DB"/>
    <w:rsid w:val="00BD1501"/>
    <w:rsid w:val="00BD2397"/>
    <w:rsid w:val="00BD23B9"/>
    <w:rsid w:val="00BD23EA"/>
    <w:rsid w:val="00BD3154"/>
    <w:rsid w:val="00BD3379"/>
    <w:rsid w:val="00BD3633"/>
    <w:rsid w:val="00BD3E28"/>
    <w:rsid w:val="00BD3FBD"/>
    <w:rsid w:val="00BD451D"/>
    <w:rsid w:val="00BD47A7"/>
    <w:rsid w:val="00BD5241"/>
    <w:rsid w:val="00BD56AB"/>
    <w:rsid w:val="00BD5802"/>
    <w:rsid w:val="00BD5950"/>
    <w:rsid w:val="00BD6245"/>
    <w:rsid w:val="00BD6387"/>
    <w:rsid w:val="00BD6645"/>
    <w:rsid w:val="00BD729B"/>
    <w:rsid w:val="00BD746D"/>
    <w:rsid w:val="00BD74DE"/>
    <w:rsid w:val="00BD7526"/>
    <w:rsid w:val="00BD78E7"/>
    <w:rsid w:val="00BE0078"/>
    <w:rsid w:val="00BE0157"/>
    <w:rsid w:val="00BE055C"/>
    <w:rsid w:val="00BE096F"/>
    <w:rsid w:val="00BE0BA3"/>
    <w:rsid w:val="00BE11EA"/>
    <w:rsid w:val="00BE1764"/>
    <w:rsid w:val="00BE1C9F"/>
    <w:rsid w:val="00BE1D6A"/>
    <w:rsid w:val="00BE1E9A"/>
    <w:rsid w:val="00BE217B"/>
    <w:rsid w:val="00BE2732"/>
    <w:rsid w:val="00BE326C"/>
    <w:rsid w:val="00BE3299"/>
    <w:rsid w:val="00BE3495"/>
    <w:rsid w:val="00BE3746"/>
    <w:rsid w:val="00BE39D7"/>
    <w:rsid w:val="00BE3B17"/>
    <w:rsid w:val="00BE3B9A"/>
    <w:rsid w:val="00BE3F2A"/>
    <w:rsid w:val="00BE4BC4"/>
    <w:rsid w:val="00BE501A"/>
    <w:rsid w:val="00BE5E88"/>
    <w:rsid w:val="00BE5FA5"/>
    <w:rsid w:val="00BE6043"/>
    <w:rsid w:val="00BE6422"/>
    <w:rsid w:val="00BE66E1"/>
    <w:rsid w:val="00BE6787"/>
    <w:rsid w:val="00BE6A44"/>
    <w:rsid w:val="00BE6A47"/>
    <w:rsid w:val="00BE6B10"/>
    <w:rsid w:val="00BE6E54"/>
    <w:rsid w:val="00BE73E6"/>
    <w:rsid w:val="00BE79BC"/>
    <w:rsid w:val="00BF0D82"/>
    <w:rsid w:val="00BF12A3"/>
    <w:rsid w:val="00BF13B4"/>
    <w:rsid w:val="00BF159E"/>
    <w:rsid w:val="00BF235A"/>
    <w:rsid w:val="00BF2372"/>
    <w:rsid w:val="00BF265B"/>
    <w:rsid w:val="00BF29C8"/>
    <w:rsid w:val="00BF2ED9"/>
    <w:rsid w:val="00BF2FF4"/>
    <w:rsid w:val="00BF3463"/>
    <w:rsid w:val="00BF38AF"/>
    <w:rsid w:val="00BF4F8F"/>
    <w:rsid w:val="00BF4FB7"/>
    <w:rsid w:val="00BF56B9"/>
    <w:rsid w:val="00BF58D9"/>
    <w:rsid w:val="00BF5987"/>
    <w:rsid w:val="00BF5A1A"/>
    <w:rsid w:val="00BF5AE5"/>
    <w:rsid w:val="00BF651F"/>
    <w:rsid w:val="00BF69F1"/>
    <w:rsid w:val="00BF6A28"/>
    <w:rsid w:val="00BF6A47"/>
    <w:rsid w:val="00BF7156"/>
    <w:rsid w:val="00BF7265"/>
    <w:rsid w:val="00BF76E5"/>
    <w:rsid w:val="00BF7A1E"/>
    <w:rsid w:val="00BF7BA3"/>
    <w:rsid w:val="00C00135"/>
    <w:rsid w:val="00C00267"/>
    <w:rsid w:val="00C006A2"/>
    <w:rsid w:val="00C00C94"/>
    <w:rsid w:val="00C00E21"/>
    <w:rsid w:val="00C0132C"/>
    <w:rsid w:val="00C013F2"/>
    <w:rsid w:val="00C01631"/>
    <w:rsid w:val="00C0193E"/>
    <w:rsid w:val="00C01A79"/>
    <w:rsid w:val="00C01BC2"/>
    <w:rsid w:val="00C02321"/>
    <w:rsid w:val="00C02E9A"/>
    <w:rsid w:val="00C03B1A"/>
    <w:rsid w:val="00C03B3B"/>
    <w:rsid w:val="00C04213"/>
    <w:rsid w:val="00C04B4F"/>
    <w:rsid w:val="00C05154"/>
    <w:rsid w:val="00C055CF"/>
    <w:rsid w:val="00C059AE"/>
    <w:rsid w:val="00C05C33"/>
    <w:rsid w:val="00C060E7"/>
    <w:rsid w:val="00C0623B"/>
    <w:rsid w:val="00C064F3"/>
    <w:rsid w:val="00C06A6E"/>
    <w:rsid w:val="00C07289"/>
    <w:rsid w:val="00C074E9"/>
    <w:rsid w:val="00C07768"/>
    <w:rsid w:val="00C07BA8"/>
    <w:rsid w:val="00C07D74"/>
    <w:rsid w:val="00C1034B"/>
    <w:rsid w:val="00C1053C"/>
    <w:rsid w:val="00C108B4"/>
    <w:rsid w:val="00C10D23"/>
    <w:rsid w:val="00C110C1"/>
    <w:rsid w:val="00C11C25"/>
    <w:rsid w:val="00C11DB5"/>
    <w:rsid w:val="00C128DC"/>
    <w:rsid w:val="00C12FEC"/>
    <w:rsid w:val="00C13163"/>
    <w:rsid w:val="00C132B1"/>
    <w:rsid w:val="00C13396"/>
    <w:rsid w:val="00C135F8"/>
    <w:rsid w:val="00C136B2"/>
    <w:rsid w:val="00C13A3A"/>
    <w:rsid w:val="00C13A43"/>
    <w:rsid w:val="00C13A8B"/>
    <w:rsid w:val="00C1420D"/>
    <w:rsid w:val="00C14ABC"/>
    <w:rsid w:val="00C1586E"/>
    <w:rsid w:val="00C16D61"/>
    <w:rsid w:val="00C174AF"/>
    <w:rsid w:val="00C175E2"/>
    <w:rsid w:val="00C17C1D"/>
    <w:rsid w:val="00C17E77"/>
    <w:rsid w:val="00C17EC8"/>
    <w:rsid w:val="00C201A1"/>
    <w:rsid w:val="00C201B1"/>
    <w:rsid w:val="00C20AEE"/>
    <w:rsid w:val="00C21DBF"/>
    <w:rsid w:val="00C2204C"/>
    <w:rsid w:val="00C222A8"/>
    <w:rsid w:val="00C223B7"/>
    <w:rsid w:val="00C22808"/>
    <w:rsid w:val="00C228DF"/>
    <w:rsid w:val="00C22F72"/>
    <w:rsid w:val="00C23760"/>
    <w:rsid w:val="00C2378B"/>
    <w:rsid w:val="00C237C7"/>
    <w:rsid w:val="00C23E8F"/>
    <w:rsid w:val="00C24323"/>
    <w:rsid w:val="00C24856"/>
    <w:rsid w:val="00C24AC5"/>
    <w:rsid w:val="00C24ADB"/>
    <w:rsid w:val="00C24EE3"/>
    <w:rsid w:val="00C24F40"/>
    <w:rsid w:val="00C250D6"/>
    <w:rsid w:val="00C25490"/>
    <w:rsid w:val="00C25EAC"/>
    <w:rsid w:val="00C2610D"/>
    <w:rsid w:val="00C26251"/>
    <w:rsid w:val="00C26494"/>
    <w:rsid w:val="00C2670B"/>
    <w:rsid w:val="00C26C3D"/>
    <w:rsid w:val="00C27439"/>
    <w:rsid w:val="00C275C5"/>
    <w:rsid w:val="00C2782D"/>
    <w:rsid w:val="00C27987"/>
    <w:rsid w:val="00C279A8"/>
    <w:rsid w:val="00C27BC9"/>
    <w:rsid w:val="00C27BDD"/>
    <w:rsid w:val="00C27ED5"/>
    <w:rsid w:val="00C30311"/>
    <w:rsid w:val="00C303C5"/>
    <w:rsid w:val="00C3070E"/>
    <w:rsid w:val="00C30BE3"/>
    <w:rsid w:val="00C30C89"/>
    <w:rsid w:val="00C30F78"/>
    <w:rsid w:val="00C31556"/>
    <w:rsid w:val="00C31C6D"/>
    <w:rsid w:val="00C328BD"/>
    <w:rsid w:val="00C336CA"/>
    <w:rsid w:val="00C33BED"/>
    <w:rsid w:val="00C33C3C"/>
    <w:rsid w:val="00C33EB2"/>
    <w:rsid w:val="00C3402B"/>
    <w:rsid w:val="00C34075"/>
    <w:rsid w:val="00C344A4"/>
    <w:rsid w:val="00C348F3"/>
    <w:rsid w:val="00C34997"/>
    <w:rsid w:val="00C34EA8"/>
    <w:rsid w:val="00C35371"/>
    <w:rsid w:val="00C3548A"/>
    <w:rsid w:val="00C35608"/>
    <w:rsid w:val="00C35CD4"/>
    <w:rsid w:val="00C36601"/>
    <w:rsid w:val="00C36A32"/>
    <w:rsid w:val="00C36B7A"/>
    <w:rsid w:val="00C36BDE"/>
    <w:rsid w:val="00C371BD"/>
    <w:rsid w:val="00C373D9"/>
    <w:rsid w:val="00C373ED"/>
    <w:rsid w:val="00C376B3"/>
    <w:rsid w:val="00C37C36"/>
    <w:rsid w:val="00C37D55"/>
    <w:rsid w:val="00C37E8C"/>
    <w:rsid w:val="00C37EC3"/>
    <w:rsid w:val="00C40044"/>
    <w:rsid w:val="00C40747"/>
    <w:rsid w:val="00C4086A"/>
    <w:rsid w:val="00C40EF5"/>
    <w:rsid w:val="00C414F1"/>
    <w:rsid w:val="00C415C1"/>
    <w:rsid w:val="00C4199A"/>
    <w:rsid w:val="00C426CD"/>
    <w:rsid w:val="00C42A78"/>
    <w:rsid w:val="00C43341"/>
    <w:rsid w:val="00C43FDD"/>
    <w:rsid w:val="00C440D5"/>
    <w:rsid w:val="00C44BA3"/>
    <w:rsid w:val="00C44CCE"/>
    <w:rsid w:val="00C44DE3"/>
    <w:rsid w:val="00C45233"/>
    <w:rsid w:val="00C45457"/>
    <w:rsid w:val="00C455B4"/>
    <w:rsid w:val="00C45809"/>
    <w:rsid w:val="00C45F69"/>
    <w:rsid w:val="00C46615"/>
    <w:rsid w:val="00C469D1"/>
    <w:rsid w:val="00C50609"/>
    <w:rsid w:val="00C5180E"/>
    <w:rsid w:val="00C51AF1"/>
    <w:rsid w:val="00C52139"/>
    <w:rsid w:val="00C521C5"/>
    <w:rsid w:val="00C52CBA"/>
    <w:rsid w:val="00C52D85"/>
    <w:rsid w:val="00C52F76"/>
    <w:rsid w:val="00C537AA"/>
    <w:rsid w:val="00C53B84"/>
    <w:rsid w:val="00C543ED"/>
    <w:rsid w:val="00C545FC"/>
    <w:rsid w:val="00C546CE"/>
    <w:rsid w:val="00C54745"/>
    <w:rsid w:val="00C54799"/>
    <w:rsid w:val="00C54937"/>
    <w:rsid w:val="00C5534C"/>
    <w:rsid w:val="00C55383"/>
    <w:rsid w:val="00C554F8"/>
    <w:rsid w:val="00C55EE4"/>
    <w:rsid w:val="00C56840"/>
    <w:rsid w:val="00C5741D"/>
    <w:rsid w:val="00C57B72"/>
    <w:rsid w:val="00C57C22"/>
    <w:rsid w:val="00C57CB6"/>
    <w:rsid w:val="00C60176"/>
    <w:rsid w:val="00C60583"/>
    <w:rsid w:val="00C60BA4"/>
    <w:rsid w:val="00C61465"/>
    <w:rsid w:val="00C614B7"/>
    <w:rsid w:val="00C61824"/>
    <w:rsid w:val="00C61B64"/>
    <w:rsid w:val="00C61F62"/>
    <w:rsid w:val="00C61F83"/>
    <w:rsid w:val="00C625B7"/>
    <w:rsid w:val="00C62786"/>
    <w:rsid w:val="00C62BCE"/>
    <w:rsid w:val="00C6356A"/>
    <w:rsid w:val="00C638BC"/>
    <w:rsid w:val="00C63DC2"/>
    <w:rsid w:val="00C63EEC"/>
    <w:rsid w:val="00C64AC3"/>
    <w:rsid w:val="00C64D74"/>
    <w:rsid w:val="00C65995"/>
    <w:rsid w:val="00C659BC"/>
    <w:rsid w:val="00C65DC1"/>
    <w:rsid w:val="00C6616E"/>
    <w:rsid w:val="00C665D6"/>
    <w:rsid w:val="00C66753"/>
    <w:rsid w:val="00C66CCB"/>
    <w:rsid w:val="00C66CD9"/>
    <w:rsid w:val="00C66F1C"/>
    <w:rsid w:val="00C66FCA"/>
    <w:rsid w:val="00C67B40"/>
    <w:rsid w:val="00C70652"/>
    <w:rsid w:val="00C70939"/>
    <w:rsid w:val="00C7094C"/>
    <w:rsid w:val="00C70A67"/>
    <w:rsid w:val="00C70A83"/>
    <w:rsid w:val="00C70F58"/>
    <w:rsid w:val="00C7122B"/>
    <w:rsid w:val="00C7123D"/>
    <w:rsid w:val="00C71515"/>
    <w:rsid w:val="00C71551"/>
    <w:rsid w:val="00C71DED"/>
    <w:rsid w:val="00C71FFE"/>
    <w:rsid w:val="00C728A8"/>
    <w:rsid w:val="00C73095"/>
    <w:rsid w:val="00C73759"/>
    <w:rsid w:val="00C73E6D"/>
    <w:rsid w:val="00C7410F"/>
    <w:rsid w:val="00C7496D"/>
    <w:rsid w:val="00C749B3"/>
    <w:rsid w:val="00C75464"/>
    <w:rsid w:val="00C7546E"/>
    <w:rsid w:val="00C75926"/>
    <w:rsid w:val="00C75ECA"/>
    <w:rsid w:val="00C7629E"/>
    <w:rsid w:val="00C762F5"/>
    <w:rsid w:val="00C77789"/>
    <w:rsid w:val="00C77A02"/>
    <w:rsid w:val="00C77FAF"/>
    <w:rsid w:val="00C80043"/>
    <w:rsid w:val="00C8005E"/>
    <w:rsid w:val="00C8099F"/>
    <w:rsid w:val="00C823C1"/>
    <w:rsid w:val="00C8257B"/>
    <w:rsid w:val="00C827A9"/>
    <w:rsid w:val="00C82E2F"/>
    <w:rsid w:val="00C83DBF"/>
    <w:rsid w:val="00C83E51"/>
    <w:rsid w:val="00C84231"/>
    <w:rsid w:val="00C844DA"/>
    <w:rsid w:val="00C8460A"/>
    <w:rsid w:val="00C8491A"/>
    <w:rsid w:val="00C84E7E"/>
    <w:rsid w:val="00C854AA"/>
    <w:rsid w:val="00C86209"/>
    <w:rsid w:val="00C86421"/>
    <w:rsid w:val="00C86642"/>
    <w:rsid w:val="00C869E9"/>
    <w:rsid w:val="00C869F9"/>
    <w:rsid w:val="00C870DA"/>
    <w:rsid w:val="00C87367"/>
    <w:rsid w:val="00C87551"/>
    <w:rsid w:val="00C87688"/>
    <w:rsid w:val="00C879AC"/>
    <w:rsid w:val="00C87D1B"/>
    <w:rsid w:val="00C87F9F"/>
    <w:rsid w:val="00C90709"/>
    <w:rsid w:val="00C909E5"/>
    <w:rsid w:val="00C90E19"/>
    <w:rsid w:val="00C914DE"/>
    <w:rsid w:val="00C92620"/>
    <w:rsid w:val="00C926A0"/>
    <w:rsid w:val="00C926BE"/>
    <w:rsid w:val="00C92A3F"/>
    <w:rsid w:val="00C9304D"/>
    <w:rsid w:val="00C93097"/>
    <w:rsid w:val="00C93F3D"/>
    <w:rsid w:val="00C94527"/>
    <w:rsid w:val="00C94BDC"/>
    <w:rsid w:val="00C950D3"/>
    <w:rsid w:val="00C950E9"/>
    <w:rsid w:val="00C95C71"/>
    <w:rsid w:val="00C95D88"/>
    <w:rsid w:val="00C96B98"/>
    <w:rsid w:val="00C96DB8"/>
    <w:rsid w:val="00C9708D"/>
    <w:rsid w:val="00C97166"/>
    <w:rsid w:val="00C971DF"/>
    <w:rsid w:val="00C977E8"/>
    <w:rsid w:val="00C97F2B"/>
    <w:rsid w:val="00C97FA5"/>
    <w:rsid w:val="00CA0B5D"/>
    <w:rsid w:val="00CA12CD"/>
    <w:rsid w:val="00CA1C66"/>
    <w:rsid w:val="00CA20B5"/>
    <w:rsid w:val="00CA222A"/>
    <w:rsid w:val="00CA259A"/>
    <w:rsid w:val="00CA2BFB"/>
    <w:rsid w:val="00CA3691"/>
    <w:rsid w:val="00CA41AD"/>
    <w:rsid w:val="00CA45DE"/>
    <w:rsid w:val="00CA502E"/>
    <w:rsid w:val="00CA532B"/>
    <w:rsid w:val="00CA5D35"/>
    <w:rsid w:val="00CA5D9D"/>
    <w:rsid w:val="00CA61BD"/>
    <w:rsid w:val="00CA64B3"/>
    <w:rsid w:val="00CA69E7"/>
    <w:rsid w:val="00CA6A40"/>
    <w:rsid w:val="00CA7056"/>
    <w:rsid w:val="00CA73A7"/>
    <w:rsid w:val="00CA73F2"/>
    <w:rsid w:val="00CA7465"/>
    <w:rsid w:val="00CA7B48"/>
    <w:rsid w:val="00CB001F"/>
    <w:rsid w:val="00CB0658"/>
    <w:rsid w:val="00CB0733"/>
    <w:rsid w:val="00CB0DD4"/>
    <w:rsid w:val="00CB0E93"/>
    <w:rsid w:val="00CB0F3B"/>
    <w:rsid w:val="00CB0FA4"/>
    <w:rsid w:val="00CB1044"/>
    <w:rsid w:val="00CB11A9"/>
    <w:rsid w:val="00CB1BDA"/>
    <w:rsid w:val="00CB244A"/>
    <w:rsid w:val="00CB277B"/>
    <w:rsid w:val="00CB2E4D"/>
    <w:rsid w:val="00CB2EC2"/>
    <w:rsid w:val="00CB32F8"/>
    <w:rsid w:val="00CB38B8"/>
    <w:rsid w:val="00CB3FA2"/>
    <w:rsid w:val="00CB43E0"/>
    <w:rsid w:val="00CB457B"/>
    <w:rsid w:val="00CB4595"/>
    <w:rsid w:val="00CB4AC8"/>
    <w:rsid w:val="00CB4D5C"/>
    <w:rsid w:val="00CB5320"/>
    <w:rsid w:val="00CB5C5B"/>
    <w:rsid w:val="00CB6532"/>
    <w:rsid w:val="00CB6914"/>
    <w:rsid w:val="00CB6E71"/>
    <w:rsid w:val="00CB721E"/>
    <w:rsid w:val="00CB79D9"/>
    <w:rsid w:val="00CB7B44"/>
    <w:rsid w:val="00CC07EA"/>
    <w:rsid w:val="00CC1459"/>
    <w:rsid w:val="00CC1CE8"/>
    <w:rsid w:val="00CC1DFB"/>
    <w:rsid w:val="00CC1E05"/>
    <w:rsid w:val="00CC29BC"/>
    <w:rsid w:val="00CC2BE9"/>
    <w:rsid w:val="00CC342B"/>
    <w:rsid w:val="00CC4101"/>
    <w:rsid w:val="00CC4A86"/>
    <w:rsid w:val="00CC5AF6"/>
    <w:rsid w:val="00CC5C42"/>
    <w:rsid w:val="00CC639F"/>
    <w:rsid w:val="00CC65FA"/>
    <w:rsid w:val="00CC69D8"/>
    <w:rsid w:val="00CC6DFB"/>
    <w:rsid w:val="00CC6FDC"/>
    <w:rsid w:val="00CC714E"/>
    <w:rsid w:val="00CC7E74"/>
    <w:rsid w:val="00CC7ED6"/>
    <w:rsid w:val="00CD002E"/>
    <w:rsid w:val="00CD097D"/>
    <w:rsid w:val="00CD0CB3"/>
    <w:rsid w:val="00CD0D0F"/>
    <w:rsid w:val="00CD1141"/>
    <w:rsid w:val="00CD2FB0"/>
    <w:rsid w:val="00CD32C9"/>
    <w:rsid w:val="00CD3516"/>
    <w:rsid w:val="00CD35F0"/>
    <w:rsid w:val="00CD3EAB"/>
    <w:rsid w:val="00CD3F64"/>
    <w:rsid w:val="00CD4294"/>
    <w:rsid w:val="00CD4831"/>
    <w:rsid w:val="00CD4868"/>
    <w:rsid w:val="00CD4F0A"/>
    <w:rsid w:val="00CD534F"/>
    <w:rsid w:val="00CD559F"/>
    <w:rsid w:val="00CD5934"/>
    <w:rsid w:val="00CD5B49"/>
    <w:rsid w:val="00CD5E6D"/>
    <w:rsid w:val="00CD5F77"/>
    <w:rsid w:val="00CD5F90"/>
    <w:rsid w:val="00CD6008"/>
    <w:rsid w:val="00CD63C4"/>
    <w:rsid w:val="00CD6A5A"/>
    <w:rsid w:val="00CD6CB2"/>
    <w:rsid w:val="00CD7148"/>
    <w:rsid w:val="00CD72F0"/>
    <w:rsid w:val="00CD739B"/>
    <w:rsid w:val="00CD7B31"/>
    <w:rsid w:val="00CE0273"/>
    <w:rsid w:val="00CE0465"/>
    <w:rsid w:val="00CE077E"/>
    <w:rsid w:val="00CE0BEB"/>
    <w:rsid w:val="00CE0E04"/>
    <w:rsid w:val="00CE1337"/>
    <w:rsid w:val="00CE1FED"/>
    <w:rsid w:val="00CE20FE"/>
    <w:rsid w:val="00CE218A"/>
    <w:rsid w:val="00CE22F4"/>
    <w:rsid w:val="00CE24FA"/>
    <w:rsid w:val="00CE2618"/>
    <w:rsid w:val="00CE261E"/>
    <w:rsid w:val="00CE2712"/>
    <w:rsid w:val="00CE3275"/>
    <w:rsid w:val="00CE3594"/>
    <w:rsid w:val="00CE3777"/>
    <w:rsid w:val="00CE377A"/>
    <w:rsid w:val="00CE3B3E"/>
    <w:rsid w:val="00CE4060"/>
    <w:rsid w:val="00CE4228"/>
    <w:rsid w:val="00CE4379"/>
    <w:rsid w:val="00CE4546"/>
    <w:rsid w:val="00CE47B8"/>
    <w:rsid w:val="00CE49D9"/>
    <w:rsid w:val="00CE5045"/>
    <w:rsid w:val="00CE54F6"/>
    <w:rsid w:val="00CE5D36"/>
    <w:rsid w:val="00CE6379"/>
    <w:rsid w:val="00CE68B5"/>
    <w:rsid w:val="00CE6965"/>
    <w:rsid w:val="00CE6E19"/>
    <w:rsid w:val="00CE6E63"/>
    <w:rsid w:val="00CE777A"/>
    <w:rsid w:val="00CE7BAF"/>
    <w:rsid w:val="00CE7EFF"/>
    <w:rsid w:val="00CF0ACF"/>
    <w:rsid w:val="00CF113E"/>
    <w:rsid w:val="00CF11B8"/>
    <w:rsid w:val="00CF1390"/>
    <w:rsid w:val="00CF13AD"/>
    <w:rsid w:val="00CF154F"/>
    <w:rsid w:val="00CF1B9F"/>
    <w:rsid w:val="00CF1E5C"/>
    <w:rsid w:val="00CF1FA6"/>
    <w:rsid w:val="00CF205D"/>
    <w:rsid w:val="00CF2776"/>
    <w:rsid w:val="00CF2D01"/>
    <w:rsid w:val="00CF31C8"/>
    <w:rsid w:val="00CF3AC8"/>
    <w:rsid w:val="00CF424E"/>
    <w:rsid w:val="00CF4956"/>
    <w:rsid w:val="00CF618F"/>
    <w:rsid w:val="00CF6C63"/>
    <w:rsid w:val="00CF6C72"/>
    <w:rsid w:val="00CF6FAE"/>
    <w:rsid w:val="00CF6FD1"/>
    <w:rsid w:val="00CF70E7"/>
    <w:rsid w:val="00CF757D"/>
    <w:rsid w:val="00CF79E5"/>
    <w:rsid w:val="00D00365"/>
    <w:rsid w:val="00D00587"/>
    <w:rsid w:val="00D00788"/>
    <w:rsid w:val="00D00B7A"/>
    <w:rsid w:val="00D00D37"/>
    <w:rsid w:val="00D02364"/>
    <w:rsid w:val="00D027F8"/>
    <w:rsid w:val="00D02912"/>
    <w:rsid w:val="00D030E7"/>
    <w:rsid w:val="00D03177"/>
    <w:rsid w:val="00D033BB"/>
    <w:rsid w:val="00D035FA"/>
    <w:rsid w:val="00D03DF0"/>
    <w:rsid w:val="00D04028"/>
    <w:rsid w:val="00D040C3"/>
    <w:rsid w:val="00D04AE4"/>
    <w:rsid w:val="00D05467"/>
    <w:rsid w:val="00D0586B"/>
    <w:rsid w:val="00D05A89"/>
    <w:rsid w:val="00D05E25"/>
    <w:rsid w:val="00D06AD4"/>
    <w:rsid w:val="00D06D46"/>
    <w:rsid w:val="00D0784A"/>
    <w:rsid w:val="00D07CB1"/>
    <w:rsid w:val="00D07F8E"/>
    <w:rsid w:val="00D10387"/>
    <w:rsid w:val="00D10A6C"/>
    <w:rsid w:val="00D10A9E"/>
    <w:rsid w:val="00D10D26"/>
    <w:rsid w:val="00D1104C"/>
    <w:rsid w:val="00D114C3"/>
    <w:rsid w:val="00D11A60"/>
    <w:rsid w:val="00D11AAE"/>
    <w:rsid w:val="00D11CB1"/>
    <w:rsid w:val="00D121D8"/>
    <w:rsid w:val="00D12609"/>
    <w:rsid w:val="00D12892"/>
    <w:rsid w:val="00D12BC0"/>
    <w:rsid w:val="00D13F8A"/>
    <w:rsid w:val="00D1509A"/>
    <w:rsid w:val="00D15386"/>
    <w:rsid w:val="00D153C2"/>
    <w:rsid w:val="00D15487"/>
    <w:rsid w:val="00D154E4"/>
    <w:rsid w:val="00D1588F"/>
    <w:rsid w:val="00D15E39"/>
    <w:rsid w:val="00D1676F"/>
    <w:rsid w:val="00D16A56"/>
    <w:rsid w:val="00D16A99"/>
    <w:rsid w:val="00D16EDC"/>
    <w:rsid w:val="00D16F6B"/>
    <w:rsid w:val="00D16FA6"/>
    <w:rsid w:val="00D172AD"/>
    <w:rsid w:val="00D172C5"/>
    <w:rsid w:val="00D177E7"/>
    <w:rsid w:val="00D17E7E"/>
    <w:rsid w:val="00D204AA"/>
    <w:rsid w:val="00D2054E"/>
    <w:rsid w:val="00D2058D"/>
    <w:rsid w:val="00D2077A"/>
    <w:rsid w:val="00D20E5D"/>
    <w:rsid w:val="00D21102"/>
    <w:rsid w:val="00D21260"/>
    <w:rsid w:val="00D212AC"/>
    <w:rsid w:val="00D21F5E"/>
    <w:rsid w:val="00D221AC"/>
    <w:rsid w:val="00D22550"/>
    <w:rsid w:val="00D2353D"/>
    <w:rsid w:val="00D23566"/>
    <w:rsid w:val="00D24169"/>
    <w:rsid w:val="00D24271"/>
    <w:rsid w:val="00D243C2"/>
    <w:rsid w:val="00D2493B"/>
    <w:rsid w:val="00D24D1E"/>
    <w:rsid w:val="00D25013"/>
    <w:rsid w:val="00D2502C"/>
    <w:rsid w:val="00D250B9"/>
    <w:rsid w:val="00D25929"/>
    <w:rsid w:val="00D2613F"/>
    <w:rsid w:val="00D26417"/>
    <w:rsid w:val="00D2669E"/>
    <w:rsid w:val="00D2686C"/>
    <w:rsid w:val="00D27FD1"/>
    <w:rsid w:val="00D301FA"/>
    <w:rsid w:val="00D30930"/>
    <w:rsid w:val="00D31046"/>
    <w:rsid w:val="00D310D5"/>
    <w:rsid w:val="00D3125D"/>
    <w:rsid w:val="00D31322"/>
    <w:rsid w:val="00D31D97"/>
    <w:rsid w:val="00D31F2C"/>
    <w:rsid w:val="00D32440"/>
    <w:rsid w:val="00D3258D"/>
    <w:rsid w:val="00D327C2"/>
    <w:rsid w:val="00D327E1"/>
    <w:rsid w:val="00D331E2"/>
    <w:rsid w:val="00D33580"/>
    <w:rsid w:val="00D33A69"/>
    <w:rsid w:val="00D3608F"/>
    <w:rsid w:val="00D36AD3"/>
    <w:rsid w:val="00D37726"/>
    <w:rsid w:val="00D37B66"/>
    <w:rsid w:val="00D37E30"/>
    <w:rsid w:val="00D402AE"/>
    <w:rsid w:val="00D407EA"/>
    <w:rsid w:val="00D40E4A"/>
    <w:rsid w:val="00D41748"/>
    <w:rsid w:val="00D41E52"/>
    <w:rsid w:val="00D421AD"/>
    <w:rsid w:val="00D42BA8"/>
    <w:rsid w:val="00D42E02"/>
    <w:rsid w:val="00D43750"/>
    <w:rsid w:val="00D44107"/>
    <w:rsid w:val="00D442E0"/>
    <w:rsid w:val="00D44302"/>
    <w:rsid w:val="00D4457D"/>
    <w:rsid w:val="00D44AB6"/>
    <w:rsid w:val="00D4531F"/>
    <w:rsid w:val="00D45BDE"/>
    <w:rsid w:val="00D45EEE"/>
    <w:rsid w:val="00D463D2"/>
    <w:rsid w:val="00D46449"/>
    <w:rsid w:val="00D4681B"/>
    <w:rsid w:val="00D46991"/>
    <w:rsid w:val="00D46E28"/>
    <w:rsid w:val="00D470B1"/>
    <w:rsid w:val="00D474BB"/>
    <w:rsid w:val="00D47745"/>
    <w:rsid w:val="00D478C3"/>
    <w:rsid w:val="00D478CD"/>
    <w:rsid w:val="00D47C8C"/>
    <w:rsid w:val="00D47DB5"/>
    <w:rsid w:val="00D47E08"/>
    <w:rsid w:val="00D5193D"/>
    <w:rsid w:val="00D51A43"/>
    <w:rsid w:val="00D533BC"/>
    <w:rsid w:val="00D53555"/>
    <w:rsid w:val="00D537DC"/>
    <w:rsid w:val="00D53B84"/>
    <w:rsid w:val="00D53CC1"/>
    <w:rsid w:val="00D53D31"/>
    <w:rsid w:val="00D53F7A"/>
    <w:rsid w:val="00D54A27"/>
    <w:rsid w:val="00D55ED9"/>
    <w:rsid w:val="00D5644D"/>
    <w:rsid w:val="00D56796"/>
    <w:rsid w:val="00D56EA1"/>
    <w:rsid w:val="00D570CF"/>
    <w:rsid w:val="00D572E1"/>
    <w:rsid w:val="00D574BE"/>
    <w:rsid w:val="00D5757F"/>
    <w:rsid w:val="00D57A6B"/>
    <w:rsid w:val="00D57B73"/>
    <w:rsid w:val="00D60920"/>
    <w:rsid w:val="00D60B42"/>
    <w:rsid w:val="00D60C5D"/>
    <w:rsid w:val="00D60F34"/>
    <w:rsid w:val="00D610ED"/>
    <w:rsid w:val="00D6135A"/>
    <w:rsid w:val="00D61539"/>
    <w:rsid w:val="00D61EE2"/>
    <w:rsid w:val="00D62CF2"/>
    <w:rsid w:val="00D62EB6"/>
    <w:rsid w:val="00D631D3"/>
    <w:rsid w:val="00D63231"/>
    <w:rsid w:val="00D635B6"/>
    <w:rsid w:val="00D6388E"/>
    <w:rsid w:val="00D63C3D"/>
    <w:rsid w:val="00D63E19"/>
    <w:rsid w:val="00D64619"/>
    <w:rsid w:val="00D6483D"/>
    <w:rsid w:val="00D6492F"/>
    <w:rsid w:val="00D64FEE"/>
    <w:rsid w:val="00D650B7"/>
    <w:rsid w:val="00D65B20"/>
    <w:rsid w:val="00D65DFA"/>
    <w:rsid w:val="00D65E46"/>
    <w:rsid w:val="00D65E9A"/>
    <w:rsid w:val="00D662E6"/>
    <w:rsid w:val="00D66404"/>
    <w:rsid w:val="00D700C4"/>
    <w:rsid w:val="00D718B4"/>
    <w:rsid w:val="00D721E8"/>
    <w:rsid w:val="00D72E2D"/>
    <w:rsid w:val="00D72F34"/>
    <w:rsid w:val="00D72FCE"/>
    <w:rsid w:val="00D730F4"/>
    <w:rsid w:val="00D7377F"/>
    <w:rsid w:val="00D73937"/>
    <w:rsid w:val="00D74223"/>
    <w:rsid w:val="00D744DB"/>
    <w:rsid w:val="00D74608"/>
    <w:rsid w:val="00D74615"/>
    <w:rsid w:val="00D74901"/>
    <w:rsid w:val="00D75D68"/>
    <w:rsid w:val="00D75D88"/>
    <w:rsid w:val="00D76173"/>
    <w:rsid w:val="00D76232"/>
    <w:rsid w:val="00D76BAC"/>
    <w:rsid w:val="00D76CBC"/>
    <w:rsid w:val="00D77878"/>
    <w:rsid w:val="00D77901"/>
    <w:rsid w:val="00D77B32"/>
    <w:rsid w:val="00D77F8F"/>
    <w:rsid w:val="00D800A6"/>
    <w:rsid w:val="00D803CC"/>
    <w:rsid w:val="00D80699"/>
    <w:rsid w:val="00D80E77"/>
    <w:rsid w:val="00D8172E"/>
    <w:rsid w:val="00D81B4E"/>
    <w:rsid w:val="00D81DBA"/>
    <w:rsid w:val="00D81ED0"/>
    <w:rsid w:val="00D82141"/>
    <w:rsid w:val="00D82604"/>
    <w:rsid w:val="00D828BF"/>
    <w:rsid w:val="00D82BFE"/>
    <w:rsid w:val="00D82CB0"/>
    <w:rsid w:val="00D82DEA"/>
    <w:rsid w:val="00D84AB0"/>
    <w:rsid w:val="00D84E1A"/>
    <w:rsid w:val="00D851B6"/>
    <w:rsid w:val="00D864F5"/>
    <w:rsid w:val="00D86539"/>
    <w:rsid w:val="00D866F8"/>
    <w:rsid w:val="00D906C0"/>
    <w:rsid w:val="00D90787"/>
    <w:rsid w:val="00D908DF"/>
    <w:rsid w:val="00D91A9E"/>
    <w:rsid w:val="00D91AC8"/>
    <w:rsid w:val="00D91B78"/>
    <w:rsid w:val="00D9253D"/>
    <w:rsid w:val="00D92A11"/>
    <w:rsid w:val="00D93152"/>
    <w:rsid w:val="00D932E9"/>
    <w:rsid w:val="00D93300"/>
    <w:rsid w:val="00D943AA"/>
    <w:rsid w:val="00D94884"/>
    <w:rsid w:val="00D9492D"/>
    <w:rsid w:val="00D949F3"/>
    <w:rsid w:val="00D94A32"/>
    <w:rsid w:val="00D94B5F"/>
    <w:rsid w:val="00D94D36"/>
    <w:rsid w:val="00D9577B"/>
    <w:rsid w:val="00D95B2A"/>
    <w:rsid w:val="00D965B8"/>
    <w:rsid w:val="00D9701B"/>
    <w:rsid w:val="00D9752E"/>
    <w:rsid w:val="00D97B32"/>
    <w:rsid w:val="00DA070B"/>
    <w:rsid w:val="00DA1FD3"/>
    <w:rsid w:val="00DA2244"/>
    <w:rsid w:val="00DA23AC"/>
    <w:rsid w:val="00DA259B"/>
    <w:rsid w:val="00DA26BE"/>
    <w:rsid w:val="00DA2AEB"/>
    <w:rsid w:val="00DA33F0"/>
    <w:rsid w:val="00DA48D3"/>
    <w:rsid w:val="00DA4982"/>
    <w:rsid w:val="00DA4B29"/>
    <w:rsid w:val="00DA4B6E"/>
    <w:rsid w:val="00DA53D8"/>
    <w:rsid w:val="00DA5945"/>
    <w:rsid w:val="00DA5E7D"/>
    <w:rsid w:val="00DA61C7"/>
    <w:rsid w:val="00DA6459"/>
    <w:rsid w:val="00DA70A3"/>
    <w:rsid w:val="00DA7441"/>
    <w:rsid w:val="00DA787B"/>
    <w:rsid w:val="00DA7A1D"/>
    <w:rsid w:val="00DB0598"/>
    <w:rsid w:val="00DB1136"/>
    <w:rsid w:val="00DB1A2E"/>
    <w:rsid w:val="00DB1CB8"/>
    <w:rsid w:val="00DB1E92"/>
    <w:rsid w:val="00DB2400"/>
    <w:rsid w:val="00DB29BD"/>
    <w:rsid w:val="00DB2B8D"/>
    <w:rsid w:val="00DB2F2D"/>
    <w:rsid w:val="00DB3055"/>
    <w:rsid w:val="00DB37DF"/>
    <w:rsid w:val="00DB3CF4"/>
    <w:rsid w:val="00DB42EE"/>
    <w:rsid w:val="00DB4D54"/>
    <w:rsid w:val="00DB54F4"/>
    <w:rsid w:val="00DB5630"/>
    <w:rsid w:val="00DB5E6D"/>
    <w:rsid w:val="00DB5FAB"/>
    <w:rsid w:val="00DB5FC3"/>
    <w:rsid w:val="00DB60AA"/>
    <w:rsid w:val="00DB6231"/>
    <w:rsid w:val="00DB6833"/>
    <w:rsid w:val="00DB68C9"/>
    <w:rsid w:val="00DB6EBA"/>
    <w:rsid w:val="00DB6F90"/>
    <w:rsid w:val="00DC005B"/>
    <w:rsid w:val="00DC04E6"/>
    <w:rsid w:val="00DC061C"/>
    <w:rsid w:val="00DC0B5A"/>
    <w:rsid w:val="00DC0E2D"/>
    <w:rsid w:val="00DC1462"/>
    <w:rsid w:val="00DC155B"/>
    <w:rsid w:val="00DC1B3F"/>
    <w:rsid w:val="00DC1D83"/>
    <w:rsid w:val="00DC211A"/>
    <w:rsid w:val="00DC2737"/>
    <w:rsid w:val="00DC2AE4"/>
    <w:rsid w:val="00DC2DBA"/>
    <w:rsid w:val="00DC2EA2"/>
    <w:rsid w:val="00DC2F34"/>
    <w:rsid w:val="00DC2FF1"/>
    <w:rsid w:val="00DC309F"/>
    <w:rsid w:val="00DC326C"/>
    <w:rsid w:val="00DC3481"/>
    <w:rsid w:val="00DC42EB"/>
    <w:rsid w:val="00DC4471"/>
    <w:rsid w:val="00DC4F71"/>
    <w:rsid w:val="00DC4FCC"/>
    <w:rsid w:val="00DC5667"/>
    <w:rsid w:val="00DC5768"/>
    <w:rsid w:val="00DC5802"/>
    <w:rsid w:val="00DC5B64"/>
    <w:rsid w:val="00DC5D66"/>
    <w:rsid w:val="00DC6067"/>
    <w:rsid w:val="00DC6894"/>
    <w:rsid w:val="00DC71B0"/>
    <w:rsid w:val="00DC73BC"/>
    <w:rsid w:val="00DC73DC"/>
    <w:rsid w:val="00DC7496"/>
    <w:rsid w:val="00DC749A"/>
    <w:rsid w:val="00DC7553"/>
    <w:rsid w:val="00DC7731"/>
    <w:rsid w:val="00DD0302"/>
    <w:rsid w:val="00DD0332"/>
    <w:rsid w:val="00DD0590"/>
    <w:rsid w:val="00DD094F"/>
    <w:rsid w:val="00DD0959"/>
    <w:rsid w:val="00DD168E"/>
    <w:rsid w:val="00DD16E4"/>
    <w:rsid w:val="00DD180D"/>
    <w:rsid w:val="00DD190C"/>
    <w:rsid w:val="00DD23C4"/>
    <w:rsid w:val="00DD259A"/>
    <w:rsid w:val="00DD27CE"/>
    <w:rsid w:val="00DD28CB"/>
    <w:rsid w:val="00DD2BD3"/>
    <w:rsid w:val="00DD2CCC"/>
    <w:rsid w:val="00DD2FF6"/>
    <w:rsid w:val="00DD3728"/>
    <w:rsid w:val="00DD3744"/>
    <w:rsid w:val="00DD3DB7"/>
    <w:rsid w:val="00DD411D"/>
    <w:rsid w:val="00DD456A"/>
    <w:rsid w:val="00DD457A"/>
    <w:rsid w:val="00DD4640"/>
    <w:rsid w:val="00DD4BFE"/>
    <w:rsid w:val="00DD4DC5"/>
    <w:rsid w:val="00DD4E88"/>
    <w:rsid w:val="00DD4F6B"/>
    <w:rsid w:val="00DD61E3"/>
    <w:rsid w:val="00DD6364"/>
    <w:rsid w:val="00DD64EC"/>
    <w:rsid w:val="00DD678D"/>
    <w:rsid w:val="00DD6E93"/>
    <w:rsid w:val="00DD6F10"/>
    <w:rsid w:val="00DD78F7"/>
    <w:rsid w:val="00DD7D7F"/>
    <w:rsid w:val="00DD7E82"/>
    <w:rsid w:val="00DE0932"/>
    <w:rsid w:val="00DE10F9"/>
    <w:rsid w:val="00DE1BCC"/>
    <w:rsid w:val="00DE245A"/>
    <w:rsid w:val="00DE2DFE"/>
    <w:rsid w:val="00DE311C"/>
    <w:rsid w:val="00DE3248"/>
    <w:rsid w:val="00DE407B"/>
    <w:rsid w:val="00DE4099"/>
    <w:rsid w:val="00DE40F7"/>
    <w:rsid w:val="00DE42DF"/>
    <w:rsid w:val="00DE4762"/>
    <w:rsid w:val="00DE47FD"/>
    <w:rsid w:val="00DE4D45"/>
    <w:rsid w:val="00DE4D80"/>
    <w:rsid w:val="00DE5456"/>
    <w:rsid w:val="00DE5C01"/>
    <w:rsid w:val="00DE5C26"/>
    <w:rsid w:val="00DE5E8C"/>
    <w:rsid w:val="00DE643E"/>
    <w:rsid w:val="00DE68B3"/>
    <w:rsid w:val="00DE7D3D"/>
    <w:rsid w:val="00DF00AA"/>
    <w:rsid w:val="00DF0380"/>
    <w:rsid w:val="00DF0A88"/>
    <w:rsid w:val="00DF0AB8"/>
    <w:rsid w:val="00DF0BCE"/>
    <w:rsid w:val="00DF1B67"/>
    <w:rsid w:val="00DF21AE"/>
    <w:rsid w:val="00DF2F26"/>
    <w:rsid w:val="00DF3329"/>
    <w:rsid w:val="00DF3D78"/>
    <w:rsid w:val="00DF3D90"/>
    <w:rsid w:val="00DF3FC8"/>
    <w:rsid w:val="00DF49F7"/>
    <w:rsid w:val="00DF4DB1"/>
    <w:rsid w:val="00DF5021"/>
    <w:rsid w:val="00DF769B"/>
    <w:rsid w:val="00E0011A"/>
    <w:rsid w:val="00E00B18"/>
    <w:rsid w:val="00E00BA2"/>
    <w:rsid w:val="00E00BE5"/>
    <w:rsid w:val="00E00CC9"/>
    <w:rsid w:val="00E00D35"/>
    <w:rsid w:val="00E00D3E"/>
    <w:rsid w:val="00E00E51"/>
    <w:rsid w:val="00E00FE0"/>
    <w:rsid w:val="00E01028"/>
    <w:rsid w:val="00E0108C"/>
    <w:rsid w:val="00E01192"/>
    <w:rsid w:val="00E01205"/>
    <w:rsid w:val="00E0154A"/>
    <w:rsid w:val="00E015A1"/>
    <w:rsid w:val="00E0186E"/>
    <w:rsid w:val="00E0198A"/>
    <w:rsid w:val="00E02053"/>
    <w:rsid w:val="00E023F6"/>
    <w:rsid w:val="00E02FD1"/>
    <w:rsid w:val="00E034B2"/>
    <w:rsid w:val="00E0399B"/>
    <w:rsid w:val="00E03DD2"/>
    <w:rsid w:val="00E046D8"/>
    <w:rsid w:val="00E0511E"/>
    <w:rsid w:val="00E05CD0"/>
    <w:rsid w:val="00E05FF0"/>
    <w:rsid w:val="00E0615B"/>
    <w:rsid w:val="00E0698C"/>
    <w:rsid w:val="00E0701B"/>
    <w:rsid w:val="00E072E7"/>
    <w:rsid w:val="00E077A1"/>
    <w:rsid w:val="00E077B9"/>
    <w:rsid w:val="00E07A36"/>
    <w:rsid w:val="00E07A72"/>
    <w:rsid w:val="00E07DF1"/>
    <w:rsid w:val="00E07EEB"/>
    <w:rsid w:val="00E10265"/>
    <w:rsid w:val="00E109E8"/>
    <w:rsid w:val="00E114D4"/>
    <w:rsid w:val="00E123CC"/>
    <w:rsid w:val="00E12496"/>
    <w:rsid w:val="00E1297F"/>
    <w:rsid w:val="00E12F9B"/>
    <w:rsid w:val="00E1314D"/>
    <w:rsid w:val="00E13528"/>
    <w:rsid w:val="00E14103"/>
    <w:rsid w:val="00E1477B"/>
    <w:rsid w:val="00E14786"/>
    <w:rsid w:val="00E1481C"/>
    <w:rsid w:val="00E14A21"/>
    <w:rsid w:val="00E14FE3"/>
    <w:rsid w:val="00E1502C"/>
    <w:rsid w:val="00E15127"/>
    <w:rsid w:val="00E159A4"/>
    <w:rsid w:val="00E15A88"/>
    <w:rsid w:val="00E15DB8"/>
    <w:rsid w:val="00E16516"/>
    <w:rsid w:val="00E16B89"/>
    <w:rsid w:val="00E16DEE"/>
    <w:rsid w:val="00E16E45"/>
    <w:rsid w:val="00E17014"/>
    <w:rsid w:val="00E17040"/>
    <w:rsid w:val="00E20317"/>
    <w:rsid w:val="00E207A4"/>
    <w:rsid w:val="00E21015"/>
    <w:rsid w:val="00E21121"/>
    <w:rsid w:val="00E2143C"/>
    <w:rsid w:val="00E21655"/>
    <w:rsid w:val="00E21B5C"/>
    <w:rsid w:val="00E21DB2"/>
    <w:rsid w:val="00E22BF9"/>
    <w:rsid w:val="00E24166"/>
    <w:rsid w:val="00E244BF"/>
    <w:rsid w:val="00E2453E"/>
    <w:rsid w:val="00E24685"/>
    <w:rsid w:val="00E24871"/>
    <w:rsid w:val="00E24B98"/>
    <w:rsid w:val="00E2501A"/>
    <w:rsid w:val="00E254A4"/>
    <w:rsid w:val="00E25E3D"/>
    <w:rsid w:val="00E25F17"/>
    <w:rsid w:val="00E26618"/>
    <w:rsid w:val="00E2696B"/>
    <w:rsid w:val="00E270E3"/>
    <w:rsid w:val="00E27598"/>
    <w:rsid w:val="00E27A9C"/>
    <w:rsid w:val="00E305AE"/>
    <w:rsid w:val="00E30B51"/>
    <w:rsid w:val="00E30BFE"/>
    <w:rsid w:val="00E30DB4"/>
    <w:rsid w:val="00E30E4B"/>
    <w:rsid w:val="00E3131D"/>
    <w:rsid w:val="00E319F6"/>
    <w:rsid w:val="00E31B79"/>
    <w:rsid w:val="00E31ED7"/>
    <w:rsid w:val="00E32D0A"/>
    <w:rsid w:val="00E32EBA"/>
    <w:rsid w:val="00E33271"/>
    <w:rsid w:val="00E33522"/>
    <w:rsid w:val="00E33905"/>
    <w:rsid w:val="00E339BA"/>
    <w:rsid w:val="00E34213"/>
    <w:rsid w:val="00E34299"/>
    <w:rsid w:val="00E34300"/>
    <w:rsid w:val="00E344A5"/>
    <w:rsid w:val="00E34736"/>
    <w:rsid w:val="00E34ABC"/>
    <w:rsid w:val="00E34F74"/>
    <w:rsid w:val="00E35206"/>
    <w:rsid w:val="00E35318"/>
    <w:rsid w:val="00E3572D"/>
    <w:rsid w:val="00E35E20"/>
    <w:rsid w:val="00E37C94"/>
    <w:rsid w:val="00E4004D"/>
    <w:rsid w:val="00E40347"/>
    <w:rsid w:val="00E40C88"/>
    <w:rsid w:val="00E40D49"/>
    <w:rsid w:val="00E40DAF"/>
    <w:rsid w:val="00E4114D"/>
    <w:rsid w:val="00E4136E"/>
    <w:rsid w:val="00E41965"/>
    <w:rsid w:val="00E422E7"/>
    <w:rsid w:val="00E4241E"/>
    <w:rsid w:val="00E428BD"/>
    <w:rsid w:val="00E43A14"/>
    <w:rsid w:val="00E43A69"/>
    <w:rsid w:val="00E43FB7"/>
    <w:rsid w:val="00E44217"/>
    <w:rsid w:val="00E449CF"/>
    <w:rsid w:val="00E44FF9"/>
    <w:rsid w:val="00E4554F"/>
    <w:rsid w:val="00E4605B"/>
    <w:rsid w:val="00E4659B"/>
    <w:rsid w:val="00E4677C"/>
    <w:rsid w:val="00E467A4"/>
    <w:rsid w:val="00E46882"/>
    <w:rsid w:val="00E47341"/>
    <w:rsid w:val="00E47D65"/>
    <w:rsid w:val="00E50CB0"/>
    <w:rsid w:val="00E51110"/>
    <w:rsid w:val="00E5186B"/>
    <w:rsid w:val="00E51A3F"/>
    <w:rsid w:val="00E520D6"/>
    <w:rsid w:val="00E52285"/>
    <w:rsid w:val="00E52A92"/>
    <w:rsid w:val="00E52B8C"/>
    <w:rsid w:val="00E52DD0"/>
    <w:rsid w:val="00E537D5"/>
    <w:rsid w:val="00E53880"/>
    <w:rsid w:val="00E53950"/>
    <w:rsid w:val="00E53ED2"/>
    <w:rsid w:val="00E5525B"/>
    <w:rsid w:val="00E55A21"/>
    <w:rsid w:val="00E5670A"/>
    <w:rsid w:val="00E56C46"/>
    <w:rsid w:val="00E5793D"/>
    <w:rsid w:val="00E57A6D"/>
    <w:rsid w:val="00E57A7A"/>
    <w:rsid w:val="00E57DDC"/>
    <w:rsid w:val="00E57FA1"/>
    <w:rsid w:val="00E60E87"/>
    <w:rsid w:val="00E60EF8"/>
    <w:rsid w:val="00E6117F"/>
    <w:rsid w:val="00E61A2E"/>
    <w:rsid w:val="00E6208C"/>
    <w:rsid w:val="00E63A12"/>
    <w:rsid w:val="00E64182"/>
    <w:rsid w:val="00E642DB"/>
    <w:rsid w:val="00E64726"/>
    <w:rsid w:val="00E6498B"/>
    <w:rsid w:val="00E64D11"/>
    <w:rsid w:val="00E65822"/>
    <w:rsid w:val="00E65DE1"/>
    <w:rsid w:val="00E66162"/>
    <w:rsid w:val="00E66A28"/>
    <w:rsid w:val="00E67D07"/>
    <w:rsid w:val="00E67F0E"/>
    <w:rsid w:val="00E7051C"/>
    <w:rsid w:val="00E70576"/>
    <w:rsid w:val="00E70B0B"/>
    <w:rsid w:val="00E70CD7"/>
    <w:rsid w:val="00E715E2"/>
    <w:rsid w:val="00E716EC"/>
    <w:rsid w:val="00E71A22"/>
    <w:rsid w:val="00E71F3F"/>
    <w:rsid w:val="00E72138"/>
    <w:rsid w:val="00E72765"/>
    <w:rsid w:val="00E727F2"/>
    <w:rsid w:val="00E72F72"/>
    <w:rsid w:val="00E734BD"/>
    <w:rsid w:val="00E735D4"/>
    <w:rsid w:val="00E73FF3"/>
    <w:rsid w:val="00E74059"/>
    <w:rsid w:val="00E741C4"/>
    <w:rsid w:val="00E7450A"/>
    <w:rsid w:val="00E755DA"/>
    <w:rsid w:val="00E756A8"/>
    <w:rsid w:val="00E7572A"/>
    <w:rsid w:val="00E75D16"/>
    <w:rsid w:val="00E761F4"/>
    <w:rsid w:val="00E80251"/>
    <w:rsid w:val="00E802FC"/>
    <w:rsid w:val="00E80B4F"/>
    <w:rsid w:val="00E80EA2"/>
    <w:rsid w:val="00E815D1"/>
    <w:rsid w:val="00E81654"/>
    <w:rsid w:val="00E81736"/>
    <w:rsid w:val="00E81889"/>
    <w:rsid w:val="00E81AC5"/>
    <w:rsid w:val="00E82655"/>
    <w:rsid w:val="00E8269B"/>
    <w:rsid w:val="00E82995"/>
    <w:rsid w:val="00E83C64"/>
    <w:rsid w:val="00E83D77"/>
    <w:rsid w:val="00E84289"/>
    <w:rsid w:val="00E84385"/>
    <w:rsid w:val="00E849A4"/>
    <w:rsid w:val="00E850A1"/>
    <w:rsid w:val="00E8599F"/>
    <w:rsid w:val="00E85CEB"/>
    <w:rsid w:val="00E86760"/>
    <w:rsid w:val="00E86A1D"/>
    <w:rsid w:val="00E87126"/>
    <w:rsid w:val="00E872E1"/>
    <w:rsid w:val="00E874AC"/>
    <w:rsid w:val="00E875A1"/>
    <w:rsid w:val="00E87948"/>
    <w:rsid w:val="00E87B58"/>
    <w:rsid w:val="00E87BC9"/>
    <w:rsid w:val="00E90282"/>
    <w:rsid w:val="00E9043F"/>
    <w:rsid w:val="00E90665"/>
    <w:rsid w:val="00E91600"/>
    <w:rsid w:val="00E91638"/>
    <w:rsid w:val="00E91D90"/>
    <w:rsid w:val="00E9277F"/>
    <w:rsid w:val="00E92DE4"/>
    <w:rsid w:val="00E93545"/>
    <w:rsid w:val="00E93737"/>
    <w:rsid w:val="00E93823"/>
    <w:rsid w:val="00E93B3D"/>
    <w:rsid w:val="00E93F43"/>
    <w:rsid w:val="00E94101"/>
    <w:rsid w:val="00E942D1"/>
    <w:rsid w:val="00E942F8"/>
    <w:rsid w:val="00E946D6"/>
    <w:rsid w:val="00E94865"/>
    <w:rsid w:val="00E95368"/>
    <w:rsid w:val="00E95794"/>
    <w:rsid w:val="00E95A4E"/>
    <w:rsid w:val="00E95E48"/>
    <w:rsid w:val="00E964A1"/>
    <w:rsid w:val="00E964F4"/>
    <w:rsid w:val="00E9660D"/>
    <w:rsid w:val="00E9691A"/>
    <w:rsid w:val="00E969C6"/>
    <w:rsid w:val="00E97147"/>
    <w:rsid w:val="00E97558"/>
    <w:rsid w:val="00E97597"/>
    <w:rsid w:val="00E977D1"/>
    <w:rsid w:val="00E97A0D"/>
    <w:rsid w:val="00E97FF8"/>
    <w:rsid w:val="00EA0047"/>
    <w:rsid w:val="00EA07F3"/>
    <w:rsid w:val="00EA0964"/>
    <w:rsid w:val="00EA0E94"/>
    <w:rsid w:val="00EA1012"/>
    <w:rsid w:val="00EA13BC"/>
    <w:rsid w:val="00EA209C"/>
    <w:rsid w:val="00EA245D"/>
    <w:rsid w:val="00EA25AB"/>
    <w:rsid w:val="00EA26F5"/>
    <w:rsid w:val="00EA27A9"/>
    <w:rsid w:val="00EA27EB"/>
    <w:rsid w:val="00EA2C44"/>
    <w:rsid w:val="00EA3A94"/>
    <w:rsid w:val="00EA3D25"/>
    <w:rsid w:val="00EA4082"/>
    <w:rsid w:val="00EA475C"/>
    <w:rsid w:val="00EA4DEA"/>
    <w:rsid w:val="00EA5334"/>
    <w:rsid w:val="00EA55E9"/>
    <w:rsid w:val="00EA573F"/>
    <w:rsid w:val="00EA5914"/>
    <w:rsid w:val="00EA5AAF"/>
    <w:rsid w:val="00EA5CEF"/>
    <w:rsid w:val="00EA5F31"/>
    <w:rsid w:val="00EA5F78"/>
    <w:rsid w:val="00EA5FBE"/>
    <w:rsid w:val="00EA6325"/>
    <w:rsid w:val="00EA6E81"/>
    <w:rsid w:val="00EA74D4"/>
    <w:rsid w:val="00EA77CA"/>
    <w:rsid w:val="00EA7E63"/>
    <w:rsid w:val="00EB04A6"/>
    <w:rsid w:val="00EB04CC"/>
    <w:rsid w:val="00EB0CAD"/>
    <w:rsid w:val="00EB0D0D"/>
    <w:rsid w:val="00EB1D72"/>
    <w:rsid w:val="00EB20D8"/>
    <w:rsid w:val="00EB2253"/>
    <w:rsid w:val="00EB2971"/>
    <w:rsid w:val="00EB2D58"/>
    <w:rsid w:val="00EB3DAA"/>
    <w:rsid w:val="00EB45F1"/>
    <w:rsid w:val="00EB4C95"/>
    <w:rsid w:val="00EB4EF1"/>
    <w:rsid w:val="00EB4F54"/>
    <w:rsid w:val="00EB51FB"/>
    <w:rsid w:val="00EB545F"/>
    <w:rsid w:val="00EB550B"/>
    <w:rsid w:val="00EB653D"/>
    <w:rsid w:val="00EB6B60"/>
    <w:rsid w:val="00EB6DBE"/>
    <w:rsid w:val="00EB725D"/>
    <w:rsid w:val="00EB7380"/>
    <w:rsid w:val="00EB7461"/>
    <w:rsid w:val="00EB7A79"/>
    <w:rsid w:val="00EB7B70"/>
    <w:rsid w:val="00EC0CDE"/>
    <w:rsid w:val="00EC0D1B"/>
    <w:rsid w:val="00EC0E6A"/>
    <w:rsid w:val="00EC1055"/>
    <w:rsid w:val="00EC10B7"/>
    <w:rsid w:val="00EC16BD"/>
    <w:rsid w:val="00EC191C"/>
    <w:rsid w:val="00EC2046"/>
    <w:rsid w:val="00EC3075"/>
    <w:rsid w:val="00EC30C6"/>
    <w:rsid w:val="00EC39EA"/>
    <w:rsid w:val="00EC4287"/>
    <w:rsid w:val="00EC44A4"/>
    <w:rsid w:val="00EC4807"/>
    <w:rsid w:val="00EC5738"/>
    <w:rsid w:val="00EC5CEE"/>
    <w:rsid w:val="00EC5F47"/>
    <w:rsid w:val="00EC615C"/>
    <w:rsid w:val="00EC68E5"/>
    <w:rsid w:val="00EC6A83"/>
    <w:rsid w:val="00EC6C32"/>
    <w:rsid w:val="00EC70F6"/>
    <w:rsid w:val="00EC733A"/>
    <w:rsid w:val="00EC7409"/>
    <w:rsid w:val="00EC7547"/>
    <w:rsid w:val="00EC7738"/>
    <w:rsid w:val="00EC7B10"/>
    <w:rsid w:val="00ED04BF"/>
    <w:rsid w:val="00ED0E47"/>
    <w:rsid w:val="00ED0F3A"/>
    <w:rsid w:val="00ED0F81"/>
    <w:rsid w:val="00ED0FE2"/>
    <w:rsid w:val="00ED107C"/>
    <w:rsid w:val="00ED11E2"/>
    <w:rsid w:val="00ED13A0"/>
    <w:rsid w:val="00ED1820"/>
    <w:rsid w:val="00ED1A83"/>
    <w:rsid w:val="00ED1D5E"/>
    <w:rsid w:val="00ED1D63"/>
    <w:rsid w:val="00ED1F78"/>
    <w:rsid w:val="00ED2653"/>
    <w:rsid w:val="00ED2717"/>
    <w:rsid w:val="00ED282E"/>
    <w:rsid w:val="00ED30C5"/>
    <w:rsid w:val="00ED37C8"/>
    <w:rsid w:val="00ED3AF7"/>
    <w:rsid w:val="00ED3B0A"/>
    <w:rsid w:val="00ED440B"/>
    <w:rsid w:val="00ED479C"/>
    <w:rsid w:val="00ED5067"/>
    <w:rsid w:val="00ED527A"/>
    <w:rsid w:val="00ED54B3"/>
    <w:rsid w:val="00ED56C3"/>
    <w:rsid w:val="00ED5CC6"/>
    <w:rsid w:val="00ED5D74"/>
    <w:rsid w:val="00ED5FA9"/>
    <w:rsid w:val="00ED63E3"/>
    <w:rsid w:val="00ED7280"/>
    <w:rsid w:val="00ED73D1"/>
    <w:rsid w:val="00ED7A57"/>
    <w:rsid w:val="00ED7F24"/>
    <w:rsid w:val="00ED7F3C"/>
    <w:rsid w:val="00ED7FFA"/>
    <w:rsid w:val="00EE0F28"/>
    <w:rsid w:val="00EE10A0"/>
    <w:rsid w:val="00EE1C09"/>
    <w:rsid w:val="00EE1FED"/>
    <w:rsid w:val="00EE257E"/>
    <w:rsid w:val="00EE2E4B"/>
    <w:rsid w:val="00EE2F6E"/>
    <w:rsid w:val="00EE2F9B"/>
    <w:rsid w:val="00EE3285"/>
    <w:rsid w:val="00EE359C"/>
    <w:rsid w:val="00EE3E53"/>
    <w:rsid w:val="00EE3EC9"/>
    <w:rsid w:val="00EE4CEB"/>
    <w:rsid w:val="00EE4D9F"/>
    <w:rsid w:val="00EE5C7C"/>
    <w:rsid w:val="00EE6B88"/>
    <w:rsid w:val="00EE7371"/>
    <w:rsid w:val="00EE75AA"/>
    <w:rsid w:val="00EF0316"/>
    <w:rsid w:val="00EF069A"/>
    <w:rsid w:val="00EF0B6D"/>
    <w:rsid w:val="00EF0E11"/>
    <w:rsid w:val="00EF0E2D"/>
    <w:rsid w:val="00EF17E9"/>
    <w:rsid w:val="00EF1D5E"/>
    <w:rsid w:val="00EF20E6"/>
    <w:rsid w:val="00EF2957"/>
    <w:rsid w:val="00EF2A6F"/>
    <w:rsid w:val="00EF30FA"/>
    <w:rsid w:val="00EF3462"/>
    <w:rsid w:val="00EF36E8"/>
    <w:rsid w:val="00EF3990"/>
    <w:rsid w:val="00EF3B89"/>
    <w:rsid w:val="00EF4337"/>
    <w:rsid w:val="00EF4588"/>
    <w:rsid w:val="00EF45F7"/>
    <w:rsid w:val="00EF46EC"/>
    <w:rsid w:val="00EF4932"/>
    <w:rsid w:val="00EF4A20"/>
    <w:rsid w:val="00EF4A49"/>
    <w:rsid w:val="00EF4DEF"/>
    <w:rsid w:val="00EF551F"/>
    <w:rsid w:val="00EF5BBA"/>
    <w:rsid w:val="00EF6019"/>
    <w:rsid w:val="00EF602D"/>
    <w:rsid w:val="00EF773B"/>
    <w:rsid w:val="00EF7E5B"/>
    <w:rsid w:val="00F00239"/>
    <w:rsid w:val="00F003E3"/>
    <w:rsid w:val="00F005E4"/>
    <w:rsid w:val="00F006F4"/>
    <w:rsid w:val="00F00CF9"/>
    <w:rsid w:val="00F01A16"/>
    <w:rsid w:val="00F01D33"/>
    <w:rsid w:val="00F01DDE"/>
    <w:rsid w:val="00F01F16"/>
    <w:rsid w:val="00F021BC"/>
    <w:rsid w:val="00F025E0"/>
    <w:rsid w:val="00F02670"/>
    <w:rsid w:val="00F02865"/>
    <w:rsid w:val="00F03654"/>
    <w:rsid w:val="00F03E5C"/>
    <w:rsid w:val="00F03F7D"/>
    <w:rsid w:val="00F042A4"/>
    <w:rsid w:val="00F04656"/>
    <w:rsid w:val="00F046EA"/>
    <w:rsid w:val="00F04F47"/>
    <w:rsid w:val="00F050E9"/>
    <w:rsid w:val="00F05231"/>
    <w:rsid w:val="00F0531B"/>
    <w:rsid w:val="00F055A9"/>
    <w:rsid w:val="00F05A0C"/>
    <w:rsid w:val="00F05C8B"/>
    <w:rsid w:val="00F06011"/>
    <w:rsid w:val="00F0615F"/>
    <w:rsid w:val="00F061A2"/>
    <w:rsid w:val="00F066C9"/>
    <w:rsid w:val="00F06A06"/>
    <w:rsid w:val="00F06E0F"/>
    <w:rsid w:val="00F06F3B"/>
    <w:rsid w:val="00F079B4"/>
    <w:rsid w:val="00F07ABE"/>
    <w:rsid w:val="00F07C0E"/>
    <w:rsid w:val="00F07CE3"/>
    <w:rsid w:val="00F07D3B"/>
    <w:rsid w:val="00F10D0C"/>
    <w:rsid w:val="00F10F04"/>
    <w:rsid w:val="00F10F70"/>
    <w:rsid w:val="00F11138"/>
    <w:rsid w:val="00F11490"/>
    <w:rsid w:val="00F1157B"/>
    <w:rsid w:val="00F1173D"/>
    <w:rsid w:val="00F11A3F"/>
    <w:rsid w:val="00F11BFE"/>
    <w:rsid w:val="00F11F25"/>
    <w:rsid w:val="00F1223E"/>
    <w:rsid w:val="00F12266"/>
    <w:rsid w:val="00F12426"/>
    <w:rsid w:val="00F12634"/>
    <w:rsid w:val="00F12E2A"/>
    <w:rsid w:val="00F130D9"/>
    <w:rsid w:val="00F136F7"/>
    <w:rsid w:val="00F13B3D"/>
    <w:rsid w:val="00F13BEF"/>
    <w:rsid w:val="00F14164"/>
    <w:rsid w:val="00F14793"/>
    <w:rsid w:val="00F15143"/>
    <w:rsid w:val="00F153FF"/>
    <w:rsid w:val="00F15996"/>
    <w:rsid w:val="00F15B5B"/>
    <w:rsid w:val="00F16277"/>
    <w:rsid w:val="00F16970"/>
    <w:rsid w:val="00F17658"/>
    <w:rsid w:val="00F1783A"/>
    <w:rsid w:val="00F17854"/>
    <w:rsid w:val="00F1790B"/>
    <w:rsid w:val="00F2014F"/>
    <w:rsid w:val="00F20192"/>
    <w:rsid w:val="00F2071B"/>
    <w:rsid w:val="00F20FC3"/>
    <w:rsid w:val="00F212F5"/>
    <w:rsid w:val="00F21CD2"/>
    <w:rsid w:val="00F23B21"/>
    <w:rsid w:val="00F2410A"/>
    <w:rsid w:val="00F249A4"/>
    <w:rsid w:val="00F251BC"/>
    <w:rsid w:val="00F25ABC"/>
    <w:rsid w:val="00F25B69"/>
    <w:rsid w:val="00F25D53"/>
    <w:rsid w:val="00F2617E"/>
    <w:rsid w:val="00F261C5"/>
    <w:rsid w:val="00F2666B"/>
    <w:rsid w:val="00F27468"/>
    <w:rsid w:val="00F277E4"/>
    <w:rsid w:val="00F27941"/>
    <w:rsid w:val="00F27A06"/>
    <w:rsid w:val="00F27D40"/>
    <w:rsid w:val="00F27DBB"/>
    <w:rsid w:val="00F27E8A"/>
    <w:rsid w:val="00F27FE2"/>
    <w:rsid w:val="00F300AA"/>
    <w:rsid w:val="00F300DC"/>
    <w:rsid w:val="00F300DE"/>
    <w:rsid w:val="00F30534"/>
    <w:rsid w:val="00F309A7"/>
    <w:rsid w:val="00F31041"/>
    <w:rsid w:val="00F312B2"/>
    <w:rsid w:val="00F320DA"/>
    <w:rsid w:val="00F321C2"/>
    <w:rsid w:val="00F332C0"/>
    <w:rsid w:val="00F336F1"/>
    <w:rsid w:val="00F338B1"/>
    <w:rsid w:val="00F33DA4"/>
    <w:rsid w:val="00F33E4A"/>
    <w:rsid w:val="00F34024"/>
    <w:rsid w:val="00F34291"/>
    <w:rsid w:val="00F34C3B"/>
    <w:rsid w:val="00F34CF1"/>
    <w:rsid w:val="00F34D88"/>
    <w:rsid w:val="00F35276"/>
    <w:rsid w:val="00F35479"/>
    <w:rsid w:val="00F35AAB"/>
    <w:rsid w:val="00F364B3"/>
    <w:rsid w:val="00F3697E"/>
    <w:rsid w:val="00F36B82"/>
    <w:rsid w:val="00F37182"/>
    <w:rsid w:val="00F37612"/>
    <w:rsid w:val="00F37926"/>
    <w:rsid w:val="00F37AB1"/>
    <w:rsid w:val="00F37DB3"/>
    <w:rsid w:val="00F404A1"/>
    <w:rsid w:val="00F408DE"/>
    <w:rsid w:val="00F408FC"/>
    <w:rsid w:val="00F40CD2"/>
    <w:rsid w:val="00F40F4C"/>
    <w:rsid w:val="00F41E5D"/>
    <w:rsid w:val="00F41ECB"/>
    <w:rsid w:val="00F4205E"/>
    <w:rsid w:val="00F42384"/>
    <w:rsid w:val="00F42443"/>
    <w:rsid w:val="00F426D1"/>
    <w:rsid w:val="00F42702"/>
    <w:rsid w:val="00F428FD"/>
    <w:rsid w:val="00F42E07"/>
    <w:rsid w:val="00F43073"/>
    <w:rsid w:val="00F43641"/>
    <w:rsid w:val="00F43B83"/>
    <w:rsid w:val="00F44040"/>
    <w:rsid w:val="00F445D6"/>
    <w:rsid w:val="00F44FFE"/>
    <w:rsid w:val="00F45550"/>
    <w:rsid w:val="00F45B99"/>
    <w:rsid w:val="00F45EE6"/>
    <w:rsid w:val="00F4612C"/>
    <w:rsid w:val="00F46252"/>
    <w:rsid w:val="00F4643A"/>
    <w:rsid w:val="00F46C27"/>
    <w:rsid w:val="00F47005"/>
    <w:rsid w:val="00F47426"/>
    <w:rsid w:val="00F474E3"/>
    <w:rsid w:val="00F47CF3"/>
    <w:rsid w:val="00F47F4E"/>
    <w:rsid w:val="00F50250"/>
    <w:rsid w:val="00F508F7"/>
    <w:rsid w:val="00F50E62"/>
    <w:rsid w:val="00F50EF7"/>
    <w:rsid w:val="00F51076"/>
    <w:rsid w:val="00F51A72"/>
    <w:rsid w:val="00F521F5"/>
    <w:rsid w:val="00F52C76"/>
    <w:rsid w:val="00F52FC4"/>
    <w:rsid w:val="00F53684"/>
    <w:rsid w:val="00F53A12"/>
    <w:rsid w:val="00F5404E"/>
    <w:rsid w:val="00F5438C"/>
    <w:rsid w:val="00F545C6"/>
    <w:rsid w:val="00F54EA6"/>
    <w:rsid w:val="00F54F7E"/>
    <w:rsid w:val="00F54F89"/>
    <w:rsid w:val="00F550E2"/>
    <w:rsid w:val="00F55327"/>
    <w:rsid w:val="00F55D7D"/>
    <w:rsid w:val="00F55FB0"/>
    <w:rsid w:val="00F5655F"/>
    <w:rsid w:val="00F56873"/>
    <w:rsid w:val="00F5690D"/>
    <w:rsid w:val="00F5697D"/>
    <w:rsid w:val="00F56E5B"/>
    <w:rsid w:val="00F5778D"/>
    <w:rsid w:val="00F578E3"/>
    <w:rsid w:val="00F57C1D"/>
    <w:rsid w:val="00F6034D"/>
    <w:rsid w:val="00F60E8C"/>
    <w:rsid w:val="00F60EF1"/>
    <w:rsid w:val="00F618BE"/>
    <w:rsid w:val="00F61E56"/>
    <w:rsid w:val="00F61EAD"/>
    <w:rsid w:val="00F632B1"/>
    <w:rsid w:val="00F63B46"/>
    <w:rsid w:val="00F644E5"/>
    <w:rsid w:val="00F647CB"/>
    <w:rsid w:val="00F6571A"/>
    <w:rsid w:val="00F65C98"/>
    <w:rsid w:val="00F662E8"/>
    <w:rsid w:val="00F66450"/>
    <w:rsid w:val="00F6686D"/>
    <w:rsid w:val="00F66958"/>
    <w:rsid w:val="00F66AEE"/>
    <w:rsid w:val="00F67247"/>
    <w:rsid w:val="00F67DD2"/>
    <w:rsid w:val="00F70156"/>
    <w:rsid w:val="00F70492"/>
    <w:rsid w:val="00F707D2"/>
    <w:rsid w:val="00F70A1D"/>
    <w:rsid w:val="00F71831"/>
    <w:rsid w:val="00F71B27"/>
    <w:rsid w:val="00F72902"/>
    <w:rsid w:val="00F7342C"/>
    <w:rsid w:val="00F73AF2"/>
    <w:rsid w:val="00F73F20"/>
    <w:rsid w:val="00F7403F"/>
    <w:rsid w:val="00F74488"/>
    <w:rsid w:val="00F74527"/>
    <w:rsid w:val="00F75565"/>
    <w:rsid w:val="00F7586A"/>
    <w:rsid w:val="00F759F8"/>
    <w:rsid w:val="00F772C8"/>
    <w:rsid w:val="00F77C9D"/>
    <w:rsid w:val="00F80718"/>
    <w:rsid w:val="00F80B43"/>
    <w:rsid w:val="00F81163"/>
    <w:rsid w:val="00F81884"/>
    <w:rsid w:val="00F8198D"/>
    <w:rsid w:val="00F81F48"/>
    <w:rsid w:val="00F81FE7"/>
    <w:rsid w:val="00F82E72"/>
    <w:rsid w:val="00F8359C"/>
    <w:rsid w:val="00F8466B"/>
    <w:rsid w:val="00F84916"/>
    <w:rsid w:val="00F857D5"/>
    <w:rsid w:val="00F858B6"/>
    <w:rsid w:val="00F8592C"/>
    <w:rsid w:val="00F85A74"/>
    <w:rsid w:val="00F85CFF"/>
    <w:rsid w:val="00F85E1E"/>
    <w:rsid w:val="00F8626C"/>
    <w:rsid w:val="00F8676F"/>
    <w:rsid w:val="00F87656"/>
    <w:rsid w:val="00F87961"/>
    <w:rsid w:val="00F87F8C"/>
    <w:rsid w:val="00F902EB"/>
    <w:rsid w:val="00F9046D"/>
    <w:rsid w:val="00F90DE0"/>
    <w:rsid w:val="00F90FC2"/>
    <w:rsid w:val="00F9153E"/>
    <w:rsid w:val="00F916D0"/>
    <w:rsid w:val="00F91A80"/>
    <w:rsid w:val="00F924C2"/>
    <w:rsid w:val="00F92550"/>
    <w:rsid w:val="00F92710"/>
    <w:rsid w:val="00F92904"/>
    <w:rsid w:val="00F92941"/>
    <w:rsid w:val="00F92B57"/>
    <w:rsid w:val="00F92CDC"/>
    <w:rsid w:val="00F92DF3"/>
    <w:rsid w:val="00F93434"/>
    <w:rsid w:val="00F93E6B"/>
    <w:rsid w:val="00F94068"/>
    <w:rsid w:val="00F94AB8"/>
    <w:rsid w:val="00F94B31"/>
    <w:rsid w:val="00F94B97"/>
    <w:rsid w:val="00F94D03"/>
    <w:rsid w:val="00F95669"/>
    <w:rsid w:val="00F95847"/>
    <w:rsid w:val="00F95D18"/>
    <w:rsid w:val="00F96402"/>
    <w:rsid w:val="00F96551"/>
    <w:rsid w:val="00F97D33"/>
    <w:rsid w:val="00F97F58"/>
    <w:rsid w:val="00FA04E0"/>
    <w:rsid w:val="00FA0771"/>
    <w:rsid w:val="00FA0952"/>
    <w:rsid w:val="00FA0B0C"/>
    <w:rsid w:val="00FA0D6A"/>
    <w:rsid w:val="00FA11EF"/>
    <w:rsid w:val="00FA191C"/>
    <w:rsid w:val="00FA1925"/>
    <w:rsid w:val="00FA1B45"/>
    <w:rsid w:val="00FA1E63"/>
    <w:rsid w:val="00FA2160"/>
    <w:rsid w:val="00FA21DC"/>
    <w:rsid w:val="00FA24F1"/>
    <w:rsid w:val="00FA2A74"/>
    <w:rsid w:val="00FA2DA2"/>
    <w:rsid w:val="00FA3085"/>
    <w:rsid w:val="00FA334D"/>
    <w:rsid w:val="00FA40EF"/>
    <w:rsid w:val="00FA43FB"/>
    <w:rsid w:val="00FA465F"/>
    <w:rsid w:val="00FA4D3C"/>
    <w:rsid w:val="00FA52C3"/>
    <w:rsid w:val="00FA58CA"/>
    <w:rsid w:val="00FA59C8"/>
    <w:rsid w:val="00FA5F23"/>
    <w:rsid w:val="00FA6326"/>
    <w:rsid w:val="00FA696C"/>
    <w:rsid w:val="00FA6E00"/>
    <w:rsid w:val="00FB0430"/>
    <w:rsid w:val="00FB04A8"/>
    <w:rsid w:val="00FB0556"/>
    <w:rsid w:val="00FB0CBE"/>
    <w:rsid w:val="00FB0DA3"/>
    <w:rsid w:val="00FB0FE1"/>
    <w:rsid w:val="00FB12D3"/>
    <w:rsid w:val="00FB16BD"/>
    <w:rsid w:val="00FB1FAB"/>
    <w:rsid w:val="00FB231B"/>
    <w:rsid w:val="00FB231C"/>
    <w:rsid w:val="00FB238A"/>
    <w:rsid w:val="00FB275C"/>
    <w:rsid w:val="00FB3511"/>
    <w:rsid w:val="00FB3BB7"/>
    <w:rsid w:val="00FB3CFC"/>
    <w:rsid w:val="00FB3D07"/>
    <w:rsid w:val="00FB451C"/>
    <w:rsid w:val="00FB4B49"/>
    <w:rsid w:val="00FB587E"/>
    <w:rsid w:val="00FB65A5"/>
    <w:rsid w:val="00FB69B8"/>
    <w:rsid w:val="00FB69F8"/>
    <w:rsid w:val="00FB7723"/>
    <w:rsid w:val="00FC0007"/>
    <w:rsid w:val="00FC05B7"/>
    <w:rsid w:val="00FC09A7"/>
    <w:rsid w:val="00FC15AD"/>
    <w:rsid w:val="00FC1702"/>
    <w:rsid w:val="00FC18C8"/>
    <w:rsid w:val="00FC2CD9"/>
    <w:rsid w:val="00FC2F73"/>
    <w:rsid w:val="00FC2F7C"/>
    <w:rsid w:val="00FC368D"/>
    <w:rsid w:val="00FC3E57"/>
    <w:rsid w:val="00FC3F0E"/>
    <w:rsid w:val="00FC3F56"/>
    <w:rsid w:val="00FC4633"/>
    <w:rsid w:val="00FC476F"/>
    <w:rsid w:val="00FC4878"/>
    <w:rsid w:val="00FC5425"/>
    <w:rsid w:val="00FC5828"/>
    <w:rsid w:val="00FC5AD7"/>
    <w:rsid w:val="00FC5EB9"/>
    <w:rsid w:val="00FC605C"/>
    <w:rsid w:val="00FC694F"/>
    <w:rsid w:val="00FC6B0A"/>
    <w:rsid w:val="00FC7254"/>
    <w:rsid w:val="00FC7651"/>
    <w:rsid w:val="00FC76C8"/>
    <w:rsid w:val="00FC7F8E"/>
    <w:rsid w:val="00FD0526"/>
    <w:rsid w:val="00FD0851"/>
    <w:rsid w:val="00FD0951"/>
    <w:rsid w:val="00FD0C76"/>
    <w:rsid w:val="00FD10FB"/>
    <w:rsid w:val="00FD17DB"/>
    <w:rsid w:val="00FD1A60"/>
    <w:rsid w:val="00FD1D0E"/>
    <w:rsid w:val="00FD277C"/>
    <w:rsid w:val="00FD278B"/>
    <w:rsid w:val="00FD3173"/>
    <w:rsid w:val="00FD3193"/>
    <w:rsid w:val="00FD32D8"/>
    <w:rsid w:val="00FD34F3"/>
    <w:rsid w:val="00FD3A6B"/>
    <w:rsid w:val="00FD3AFA"/>
    <w:rsid w:val="00FD4D4C"/>
    <w:rsid w:val="00FD506A"/>
    <w:rsid w:val="00FD51B2"/>
    <w:rsid w:val="00FD5A20"/>
    <w:rsid w:val="00FD5AE5"/>
    <w:rsid w:val="00FD5C35"/>
    <w:rsid w:val="00FD6134"/>
    <w:rsid w:val="00FD70AC"/>
    <w:rsid w:val="00FD7F42"/>
    <w:rsid w:val="00FE011C"/>
    <w:rsid w:val="00FE063B"/>
    <w:rsid w:val="00FE0730"/>
    <w:rsid w:val="00FE0C55"/>
    <w:rsid w:val="00FE1406"/>
    <w:rsid w:val="00FE18CE"/>
    <w:rsid w:val="00FE1E37"/>
    <w:rsid w:val="00FE2022"/>
    <w:rsid w:val="00FE2348"/>
    <w:rsid w:val="00FE2C26"/>
    <w:rsid w:val="00FE34BE"/>
    <w:rsid w:val="00FE3657"/>
    <w:rsid w:val="00FE3A31"/>
    <w:rsid w:val="00FE3A34"/>
    <w:rsid w:val="00FE3B23"/>
    <w:rsid w:val="00FE3BBA"/>
    <w:rsid w:val="00FE4CEC"/>
    <w:rsid w:val="00FE4E6B"/>
    <w:rsid w:val="00FE5025"/>
    <w:rsid w:val="00FE5265"/>
    <w:rsid w:val="00FE527D"/>
    <w:rsid w:val="00FE52E9"/>
    <w:rsid w:val="00FE57EF"/>
    <w:rsid w:val="00FE5A58"/>
    <w:rsid w:val="00FE5DF8"/>
    <w:rsid w:val="00FE6849"/>
    <w:rsid w:val="00FE68DB"/>
    <w:rsid w:val="00FE7462"/>
    <w:rsid w:val="00FE74BA"/>
    <w:rsid w:val="00FE791F"/>
    <w:rsid w:val="00FF0052"/>
    <w:rsid w:val="00FF0560"/>
    <w:rsid w:val="00FF0919"/>
    <w:rsid w:val="00FF0E1D"/>
    <w:rsid w:val="00FF1017"/>
    <w:rsid w:val="00FF11AE"/>
    <w:rsid w:val="00FF18B6"/>
    <w:rsid w:val="00FF242A"/>
    <w:rsid w:val="00FF2606"/>
    <w:rsid w:val="00FF267F"/>
    <w:rsid w:val="00FF2A1D"/>
    <w:rsid w:val="00FF2C1F"/>
    <w:rsid w:val="00FF2DB2"/>
    <w:rsid w:val="00FF3465"/>
    <w:rsid w:val="00FF3DB7"/>
    <w:rsid w:val="00FF3E8C"/>
    <w:rsid w:val="00FF403D"/>
    <w:rsid w:val="00FF416F"/>
    <w:rsid w:val="00FF4781"/>
    <w:rsid w:val="00FF482E"/>
    <w:rsid w:val="00FF4D07"/>
    <w:rsid w:val="00FF4E5B"/>
    <w:rsid w:val="00FF516C"/>
    <w:rsid w:val="00FF603E"/>
    <w:rsid w:val="00FF643C"/>
    <w:rsid w:val="00FF6C69"/>
    <w:rsid w:val="00FF6DFF"/>
    <w:rsid w:val="00FF721D"/>
    <w:rsid w:val="00FF77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E25"/>
    <w:rPr>
      <w:sz w:val="24"/>
      <w:szCs w:val="24"/>
    </w:rPr>
  </w:style>
  <w:style w:type="paragraph" w:styleId="1">
    <w:name w:val="heading 1"/>
    <w:basedOn w:val="a"/>
    <w:next w:val="a"/>
    <w:link w:val="Heading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Heading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Heading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Heading4Char"/>
    <w:qFormat/>
    <w:rsid w:val="0034482B"/>
    <w:pPr>
      <w:keepNext/>
      <w:jc w:val="both"/>
      <w:outlineLvl w:val="3"/>
    </w:pPr>
    <w:rPr>
      <w:rFonts w:ascii="Arial Narrow" w:hAnsi="Arial Narrow"/>
      <w:b/>
      <w:i/>
      <w:color w:val="000080"/>
      <w:szCs w:val="22"/>
    </w:rPr>
  </w:style>
  <w:style w:type="paragraph" w:styleId="5">
    <w:name w:val="heading 5"/>
    <w:basedOn w:val="a"/>
    <w:next w:val="a"/>
    <w:link w:val="Heading5Char"/>
    <w:qFormat/>
    <w:rsid w:val="0034482B"/>
    <w:pPr>
      <w:keepNext/>
      <w:jc w:val="both"/>
      <w:outlineLvl w:val="4"/>
    </w:pPr>
    <w:rPr>
      <w:rFonts w:ascii="Arial Narrow" w:hAnsi="Arial Narrow"/>
      <w:b/>
      <w:sz w:val="22"/>
      <w:szCs w:val="22"/>
    </w:rPr>
  </w:style>
  <w:style w:type="paragraph" w:styleId="6">
    <w:name w:val="heading 6"/>
    <w:basedOn w:val="a"/>
    <w:next w:val="a"/>
    <w:link w:val="Heading6Char"/>
    <w:qFormat/>
    <w:rsid w:val="0022549F"/>
    <w:pPr>
      <w:keepNext/>
      <w:jc w:val="both"/>
      <w:outlineLvl w:val="5"/>
    </w:pPr>
    <w:rPr>
      <w:rFonts w:ascii="Arial Narrow" w:hAnsi="Arial Narrow"/>
      <w:b/>
      <w:color w:val="000080"/>
      <w:sz w:val="26"/>
      <w:szCs w:val="22"/>
    </w:rPr>
  </w:style>
  <w:style w:type="paragraph" w:styleId="7">
    <w:name w:val="heading 7"/>
    <w:basedOn w:val="a"/>
    <w:next w:val="a"/>
    <w:link w:val="Heading7Char"/>
    <w:qFormat/>
    <w:rsid w:val="006C6D1A"/>
    <w:pPr>
      <w:keepNext/>
      <w:jc w:val="both"/>
      <w:outlineLvl w:val="6"/>
    </w:pPr>
    <w:rPr>
      <w:rFonts w:ascii="Arial Narrow" w:hAnsi="Arial Narrow"/>
      <w:b/>
      <w:color w:val="000080"/>
      <w:sz w:val="22"/>
      <w:szCs w:val="22"/>
    </w:rPr>
  </w:style>
  <w:style w:type="paragraph" w:styleId="8">
    <w:name w:val="heading 8"/>
    <w:basedOn w:val="a"/>
    <w:next w:val="a"/>
    <w:link w:val="Heading8Char"/>
    <w:qFormat/>
    <w:rsid w:val="006C6D1A"/>
    <w:pPr>
      <w:keepNext/>
      <w:jc w:val="both"/>
      <w:outlineLvl w:val="7"/>
    </w:pPr>
    <w:rPr>
      <w:rFonts w:ascii="Arial Narrow" w:hAnsi="Arial Narrow"/>
      <w:b/>
      <w:i/>
      <w:sz w:val="22"/>
      <w:szCs w:val="22"/>
    </w:rPr>
  </w:style>
  <w:style w:type="paragraph" w:styleId="9">
    <w:name w:val="heading 9"/>
    <w:basedOn w:val="a"/>
    <w:next w:val="a"/>
    <w:link w:val="Heading9Char"/>
    <w:qFormat/>
    <w:rsid w:val="00DB56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rsid w:val="00D40E4A"/>
    <w:pPr>
      <w:tabs>
        <w:tab w:val="center" w:pos="4153"/>
        <w:tab w:val="right" w:pos="8306"/>
      </w:tabs>
    </w:pPr>
  </w:style>
  <w:style w:type="paragraph" w:styleId="a4">
    <w:name w:val="footer"/>
    <w:basedOn w:val="a"/>
    <w:link w:val="FooterChar"/>
    <w:rsid w:val="00D40E4A"/>
    <w:pPr>
      <w:tabs>
        <w:tab w:val="center" w:pos="4153"/>
        <w:tab w:val="right" w:pos="8306"/>
      </w:tabs>
    </w:pPr>
  </w:style>
  <w:style w:type="character" w:styleId="a5">
    <w:name w:val="page number"/>
    <w:basedOn w:val="a0"/>
    <w:rsid w:val="00D40E4A"/>
  </w:style>
  <w:style w:type="paragraph" w:styleId="a6">
    <w:name w:val="Balloon Text"/>
    <w:basedOn w:val="a"/>
    <w:link w:val="BalloonTextChar"/>
    <w:semiHidden/>
    <w:rsid w:val="001561CD"/>
    <w:rPr>
      <w:rFonts w:ascii="Tahoma" w:hAnsi="Tahoma" w:cs="Tahoma"/>
      <w:sz w:val="16"/>
      <w:szCs w:val="16"/>
    </w:rPr>
  </w:style>
  <w:style w:type="paragraph" w:customStyle="1" w:styleId="aplo">
    <w:name w:val="aplo"/>
    <w:basedOn w:val="a"/>
    <w:rsid w:val="00A90E25"/>
    <w:pPr>
      <w:tabs>
        <w:tab w:val="left" w:pos="567"/>
      </w:tabs>
      <w:spacing w:before="120"/>
      <w:jc w:val="both"/>
    </w:pPr>
    <w:rPr>
      <w:sz w:val="22"/>
      <w:szCs w:val="20"/>
      <w:lang w:val="en-GB"/>
    </w:rPr>
  </w:style>
  <w:style w:type="paragraph" w:styleId="20">
    <w:name w:val="Body Text 2"/>
    <w:basedOn w:val="a"/>
    <w:link w:val="BodyText2Char"/>
    <w:rsid w:val="0022549F"/>
    <w:pPr>
      <w:jc w:val="both"/>
    </w:pPr>
    <w:rPr>
      <w:szCs w:val="22"/>
    </w:rPr>
  </w:style>
  <w:style w:type="table" w:styleId="a7">
    <w:name w:val="Table Grid"/>
    <w:basedOn w:val="a1"/>
    <w:rsid w:val="0070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BodyTextChar"/>
    <w:rsid w:val="00DB5630"/>
    <w:pPr>
      <w:jc w:val="both"/>
    </w:pPr>
    <w:rPr>
      <w:sz w:val="22"/>
      <w:szCs w:val="22"/>
    </w:rPr>
  </w:style>
  <w:style w:type="paragraph" w:styleId="a9">
    <w:name w:val="Title"/>
    <w:basedOn w:val="a"/>
    <w:link w:val="TitleChar"/>
    <w:qFormat/>
    <w:rsid w:val="00DB5630"/>
    <w:pPr>
      <w:jc w:val="center"/>
    </w:pPr>
    <w:rPr>
      <w:b/>
      <w:bCs/>
      <w:lang w:eastAsia="en-US"/>
    </w:rPr>
  </w:style>
  <w:style w:type="numbering" w:customStyle="1" w:styleId="10">
    <w:name w:val="Χωρίς λίστα1"/>
    <w:next w:val="a2"/>
    <w:semiHidden/>
    <w:rsid w:val="00DB5630"/>
  </w:style>
  <w:style w:type="paragraph" w:customStyle="1" w:styleId="keimeno">
    <w:name w:val="keimeno"/>
    <w:basedOn w:val="a"/>
    <w:rsid w:val="00DB5630"/>
    <w:pPr>
      <w:jc w:val="both"/>
    </w:pPr>
    <w:rPr>
      <w:rFonts w:ascii="Arial" w:hAnsi="Arial"/>
      <w:sz w:val="22"/>
      <w:szCs w:val="20"/>
    </w:rPr>
  </w:style>
  <w:style w:type="paragraph" w:styleId="aa">
    <w:name w:val="Body Text Indent"/>
    <w:basedOn w:val="a"/>
    <w:link w:val="BodyTextIndentChar"/>
    <w:rsid w:val="00DB5630"/>
    <w:pPr>
      <w:ind w:firstLine="720"/>
      <w:jc w:val="both"/>
    </w:pPr>
    <w:rPr>
      <w:sz w:val="22"/>
      <w:szCs w:val="20"/>
    </w:rPr>
  </w:style>
  <w:style w:type="paragraph" w:styleId="30">
    <w:name w:val="Body Text 3"/>
    <w:basedOn w:val="a"/>
    <w:link w:val="BodyText3Char"/>
    <w:rsid w:val="00DB5630"/>
    <w:pPr>
      <w:jc w:val="both"/>
    </w:pPr>
    <w:rPr>
      <w:sz w:val="22"/>
      <w:szCs w:val="20"/>
    </w:rPr>
  </w:style>
  <w:style w:type="paragraph" w:customStyle="1" w:styleId="Giota">
    <w:name w:val="Giota"/>
    <w:basedOn w:val="a"/>
    <w:rsid w:val="00DB5630"/>
    <w:pPr>
      <w:tabs>
        <w:tab w:val="left" w:pos="567"/>
        <w:tab w:val="left" w:pos="1134"/>
        <w:tab w:val="left" w:pos="1701"/>
      </w:tabs>
      <w:jc w:val="both"/>
    </w:pPr>
    <w:rPr>
      <w:rFonts w:ascii="Arial" w:hAnsi="Arial"/>
      <w:sz w:val="18"/>
      <w:szCs w:val="20"/>
    </w:rPr>
  </w:style>
  <w:style w:type="paragraph" w:customStyle="1" w:styleId="11">
    <w:name w:val="Στυλ1"/>
    <w:basedOn w:val="a"/>
    <w:rsid w:val="00DB5630"/>
    <w:pPr>
      <w:spacing w:before="120"/>
      <w:ind w:firstLine="567"/>
    </w:pPr>
    <w:rPr>
      <w:rFonts w:ascii="Arial" w:hAnsi="Arial"/>
      <w:sz w:val="20"/>
      <w:szCs w:val="20"/>
    </w:rPr>
  </w:style>
  <w:style w:type="paragraph" w:styleId="21">
    <w:name w:val="Body Text Indent 2"/>
    <w:basedOn w:val="a"/>
    <w:link w:val="BodyTextIndent2Char"/>
    <w:rsid w:val="00DB5630"/>
    <w:pPr>
      <w:ind w:left="720" w:hanging="720"/>
      <w:jc w:val="both"/>
    </w:pPr>
    <w:rPr>
      <w:rFonts w:ascii="Tahoma" w:hAnsi="Tahoma"/>
      <w:b/>
      <w:color w:val="0000FF"/>
      <w:sz w:val="20"/>
      <w:szCs w:val="20"/>
    </w:rPr>
  </w:style>
  <w:style w:type="paragraph" w:styleId="ab">
    <w:name w:val="Plain Text"/>
    <w:basedOn w:val="a"/>
    <w:link w:val="PlainTextChar"/>
    <w:rsid w:val="00DB5630"/>
    <w:rPr>
      <w:rFonts w:ascii="Courier New" w:hAnsi="Courier New"/>
      <w:sz w:val="20"/>
      <w:szCs w:val="20"/>
    </w:rPr>
  </w:style>
  <w:style w:type="paragraph" w:styleId="31">
    <w:name w:val="Body Text Indent 3"/>
    <w:basedOn w:val="a"/>
    <w:link w:val="BodyTextIndent3Char"/>
    <w:rsid w:val="00DB5630"/>
    <w:pPr>
      <w:tabs>
        <w:tab w:val="num" w:pos="652"/>
      </w:tabs>
      <w:spacing w:after="120"/>
      <w:ind w:left="652" w:hanging="652"/>
      <w:jc w:val="both"/>
    </w:pPr>
    <w:rPr>
      <w:sz w:val="22"/>
      <w:szCs w:val="20"/>
    </w:rPr>
  </w:style>
  <w:style w:type="character" w:styleId="ac">
    <w:name w:val="annotation reference"/>
    <w:basedOn w:val="a0"/>
    <w:uiPriority w:val="99"/>
    <w:semiHidden/>
    <w:rsid w:val="00DC5802"/>
    <w:rPr>
      <w:sz w:val="16"/>
      <w:szCs w:val="16"/>
    </w:rPr>
  </w:style>
  <w:style w:type="paragraph" w:styleId="ad">
    <w:name w:val="annotation text"/>
    <w:basedOn w:val="a"/>
    <w:link w:val="CommentTextChar"/>
    <w:uiPriority w:val="99"/>
    <w:semiHidden/>
    <w:rsid w:val="00DC5802"/>
    <w:rPr>
      <w:sz w:val="20"/>
      <w:szCs w:val="20"/>
    </w:rPr>
  </w:style>
  <w:style w:type="paragraph" w:styleId="ae">
    <w:name w:val="annotation subject"/>
    <w:basedOn w:val="ad"/>
    <w:next w:val="ad"/>
    <w:link w:val="CommentSubjectChar"/>
    <w:semiHidden/>
    <w:rsid w:val="00DC5802"/>
    <w:rPr>
      <w:b/>
      <w:bCs/>
    </w:rPr>
  </w:style>
  <w:style w:type="character" w:styleId="-">
    <w:name w:val="Hyperlink"/>
    <w:basedOn w:val="a0"/>
    <w:uiPriority w:val="99"/>
    <w:rsid w:val="00EB7A79"/>
    <w:rPr>
      <w:color w:val="0000FF"/>
      <w:u w:val="single"/>
    </w:rPr>
  </w:style>
  <w:style w:type="paragraph" w:styleId="af">
    <w:name w:val="footnote text"/>
    <w:basedOn w:val="a"/>
    <w:link w:val="FootnoteTextChar"/>
    <w:semiHidden/>
    <w:rsid w:val="005F3BAB"/>
    <w:rPr>
      <w:sz w:val="20"/>
      <w:szCs w:val="20"/>
    </w:rPr>
  </w:style>
  <w:style w:type="character" w:styleId="af0">
    <w:name w:val="footnote reference"/>
    <w:basedOn w:val="a0"/>
    <w:semiHidden/>
    <w:rsid w:val="005F3BAB"/>
    <w:rPr>
      <w:vertAlign w:val="superscript"/>
    </w:rPr>
  </w:style>
  <w:style w:type="paragraph" w:customStyle="1" w:styleId="CharCharCharCharCharCharCharCharCharCharCharCharChar">
    <w:name w:val="Char Char Char Char Char Char Char Char Char Char Char Char Char"/>
    <w:basedOn w:val="a"/>
    <w:rsid w:val="0022502F"/>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F66AEE"/>
  </w:style>
  <w:style w:type="paragraph" w:styleId="af1">
    <w:name w:val="Block Text"/>
    <w:basedOn w:val="a"/>
    <w:rsid w:val="00F66AEE"/>
    <w:pPr>
      <w:ind w:left="360" w:right="70" w:hanging="360"/>
      <w:jc w:val="both"/>
    </w:pPr>
    <w:rPr>
      <w:sz w:val="16"/>
      <w:szCs w:val="22"/>
    </w:rPr>
  </w:style>
  <w:style w:type="paragraph" w:customStyle="1" w:styleId="CharCharCharChar">
    <w:name w:val="Char Char Char Char"/>
    <w:basedOn w:val="a"/>
    <w:rsid w:val="00C2204C"/>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B73E04"/>
    <w:pPr>
      <w:jc w:val="both"/>
    </w:pPr>
    <w:rPr>
      <w:b/>
      <w:sz w:val="22"/>
    </w:rPr>
  </w:style>
  <w:style w:type="paragraph" w:styleId="af2">
    <w:name w:val="List Paragraph"/>
    <w:basedOn w:val="a"/>
    <w:uiPriority w:val="34"/>
    <w:qFormat/>
    <w:rsid w:val="00B73E04"/>
    <w:pPr>
      <w:spacing w:after="200" w:line="276" w:lineRule="auto"/>
      <w:ind w:left="720"/>
      <w:contextualSpacing/>
    </w:pPr>
    <w:rPr>
      <w:rFonts w:ascii="Calibri" w:eastAsia="Calibri" w:hAnsi="Calibri"/>
      <w:sz w:val="22"/>
      <w:szCs w:val="22"/>
      <w:lang w:eastAsia="en-US"/>
    </w:rPr>
  </w:style>
  <w:style w:type="paragraph" w:customStyle="1" w:styleId="Char">
    <w:name w:val="Char"/>
    <w:basedOn w:val="a"/>
    <w:rsid w:val="00A71D8F"/>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1B4685"/>
    <w:pPr>
      <w:spacing w:before="120"/>
      <w:ind w:right="-1"/>
      <w:jc w:val="center"/>
    </w:pPr>
    <w:rPr>
      <w:rFonts w:ascii="Arial Narrow" w:hAnsi="Arial Narrow"/>
      <w:b/>
      <w:color w:val="FFFFFF"/>
    </w:rPr>
  </w:style>
  <w:style w:type="character" w:customStyle="1" w:styleId="BalloonTextChar">
    <w:name w:val="Balloon Text Char"/>
    <w:basedOn w:val="a0"/>
    <w:link w:val="a6"/>
    <w:semiHidden/>
    <w:rsid w:val="001B4685"/>
    <w:rPr>
      <w:rFonts w:ascii="Tahoma" w:hAnsi="Tahoma" w:cs="Tahoma"/>
      <w:sz w:val="16"/>
      <w:szCs w:val="16"/>
    </w:rPr>
  </w:style>
  <w:style w:type="paragraph" w:customStyle="1" w:styleId="12">
    <w:name w:val="Παράγραφος λίστας1"/>
    <w:basedOn w:val="a"/>
    <w:rsid w:val="001B4685"/>
    <w:pPr>
      <w:spacing w:after="200" w:line="276" w:lineRule="auto"/>
      <w:ind w:left="720"/>
    </w:pPr>
    <w:rPr>
      <w:rFonts w:ascii="Calibri" w:hAnsi="Calibri" w:cs="Calibri"/>
      <w:sz w:val="22"/>
      <w:szCs w:val="22"/>
      <w:lang w:eastAsia="en-US"/>
    </w:rPr>
  </w:style>
  <w:style w:type="character" w:customStyle="1" w:styleId="BodyTextIndent2Char">
    <w:name w:val="Body Text Indent 2 Char"/>
    <w:basedOn w:val="a0"/>
    <w:link w:val="21"/>
    <w:rsid w:val="00C56840"/>
    <w:rPr>
      <w:rFonts w:ascii="Tahoma" w:hAnsi="Tahoma"/>
      <w:b/>
      <w:color w:val="0000FF"/>
    </w:rPr>
  </w:style>
  <w:style w:type="character" w:customStyle="1" w:styleId="CommentTextChar">
    <w:name w:val="Comment Text Char"/>
    <w:basedOn w:val="a0"/>
    <w:link w:val="ad"/>
    <w:uiPriority w:val="99"/>
    <w:semiHidden/>
    <w:rsid w:val="00156E94"/>
  </w:style>
  <w:style w:type="character" w:customStyle="1" w:styleId="CommentSubjectChar">
    <w:name w:val="Comment Subject Char"/>
    <w:basedOn w:val="CommentTextChar"/>
    <w:link w:val="ae"/>
    <w:semiHidden/>
    <w:rsid w:val="00156E94"/>
    <w:rPr>
      <w:b/>
      <w:bCs/>
    </w:rPr>
  </w:style>
  <w:style w:type="paragraph" w:customStyle="1" w:styleId="CharCharCharCharCharCharCharCharCharCharCharCharChar0">
    <w:name w:val="Char Char Char Char Char Char Char Char Char Char Char Char Char"/>
    <w:basedOn w:val="a"/>
    <w:rsid w:val="005F39F3"/>
    <w:pPr>
      <w:spacing w:after="160" w:line="240" w:lineRule="exact"/>
      <w:jc w:val="both"/>
    </w:pPr>
    <w:rPr>
      <w:rFonts w:ascii="Verdana" w:hAnsi="Verdana"/>
      <w:sz w:val="20"/>
      <w:szCs w:val="20"/>
      <w:lang w:val="en-US" w:eastAsia="en-US"/>
    </w:rPr>
  </w:style>
  <w:style w:type="paragraph" w:customStyle="1" w:styleId="CharCharCharChar0">
    <w:name w:val="Char Char Char Char"/>
    <w:basedOn w:val="a"/>
    <w:rsid w:val="005F39F3"/>
    <w:pPr>
      <w:spacing w:before="120" w:after="160" w:line="240" w:lineRule="exact"/>
    </w:pPr>
    <w:rPr>
      <w:rFonts w:ascii="Verdana" w:hAnsi="Verdana"/>
      <w:sz w:val="20"/>
      <w:szCs w:val="20"/>
      <w:lang w:val="en-US" w:eastAsia="en-US"/>
    </w:rPr>
  </w:style>
  <w:style w:type="character" w:styleId="-0">
    <w:name w:val="FollowedHyperlink"/>
    <w:basedOn w:val="a0"/>
    <w:uiPriority w:val="99"/>
    <w:rsid w:val="005F39F3"/>
    <w:rPr>
      <w:color w:val="800080"/>
      <w:u w:val="single"/>
    </w:rPr>
  </w:style>
  <w:style w:type="paragraph" w:customStyle="1" w:styleId="xl70">
    <w:name w:val="xl70"/>
    <w:basedOn w:val="a"/>
    <w:rsid w:val="005F39F3"/>
    <w:pPr>
      <w:spacing w:before="100" w:beforeAutospacing="1" w:after="100" w:afterAutospacing="1"/>
      <w:textAlignment w:val="center"/>
    </w:pPr>
    <w:rPr>
      <w:rFonts w:ascii="Arial" w:hAnsi="Arial" w:cs="Arial"/>
      <w:sz w:val="22"/>
      <w:szCs w:val="22"/>
    </w:rPr>
  </w:style>
  <w:style w:type="paragraph" w:customStyle="1" w:styleId="xl71">
    <w:name w:val="xl71"/>
    <w:basedOn w:val="a"/>
    <w:rsid w:val="005F39F3"/>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5F39F3"/>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5F39F3"/>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5F39F3"/>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5F39F3"/>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5F39F3"/>
    <w:pPr>
      <w:spacing w:after="200" w:line="276" w:lineRule="auto"/>
      <w:ind w:left="720"/>
    </w:pPr>
    <w:rPr>
      <w:rFonts w:ascii="Calibri" w:hAnsi="Calibri" w:cs="Calibri"/>
      <w:sz w:val="22"/>
      <w:szCs w:val="22"/>
      <w:lang w:eastAsia="en-US"/>
    </w:rPr>
  </w:style>
  <w:style w:type="character" w:customStyle="1" w:styleId="Heading1Char">
    <w:name w:val="Heading 1 Char"/>
    <w:basedOn w:val="a0"/>
    <w:link w:val="1"/>
    <w:rsid w:val="002C76E1"/>
    <w:rPr>
      <w:rFonts w:ascii="Arial" w:hAnsi="Arial" w:cs="Arial"/>
      <w:b/>
      <w:bCs/>
      <w:kern w:val="32"/>
      <w:sz w:val="32"/>
      <w:szCs w:val="32"/>
    </w:rPr>
  </w:style>
  <w:style w:type="character" w:customStyle="1" w:styleId="Heading2Char">
    <w:name w:val="Heading 2 Char"/>
    <w:basedOn w:val="a0"/>
    <w:link w:val="2"/>
    <w:rsid w:val="002C76E1"/>
    <w:rPr>
      <w:rFonts w:ascii="Arial" w:hAnsi="Arial" w:cs="Arial"/>
      <w:b/>
      <w:bCs/>
      <w:i/>
      <w:iCs/>
      <w:sz w:val="28"/>
      <w:szCs w:val="28"/>
    </w:rPr>
  </w:style>
  <w:style w:type="character" w:customStyle="1" w:styleId="Heading3Char">
    <w:name w:val="Heading 3 Char"/>
    <w:basedOn w:val="a0"/>
    <w:link w:val="3"/>
    <w:rsid w:val="002C76E1"/>
    <w:rPr>
      <w:rFonts w:ascii="Arial" w:hAnsi="Arial" w:cs="Arial"/>
      <w:b/>
      <w:bCs/>
      <w:sz w:val="26"/>
      <w:szCs w:val="26"/>
    </w:rPr>
  </w:style>
  <w:style w:type="character" w:customStyle="1" w:styleId="Heading4Char">
    <w:name w:val="Heading 4 Char"/>
    <w:basedOn w:val="a0"/>
    <w:link w:val="4"/>
    <w:rsid w:val="002C76E1"/>
    <w:rPr>
      <w:rFonts w:ascii="Arial Narrow" w:hAnsi="Arial Narrow"/>
      <w:b/>
      <w:i/>
      <w:color w:val="000080"/>
      <w:sz w:val="24"/>
      <w:szCs w:val="22"/>
    </w:rPr>
  </w:style>
  <w:style w:type="character" w:customStyle="1" w:styleId="Heading5Char">
    <w:name w:val="Heading 5 Char"/>
    <w:basedOn w:val="a0"/>
    <w:link w:val="5"/>
    <w:rsid w:val="002C76E1"/>
    <w:rPr>
      <w:rFonts w:ascii="Arial Narrow" w:hAnsi="Arial Narrow"/>
      <w:b/>
      <w:sz w:val="22"/>
      <w:szCs w:val="22"/>
    </w:rPr>
  </w:style>
  <w:style w:type="character" w:customStyle="1" w:styleId="Heading6Char">
    <w:name w:val="Heading 6 Char"/>
    <w:basedOn w:val="a0"/>
    <w:link w:val="6"/>
    <w:rsid w:val="002C76E1"/>
    <w:rPr>
      <w:rFonts w:ascii="Arial Narrow" w:hAnsi="Arial Narrow"/>
      <w:b/>
      <w:color w:val="000080"/>
      <w:sz w:val="26"/>
      <w:szCs w:val="22"/>
    </w:rPr>
  </w:style>
  <w:style w:type="character" w:customStyle="1" w:styleId="Heading7Char">
    <w:name w:val="Heading 7 Char"/>
    <w:basedOn w:val="a0"/>
    <w:link w:val="7"/>
    <w:rsid w:val="002C76E1"/>
    <w:rPr>
      <w:rFonts w:ascii="Arial Narrow" w:hAnsi="Arial Narrow"/>
      <w:b/>
      <w:color w:val="000080"/>
      <w:sz w:val="22"/>
      <w:szCs w:val="22"/>
    </w:rPr>
  </w:style>
  <w:style w:type="character" w:customStyle="1" w:styleId="Heading8Char">
    <w:name w:val="Heading 8 Char"/>
    <w:basedOn w:val="a0"/>
    <w:link w:val="8"/>
    <w:rsid w:val="002C76E1"/>
    <w:rPr>
      <w:rFonts w:ascii="Arial Narrow" w:hAnsi="Arial Narrow"/>
      <w:b/>
      <w:i/>
      <w:sz w:val="22"/>
      <w:szCs w:val="22"/>
    </w:rPr>
  </w:style>
  <w:style w:type="character" w:customStyle="1" w:styleId="Heading9Char">
    <w:name w:val="Heading 9 Char"/>
    <w:basedOn w:val="a0"/>
    <w:link w:val="9"/>
    <w:rsid w:val="002C76E1"/>
    <w:rPr>
      <w:rFonts w:ascii="Arial" w:hAnsi="Arial" w:cs="Arial"/>
      <w:sz w:val="22"/>
      <w:szCs w:val="22"/>
    </w:rPr>
  </w:style>
  <w:style w:type="character" w:customStyle="1" w:styleId="HeaderChar">
    <w:name w:val="Header Char"/>
    <w:basedOn w:val="a0"/>
    <w:link w:val="a3"/>
    <w:rsid w:val="002C76E1"/>
    <w:rPr>
      <w:sz w:val="24"/>
      <w:szCs w:val="24"/>
    </w:rPr>
  </w:style>
  <w:style w:type="character" w:customStyle="1" w:styleId="FooterChar">
    <w:name w:val="Footer Char"/>
    <w:basedOn w:val="a0"/>
    <w:link w:val="a4"/>
    <w:rsid w:val="002C76E1"/>
    <w:rPr>
      <w:sz w:val="24"/>
      <w:szCs w:val="24"/>
    </w:rPr>
  </w:style>
  <w:style w:type="character" w:customStyle="1" w:styleId="BodyText2Char">
    <w:name w:val="Body Text 2 Char"/>
    <w:basedOn w:val="a0"/>
    <w:link w:val="20"/>
    <w:rsid w:val="002C76E1"/>
    <w:rPr>
      <w:sz w:val="24"/>
      <w:szCs w:val="22"/>
    </w:rPr>
  </w:style>
  <w:style w:type="character" w:customStyle="1" w:styleId="BodyTextChar">
    <w:name w:val="Body Text Char"/>
    <w:basedOn w:val="a0"/>
    <w:link w:val="a8"/>
    <w:rsid w:val="002C76E1"/>
    <w:rPr>
      <w:sz w:val="22"/>
      <w:szCs w:val="22"/>
    </w:rPr>
  </w:style>
  <w:style w:type="character" w:customStyle="1" w:styleId="TitleChar">
    <w:name w:val="Title Char"/>
    <w:basedOn w:val="a0"/>
    <w:link w:val="a9"/>
    <w:rsid w:val="002C76E1"/>
    <w:rPr>
      <w:b/>
      <w:bCs/>
      <w:sz w:val="24"/>
      <w:szCs w:val="24"/>
      <w:lang w:eastAsia="en-US"/>
    </w:rPr>
  </w:style>
  <w:style w:type="character" w:customStyle="1" w:styleId="BodyTextIndentChar">
    <w:name w:val="Body Text Indent Char"/>
    <w:basedOn w:val="a0"/>
    <w:link w:val="aa"/>
    <w:rsid w:val="002C76E1"/>
    <w:rPr>
      <w:sz w:val="22"/>
    </w:rPr>
  </w:style>
  <w:style w:type="character" w:customStyle="1" w:styleId="BodyText3Char">
    <w:name w:val="Body Text 3 Char"/>
    <w:basedOn w:val="a0"/>
    <w:link w:val="30"/>
    <w:rsid w:val="002C76E1"/>
    <w:rPr>
      <w:sz w:val="22"/>
    </w:rPr>
  </w:style>
  <w:style w:type="character" w:customStyle="1" w:styleId="PlainTextChar">
    <w:name w:val="Plain Text Char"/>
    <w:basedOn w:val="a0"/>
    <w:link w:val="ab"/>
    <w:rsid w:val="002C76E1"/>
    <w:rPr>
      <w:rFonts w:ascii="Courier New" w:hAnsi="Courier New"/>
    </w:rPr>
  </w:style>
  <w:style w:type="character" w:customStyle="1" w:styleId="BodyTextIndent3Char">
    <w:name w:val="Body Text Indent 3 Char"/>
    <w:basedOn w:val="a0"/>
    <w:link w:val="31"/>
    <w:rsid w:val="002C76E1"/>
    <w:rPr>
      <w:sz w:val="22"/>
    </w:rPr>
  </w:style>
  <w:style w:type="character" w:customStyle="1" w:styleId="FootnoteTextChar">
    <w:name w:val="Footnote Text Char"/>
    <w:basedOn w:val="a0"/>
    <w:link w:val="af"/>
    <w:semiHidden/>
    <w:rsid w:val="002C76E1"/>
  </w:style>
  <w:style w:type="paragraph" w:customStyle="1" w:styleId="font5">
    <w:name w:val="font5"/>
    <w:basedOn w:val="a"/>
    <w:rsid w:val="00886B6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86B62"/>
    <w:pPr>
      <w:spacing w:before="100" w:beforeAutospacing="1" w:after="100" w:afterAutospacing="1"/>
    </w:pPr>
    <w:rPr>
      <w:rFonts w:ascii="Tahoma" w:hAnsi="Tahoma" w:cs="Tahoma"/>
      <w:color w:val="000000"/>
      <w:sz w:val="18"/>
      <w:szCs w:val="18"/>
    </w:rPr>
  </w:style>
  <w:style w:type="paragraph" w:customStyle="1" w:styleId="xl76">
    <w:name w:val="xl76"/>
    <w:basedOn w:val="a"/>
    <w:rsid w:val="00886B62"/>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886B62"/>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886B62"/>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886B62"/>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886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235EF9"/>
    <w:rPr>
      <w:rFonts w:asciiTheme="minorHAnsi" w:eastAsiaTheme="minorHAnsi" w:hAnsiTheme="minorHAnsi" w:cstheme="minorBidi"/>
      <w:sz w:val="22"/>
      <w:szCs w:val="22"/>
      <w:lang w:eastAsia="en-US"/>
    </w:rPr>
  </w:style>
  <w:style w:type="paragraph" w:styleId="Web">
    <w:name w:val="Normal (Web)"/>
    <w:basedOn w:val="a"/>
    <w:uiPriority w:val="99"/>
    <w:rsid w:val="00D31046"/>
    <w:pPr>
      <w:spacing w:before="100" w:beforeAutospacing="1" w:after="119"/>
    </w:pPr>
  </w:style>
  <w:style w:type="character" w:styleId="af4">
    <w:name w:val="line number"/>
    <w:basedOn w:val="a0"/>
    <w:rsid w:val="00D31046"/>
  </w:style>
  <w:style w:type="character" w:styleId="af5">
    <w:name w:val="Strong"/>
    <w:basedOn w:val="a0"/>
    <w:qFormat/>
    <w:rsid w:val="00D31046"/>
    <w:rPr>
      <w:b/>
      <w:bCs/>
    </w:rPr>
  </w:style>
  <w:style w:type="paragraph" w:customStyle="1" w:styleId="Default">
    <w:name w:val="Default"/>
    <w:rsid w:val="00D31046"/>
    <w:pPr>
      <w:autoSpaceDE w:val="0"/>
      <w:autoSpaceDN w:val="0"/>
      <w:adjustRightInd w:val="0"/>
    </w:pPr>
    <w:rPr>
      <w:rFonts w:eastAsia="Calibri"/>
      <w:color w:val="000000"/>
      <w:sz w:val="24"/>
      <w:szCs w:val="24"/>
      <w:lang w:eastAsia="en-US"/>
    </w:rPr>
  </w:style>
  <w:style w:type="paragraph" w:styleId="-HTML">
    <w:name w:val="HTML Preformatted"/>
    <w:basedOn w:val="a"/>
    <w:link w:val="HTMLPreformattedChar"/>
    <w:uiPriority w:val="99"/>
    <w:unhideWhenUsed/>
    <w:rsid w:val="00EF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rsid w:val="00EF2957"/>
    <w:rPr>
      <w:rFonts w:ascii="Courier New" w:hAnsi="Courier New" w:cs="Courier New"/>
    </w:rPr>
  </w:style>
  <w:style w:type="paragraph" w:customStyle="1" w:styleId="font7">
    <w:name w:val="font7"/>
    <w:basedOn w:val="a"/>
    <w:rsid w:val="00EF2957"/>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EF2957"/>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EF2957"/>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EF2957"/>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EF2957"/>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EF2957"/>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EF2957"/>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EF2957"/>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EF2957"/>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EF2957"/>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EF2957"/>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EF2957"/>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EF2957"/>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EF2957"/>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EF2957"/>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EF2957"/>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EF2957"/>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EF2957"/>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EF2957"/>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EF2957"/>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EF2957"/>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EF2957"/>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EF2957"/>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EF2957"/>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EF2957"/>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EF2957"/>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EF2957"/>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EF2957"/>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EF2957"/>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EF2957"/>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EF2957"/>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EF2957"/>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EF2957"/>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EF2957"/>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EF2957"/>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EF2957"/>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EF2957"/>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EF2957"/>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EF2957"/>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EF2957"/>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EF2957"/>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EF2957"/>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EF2957"/>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EF2957"/>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EF2957"/>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EF2957"/>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EF295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EF2957"/>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EF295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EF2957"/>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EF2957"/>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EF2957"/>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EF2957"/>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EF2957"/>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EF2957"/>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EF2957"/>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EF2957"/>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EF2957"/>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EF2957"/>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EF2957"/>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EF2957"/>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EF2957"/>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EF2957"/>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EF2957"/>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EF2957"/>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EF2957"/>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8"/>
    <w:link w:val="BodyTextFirstIndentChar"/>
    <w:uiPriority w:val="99"/>
    <w:rsid w:val="00BA4CBC"/>
    <w:pPr>
      <w:spacing w:after="120"/>
      <w:ind w:firstLine="210"/>
      <w:jc w:val="left"/>
    </w:pPr>
    <w:rPr>
      <w:sz w:val="20"/>
      <w:szCs w:val="20"/>
      <w:lang w:eastAsia="en-US"/>
    </w:rPr>
  </w:style>
  <w:style w:type="character" w:customStyle="1" w:styleId="BodyTextFirstIndentChar">
    <w:name w:val="Body Text First Indent Char"/>
    <w:basedOn w:val="BodyTextChar"/>
    <w:link w:val="af6"/>
    <w:uiPriority w:val="99"/>
    <w:rsid w:val="00BA4CBC"/>
    <w:rPr>
      <w:sz w:val="22"/>
      <w:szCs w:val="22"/>
      <w:lang w:eastAsia="en-US"/>
    </w:rPr>
  </w:style>
  <w:style w:type="paragraph" w:styleId="af7">
    <w:name w:val="Revision"/>
    <w:hidden/>
    <w:uiPriority w:val="99"/>
    <w:semiHidden/>
    <w:rsid w:val="00700C67"/>
    <w:rPr>
      <w:sz w:val="24"/>
      <w:szCs w:val="24"/>
    </w:rPr>
  </w:style>
  <w:style w:type="paragraph" w:customStyle="1" w:styleId="xl123">
    <w:name w:val="xl123"/>
    <w:basedOn w:val="a"/>
    <w:rsid w:val="009566E0"/>
    <w:pPr>
      <w:shd w:val="clear" w:color="000000" w:fill="FFFFFF"/>
      <w:spacing w:before="100" w:beforeAutospacing="1" w:after="100" w:afterAutospacing="1"/>
    </w:pPr>
    <w:rPr>
      <w:rFonts w:ascii="Arial Narrow" w:hAnsi="Arial Narrow"/>
    </w:rPr>
  </w:style>
  <w:style w:type="paragraph" w:customStyle="1" w:styleId="xl124">
    <w:name w:val="xl124"/>
    <w:basedOn w:val="a"/>
    <w:rsid w:val="00956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i/>
      <w:iCs/>
      <w:sz w:val="16"/>
      <w:szCs w:val="16"/>
    </w:rPr>
  </w:style>
  <w:style w:type="paragraph" w:customStyle="1" w:styleId="xl125">
    <w:name w:val="xl125"/>
    <w:basedOn w:val="a"/>
    <w:rsid w:val="00956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i/>
      <w:iCs/>
      <w:sz w:val="16"/>
      <w:szCs w:val="16"/>
    </w:rPr>
  </w:style>
  <w:style w:type="paragraph" w:customStyle="1" w:styleId="xl126">
    <w:name w:val="xl126"/>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27">
    <w:name w:val="xl127"/>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28">
    <w:name w:val="xl128"/>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29">
    <w:name w:val="xl129"/>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i/>
      <w:iCs/>
      <w:sz w:val="16"/>
      <w:szCs w:val="16"/>
    </w:rPr>
  </w:style>
  <w:style w:type="paragraph" w:customStyle="1" w:styleId="xl130">
    <w:name w:val="xl130"/>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31">
    <w:name w:val="xl131"/>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E25"/>
    <w:rPr>
      <w:sz w:val="24"/>
      <w:szCs w:val="24"/>
    </w:rPr>
  </w:style>
  <w:style w:type="paragraph" w:styleId="1">
    <w:name w:val="heading 1"/>
    <w:basedOn w:val="a"/>
    <w:next w:val="a"/>
    <w:link w:val="Heading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Heading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Heading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Heading4Char"/>
    <w:qFormat/>
    <w:rsid w:val="0034482B"/>
    <w:pPr>
      <w:keepNext/>
      <w:jc w:val="both"/>
      <w:outlineLvl w:val="3"/>
    </w:pPr>
    <w:rPr>
      <w:rFonts w:ascii="Arial Narrow" w:hAnsi="Arial Narrow"/>
      <w:b/>
      <w:i/>
      <w:color w:val="000080"/>
      <w:szCs w:val="22"/>
    </w:rPr>
  </w:style>
  <w:style w:type="paragraph" w:styleId="5">
    <w:name w:val="heading 5"/>
    <w:basedOn w:val="a"/>
    <w:next w:val="a"/>
    <w:link w:val="Heading5Char"/>
    <w:qFormat/>
    <w:rsid w:val="0034482B"/>
    <w:pPr>
      <w:keepNext/>
      <w:jc w:val="both"/>
      <w:outlineLvl w:val="4"/>
    </w:pPr>
    <w:rPr>
      <w:rFonts w:ascii="Arial Narrow" w:hAnsi="Arial Narrow"/>
      <w:b/>
      <w:sz w:val="22"/>
      <w:szCs w:val="22"/>
    </w:rPr>
  </w:style>
  <w:style w:type="paragraph" w:styleId="6">
    <w:name w:val="heading 6"/>
    <w:basedOn w:val="a"/>
    <w:next w:val="a"/>
    <w:link w:val="Heading6Char"/>
    <w:qFormat/>
    <w:rsid w:val="0022549F"/>
    <w:pPr>
      <w:keepNext/>
      <w:jc w:val="both"/>
      <w:outlineLvl w:val="5"/>
    </w:pPr>
    <w:rPr>
      <w:rFonts w:ascii="Arial Narrow" w:hAnsi="Arial Narrow"/>
      <w:b/>
      <w:color w:val="000080"/>
      <w:sz w:val="26"/>
      <w:szCs w:val="22"/>
    </w:rPr>
  </w:style>
  <w:style w:type="paragraph" w:styleId="7">
    <w:name w:val="heading 7"/>
    <w:basedOn w:val="a"/>
    <w:next w:val="a"/>
    <w:link w:val="Heading7Char"/>
    <w:qFormat/>
    <w:rsid w:val="006C6D1A"/>
    <w:pPr>
      <w:keepNext/>
      <w:jc w:val="both"/>
      <w:outlineLvl w:val="6"/>
    </w:pPr>
    <w:rPr>
      <w:rFonts w:ascii="Arial Narrow" w:hAnsi="Arial Narrow"/>
      <w:b/>
      <w:color w:val="000080"/>
      <w:sz w:val="22"/>
      <w:szCs w:val="22"/>
    </w:rPr>
  </w:style>
  <w:style w:type="paragraph" w:styleId="8">
    <w:name w:val="heading 8"/>
    <w:basedOn w:val="a"/>
    <w:next w:val="a"/>
    <w:link w:val="Heading8Char"/>
    <w:qFormat/>
    <w:rsid w:val="006C6D1A"/>
    <w:pPr>
      <w:keepNext/>
      <w:jc w:val="both"/>
      <w:outlineLvl w:val="7"/>
    </w:pPr>
    <w:rPr>
      <w:rFonts w:ascii="Arial Narrow" w:hAnsi="Arial Narrow"/>
      <w:b/>
      <w:i/>
      <w:sz w:val="22"/>
      <w:szCs w:val="22"/>
    </w:rPr>
  </w:style>
  <w:style w:type="paragraph" w:styleId="9">
    <w:name w:val="heading 9"/>
    <w:basedOn w:val="a"/>
    <w:next w:val="a"/>
    <w:link w:val="Heading9Char"/>
    <w:qFormat/>
    <w:rsid w:val="00DB56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rsid w:val="00D40E4A"/>
    <w:pPr>
      <w:tabs>
        <w:tab w:val="center" w:pos="4153"/>
        <w:tab w:val="right" w:pos="8306"/>
      </w:tabs>
    </w:pPr>
  </w:style>
  <w:style w:type="paragraph" w:styleId="a4">
    <w:name w:val="footer"/>
    <w:basedOn w:val="a"/>
    <w:link w:val="FooterChar"/>
    <w:rsid w:val="00D40E4A"/>
    <w:pPr>
      <w:tabs>
        <w:tab w:val="center" w:pos="4153"/>
        <w:tab w:val="right" w:pos="8306"/>
      </w:tabs>
    </w:pPr>
  </w:style>
  <w:style w:type="character" w:styleId="a5">
    <w:name w:val="page number"/>
    <w:basedOn w:val="a0"/>
    <w:rsid w:val="00D40E4A"/>
  </w:style>
  <w:style w:type="paragraph" w:styleId="a6">
    <w:name w:val="Balloon Text"/>
    <w:basedOn w:val="a"/>
    <w:link w:val="BalloonTextChar"/>
    <w:semiHidden/>
    <w:rsid w:val="001561CD"/>
    <w:rPr>
      <w:rFonts w:ascii="Tahoma" w:hAnsi="Tahoma" w:cs="Tahoma"/>
      <w:sz w:val="16"/>
      <w:szCs w:val="16"/>
    </w:rPr>
  </w:style>
  <w:style w:type="paragraph" w:customStyle="1" w:styleId="aplo">
    <w:name w:val="aplo"/>
    <w:basedOn w:val="a"/>
    <w:rsid w:val="00A90E25"/>
    <w:pPr>
      <w:tabs>
        <w:tab w:val="left" w:pos="567"/>
      </w:tabs>
      <w:spacing w:before="120"/>
      <w:jc w:val="both"/>
    </w:pPr>
    <w:rPr>
      <w:sz w:val="22"/>
      <w:szCs w:val="20"/>
      <w:lang w:val="en-GB"/>
    </w:rPr>
  </w:style>
  <w:style w:type="paragraph" w:styleId="20">
    <w:name w:val="Body Text 2"/>
    <w:basedOn w:val="a"/>
    <w:link w:val="BodyText2Char"/>
    <w:rsid w:val="0022549F"/>
    <w:pPr>
      <w:jc w:val="both"/>
    </w:pPr>
    <w:rPr>
      <w:szCs w:val="22"/>
    </w:rPr>
  </w:style>
  <w:style w:type="table" w:styleId="a7">
    <w:name w:val="Table Grid"/>
    <w:basedOn w:val="a1"/>
    <w:rsid w:val="0070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BodyTextChar"/>
    <w:rsid w:val="00DB5630"/>
    <w:pPr>
      <w:jc w:val="both"/>
    </w:pPr>
    <w:rPr>
      <w:sz w:val="22"/>
      <w:szCs w:val="22"/>
    </w:rPr>
  </w:style>
  <w:style w:type="paragraph" w:styleId="a9">
    <w:name w:val="Title"/>
    <w:basedOn w:val="a"/>
    <w:link w:val="TitleChar"/>
    <w:qFormat/>
    <w:rsid w:val="00DB5630"/>
    <w:pPr>
      <w:jc w:val="center"/>
    </w:pPr>
    <w:rPr>
      <w:b/>
      <w:bCs/>
      <w:lang w:eastAsia="en-US"/>
    </w:rPr>
  </w:style>
  <w:style w:type="numbering" w:customStyle="1" w:styleId="10">
    <w:name w:val="Χωρίς λίστα1"/>
    <w:next w:val="a2"/>
    <w:semiHidden/>
    <w:rsid w:val="00DB5630"/>
  </w:style>
  <w:style w:type="paragraph" w:customStyle="1" w:styleId="keimeno">
    <w:name w:val="keimeno"/>
    <w:basedOn w:val="a"/>
    <w:rsid w:val="00DB5630"/>
    <w:pPr>
      <w:jc w:val="both"/>
    </w:pPr>
    <w:rPr>
      <w:rFonts w:ascii="Arial" w:hAnsi="Arial"/>
      <w:sz w:val="22"/>
      <w:szCs w:val="20"/>
    </w:rPr>
  </w:style>
  <w:style w:type="paragraph" w:styleId="aa">
    <w:name w:val="Body Text Indent"/>
    <w:basedOn w:val="a"/>
    <w:link w:val="BodyTextIndentChar"/>
    <w:rsid w:val="00DB5630"/>
    <w:pPr>
      <w:ind w:firstLine="720"/>
      <w:jc w:val="both"/>
    </w:pPr>
    <w:rPr>
      <w:sz w:val="22"/>
      <w:szCs w:val="20"/>
    </w:rPr>
  </w:style>
  <w:style w:type="paragraph" w:styleId="30">
    <w:name w:val="Body Text 3"/>
    <w:basedOn w:val="a"/>
    <w:link w:val="BodyText3Char"/>
    <w:rsid w:val="00DB5630"/>
    <w:pPr>
      <w:jc w:val="both"/>
    </w:pPr>
    <w:rPr>
      <w:sz w:val="22"/>
      <w:szCs w:val="20"/>
    </w:rPr>
  </w:style>
  <w:style w:type="paragraph" w:customStyle="1" w:styleId="Giota">
    <w:name w:val="Giota"/>
    <w:basedOn w:val="a"/>
    <w:rsid w:val="00DB5630"/>
    <w:pPr>
      <w:tabs>
        <w:tab w:val="left" w:pos="567"/>
        <w:tab w:val="left" w:pos="1134"/>
        <w:tab w:val="left" w:pos="1701"/>
      </w:tabs>
      <w:jc w:val="both"/>
    </w:pPr>
    <w:rPr>
      <w:rFonts w:ascii="Arial" w:hAnsi="Arial"/>
      <w:sz w:val="18"/>
      <w:szCs w:val="20"/>
    </w:rPr>
  </w:style>
  <w:style w:type="paragraph" w:customStyle="1" w:styleId="11">
    <w:name w:val="Στυλ1"/>
    <w:basedOn w:val="a"/>
    <w:rsid w:val="00DB5630"/>
    <w:pPr>
      <w:spacing w:before="120"/>
      <w:ind w:firstLine="567"/>
    </w:pPr>
    <w:rPr>
      <w:rFonts w:ascii="Arial" w:hAnsi="Arial"/>
      <w:sz w:val="20"/>
      <w:szCs w:val="20"/>
    </w:rPr>
  </w:style>
  <w:style w:type="paragraph" w:styleId="21">
    <w:name w:val="Body Text Indent 2"/>
    <w:basedOn w:val="a"/>
    <w:link w:val="BodyTextIndent2Char"/>
    <w:rsid w:val="00DB5630"/>
    <w:pPr>
      <w:ind w:left="720" w:hanging="720"/>
      <w:jc w:val="both"/>
    </w:pPr>
    <w:rPr>
      <w:rFonts w:ascii="Tahoma" w:hAnsi="Tahoma"/>
      <w:b/>
      <w:color w:val="0000FF"/>
      <w:sz w:val="20"/>
      <w:szCs w:val="20"/>
    </w:rPr>
  </w:style>
  <w:style w:type="paragraph" w:styleId="ab">
    <w:name w:val="Plain Text"/>
    <w:basedOn w:val="a"/>
    <w:link w:val="PlainTextChar"/>
    <w:rsid w:val="00DB5630"/>
    <w:rPr>
      <w:rFonts w:ascii="Courier New" w:hAnsi="Courier New"/>
      <w:sz w:val="20"/>
      <w:szCs w:val="20"/>
    </w:rPr>
  </w:style>
  <w:style w:type="paragraph" w:styleId="31">
    <w:name w:val="Body Text Indent 3"/>
    <w:basedOn w:val="a"/>
    <w:link w:val="BodyTextIndent3Char"/>
    <w:rsid w:val="00DB5630"/>
    <w:pPr>
      <w:tabs>
        <w:tab w:val="num" w:pos="652"/>
      </w:tabs>
      <w:spacing w:after="120"/>
      <w:ind w:left="652" w:hanging="652"/>
      <w:jc w:val="both"/>
    </w:pPr>
    <w:rPr>
      <w:sz w:val="22"/>
      <w:szCs w:val="20"/>
    </w:rPr>
  </w:style>
  <w:style w:type="character" w:styleId="ac">
    <w:name w:val="annotation reference"/>
    <w:basedOn w:val="a0"/>
    <w:uiPriority w:val="99"/>
    <w:semiHidden/>
    <w:rsid w:val="00DC5802"/>
    <w:rPr>
      <w:sz w:val="16"/>
      <w:szCs w:val="16"/>
    </w:rPr>
  </w:style>
  <w:style w:type="paragraph" w:styleId="ad">
    <w:name w:val="annotation text"/>
    <w:basedOn w:val="a"/>
    <w:link w:val="CommentTextChar"/>
    <w:uiPriority w:val="99"/>
    <w:semiHidden/>
    <w:rsid w:val="00DC5802"/>
    <w:rPr>
      <w:sz w:val="20"/>
      <w:szCs w:val="20"/>
    </w:rPr>
  </w:style>
  <w:style w:type="paragraph" w:styleId="ae">
    <w:name w:val="annotation subject"/>
    <w:basedOn w:val="ad"/>
    <w:next w:val="ad"/>
    <w:link w:val="CommentSubjectChar"/>
    <w:semiHidden/>
    <w:rsid w:val="00DC5802"/>
    <w:rPr>
      <w:b/>
      <w:bCs/>
    </w:rPr>
  </w:style>
  <w:style w:type="character" w:styleId="-">
    <w:name w:val="Hyperlink"/>
    <w:basedOn w:val="a0"/>
    <w:uiPriority w:val="99"/>
    <w:rsid w:val="00EB7A79"/>
    <w:rPr>
      <w:color w:val="0000FF"/>
      <w:u w:val="single"/>
    </w:rPr>
  </w:style>
  <w:style w:type="paragraph" w:styleId="af">
    <w:name w:val="footnote text"/>
    <w:basedOn w:val="a"/>
    <w:link w:val="FootnoteTextChar"/>
    <w:semiHidden/>
    <w:rsid w:val="005F3BAB"/>
    <w:rPr>
      <w:sz w:val="20"/>
      <w:szCs w:val="20"/>
    </w:rPr>
  </w:style>
  <w:style w:type="character" w:styleId="af0">
    <w:name w:val="footnote reference"/>
    <w:basedOn w:val="a0"/>
    <w:semiHidden/>
    <w:rsid w:val="005F3BAB"/>
    <w:rPr>
      <w:vertAlign w:val="superscript"/>
    </w:rPr>
  </w:style>
  <w:style w:type="paragraph" w:customStyle="1" w:styleId="CharCharCharCharCharCharCharCharCharCharCharCharChar">
    <w:name w:val="Char Char Char Char Char Char Char Char Char Char Char Char Char"/>
    <w:basedOn w:val="a"/>
    <w:rsid w:val="0022502F"/>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F66AEE"/>
  </w:style>
  <w:style w:type="paragraph" w:styleId="af1">
    <w:name w:val="Block Text"/>
    <w:basedOn w:val="a"/>
    <w:rsid w:val="00F66AEE"/>
    <w:pPr>
      <w:ind w:left="360" w:right="70" w:hanging="360"/>
      <w:jc w:val="both"/>
    </w:pPr>
    <w:rPr>
      <w:sz w:val="16"/>
      <w:szCs w:val="22"/>
    </w:rPr>
  </w:style>
  <w:style w:type="paragraph" w:customStyle="1" w:styleId="CharCharCharChar">
    <w:name w:val="Char Char Char Char"/>
    <w:basedOn w:val="a"/>
    <w:rsid w:val="00C2204C"/>
    <w:pPr>
      <w:spacing w:before="120" w:after="160" w:line="240" w:lineRule="exact"/>
    </w:pPr>
    <w:rPr>
      <w:rFonts w:ascii="Verdana" w:hAnsi="Verdana"/>
      <w:sz w:val="20"/>
      <w:szCs w:val="20"/>
      <w:lang w:val="en-US" w:eastAsia="en-US"/>
    </w:rPr>
  </w:style>
  <w:style w:type="paragraph" w:customStyle="1" w:styleId="CharCharCharCharCharCharCharCharCharChar11pt">
    <w:name w:val="Char Char Char Char Char Char Char Char Char Char Βασικό+11pt"/>
    <w:basedOn w:val="a"/>
    <w:rsid w:val="00B73E04"/>
    <w:pPr>
      <w:jc w:val="both"/>
    </w:pPr>
    <w:rPr>
      <w:b/>
      <w:sz w:val="22"/>
    </w:rPr>
  </w:style>
  <w:style w:type="paragraph" w:styleId="af2">
    <w:name w:val="List Paragraph"/>
    <w:basedOn w:val="a"/>
    <w:uiPriority w:val="34"/>
    <w:qFormat/>
    <w:rsid w:val="00B73E04"/>
    <w:pPr>
      <w:spacing w:after="200" w:line="276" w:lineRule="auto"/>
      <w:ind w:left="720"/>
      <w:contextualSpacing/>
    </w:pPr>
    <w:rPr>
      <w:rFonts w:ascii="Calibri" w:eastAsia="Calibri" w:hAnsi="Calibri"/>
      <w:sz w:val="22"/>
      <w:szCs w:val="22"/>
      <w:lang w:eastAsia="en-US"/>
    </w:rPr>
  </w:style>
  <w:style w:type="paragraph" w:customStyle="1" w:styleId="Char">
    <w:name w:val="Char"/>
    <w:basedOn w:val="a"/>
    <w:rsid w:val="00A71D8F"/>
    <w:pPr>
      <w:spacing w:after="160" w:line="240" w:lineRule="exact"/>
      <w:jc w:val="both"/>
    </w:pPr>
    <w:rPr>
      <w:rFonts w:ascii="Verdana" w:hAnsi="Verdana"/>
      <w:sz w:val="20"/>
      <w:szCs w:val="20"/>
      <w:lang w:val="en-US" w:eastAsia="en-US"/>
    </w:rPr>
  </w:style>
  <w:style w:type="paragraph" w:customStyle="1" w:styleId="Pinakastitlos">
    <w:name w:val="Pinakas_titlos"/>
    <w:basedOn w:val="a"/>
    <w:qFormat/>
    <w:rsid w:val="001B4685"/>
    <w:pPr>
      <w:spacing w:before="120"/>
      <w:ind w:right="-1"/>
      <w:jc w:val="center"/>
    </w:pPr>
    <w:rPr>
      <w:rFonts w:ascii="Arial Narrow" w:hAnsi="Arial Narrow"/>
      <w:b/>
      <w:color w:val="FFFFFF"/>
    </w:rPr>
  </w:style>
  <w:style w:type="character" w:customStyle="1" w:styleId="BalloonTextChar">
    <w:name w:val="Balloon Text Char"/>
    <w:basedOn w:val="a0"/>
    <w:link w:val="a6"/>
    <w:semiHidden/>
    <w:rsid w:val="001B4685"/>
    <w:rPr>
      <w:rFonts w:ascii="Tahoma" w:hAnsi="Tahoma" w:cs="Tahoma"/>
      <w:sz w:val="16"/>
      <w:szCs w:val="16"/>
    </w:rPr>
  </w:style>
  <w:style w:type="paragraph" w:customStyle="1" w:styleId="12">
    <w:name w:val="Παράγραφος λίστας1"/>
    <w:basedOn w:val="a"/>
    <w:rsid w:val="001B4685"/>
    <w:pPr>
      <w:spacing w:after="200" w:line="276" w:lineRule="auto"/>
      <w:ind w:left="720"/>
    </w:pPr>
    <w:rPr>
      <w:rFonts w:ascii="Calibri" w:hAnsi="Calibri" w:cs="Calibri"/>
      <w:sz w:val="22"/>
      <w:szCs w:val="22"/>
      <w:lang w:eastAsia="en-US"/>
    </w:rPr>
  </w:style>
  <w:style w:type="character" w:customStyle="1" w:styleId="BodyTextIndent2Char">
    <w:name w:val="Body Text Indent 2 Char"/>
    <w:basedOn w:val="a0"/>
    <w:link w:val="21"/>
    <w:rsid w:val="00C56840"/>
    <w:rPr>
      <w:rFonts w:ascii="Tahoma" w:hAnsi="Tahoma"/>
      <w:b/>
      <w:color w:val="0000FF"/>
    </w:rPr>
  </w:style>
  <w:style w:type="character" w:customStyle="1" w:styleId="CommentTextChar">
    <w:name w:val="Comment Text Char"/>
    <w:basedOn w:val="a0"/>
    <w:link w:val="ad"/>
    <w:uiPriority w:val="99"/>
    <w:semiHidden/>
    <w:rsid w:val="00156E94"/>
  </w:style>
  <w:style w:type="character" w:customStyle="1" w:styleId="CommentSubjectChar">
    <w:name w:val="Comment Subject Char"/>
    <w:basedOn w:val="CommentTextChar"/>
    <w:link w:val="ae"/>
    <w:semiHidden/>
    <w:rsid w:val="00156E94"/>
    <w:rPr>
      <w:b/>
      <w:bCs/>
    </w:rPr>
  </w:style>
  <w:style w:type="paragraph" w:customStyle="1" w:styleId="CharCharCharCharCharCharCharCharCharCharCharCharChar0">
    <w:name w:val="Char Char Char Char Char Char Char Char Char Char Char Char Char"/>
    <w:basedOn w:val="a"/>
    <w:rsid w:val="005F39F3"/>
    <w:pPr>
      <w:spacing w:after="160" w:line="240" w:lineRule="exact"/>
      <w:jc w:val="both"/>
    </w:pPr>
    <w:rPr>
      <w:rFonts w:ascii="Verdana" w:hAnsi="Verdana"/>
      <w:sz w:val="20"/>
      <w:szCs w:val="20"/>
      <w:lang w:val="en-US" w:eastAsia="en-US"/>
    </w:rPr>
  </w:style>
  <w:style w:type="paragraph" w:customStyle="1" w:styleId="CharCharCharChar0">
    <w:name w:val="Char Char Char Char"/>
    <w:basedOn w:val="a"/>
    <w:rsid w:val="005F39F3"/>
    <w:pPr>
      <w:spacing w:before="120" w:after="160" w:line="240" w:lineRule="exact"/>
    </w:pPr>
    <w:rPr>
      <w:rFonts w:ascii="Verdana" w:hAnsi="Verdana"/>
      <w:sz w:val="20"/>
      <w:szCs w:val="20"/>
      <w:lang w:val="en-US" w:eastAsia="en-US"/>
    </w:rPr>
  </w:style>
  <w:style w:type="character" w:styleId="-0">
    <w:name w:val="FollowedHyperlink"/>
    <w:basedOn w:val="a0"/>
    <w:uiPriority w:val="99"/>
    <w:rsid w:val="005F39F3"/>
    <w:rPr>
      <w:color w:val="800080"/>
      <w:u w:val="single"/>
    </w:rPr>
  </w:style>
  <w:style w:type="paragraph" w:customStyle="1" w:styleId="xl70">
    <w:name w:val="xl70"/>
    <w:basedOn w:val="a"/>
    <w:rsid w:val="005F39F3"/>
    <w:pPr>
      <w:spacing w:before="100" w:beforeAutospacing="1" w:after="100" w:afterAutospacing="1"/>
      <w:textAlignment w:val="center"/>
    </w:pPr>
    <w:rPr>
      <w:rFonts w:ascii="Arial" w:hAnsi="Arial" w:cs="Arial"/>
      <w:sz w:val="22"/>
      <w:szCs w:val="22"/>
    </w:rPr>
  </w:style>
  <w:style w:type="paragraph" w:customStyle="1" w:styleId="xl71">
    <w:name w:val="xl71"/>
    <w:basedOn w:val="a"/>
    <w:rsid w:val="005F39F3"/>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5F39F3"/>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5F39F3"/>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5F39F3"/>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5F39F3"/>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23">
    <w:name w:val="Παράγραφος λίστας2"/>
    <w:basedOn w:val="a"/>
    <w:rsid w:val="005F39F3"/>
    <w:pPr>
      <w:spacing w:after="200" w:line="276" w:lineRule="auto"/>
      <w:ind w:left="720"/>
    </w:pPr>
    <w:rPr>
      <w:rFonts w:ascii="Calibri" w:hAnsi="Calibri" w:cs="Calibri"/>
      <w:sz w:val="22"/>
      <w:szCs w:val="22"/>
      <w:lang w:eastAsia="en-US"/>
    </w:rPr>
  </w:style>
  <w:style w:type="character" w:customStyle="1" w:styleId="Heading1Char">
    <w:name w:val="Heading 1 Char"/>
    <w:basedOn w:val="a0"/>
    <w:link w:val="1"/>
    <w:rsid w:val="002C76E1"/>
    <w:rPr>
      <w:rFonts w:ascii="Arial" w:hAnsi="Arial" w:cs="Arial"/>
      <w:b/>
      <w:bCs/>
      <w:kern w:val="32"/>
      <w:sz w:val="32"/>
      <w:szCs w:val="32"/>
    </w:rPr>
  </w:style>
  <w:style w:type="character" w:customStyle="1" w:styleId="Heading2Char">
    <w:name w:val="Heading 2 Char"/>
    <w:basedOn w:val="a0"/>
    <w:link w:val="2"/>
    <w:rsid w:val="002C76E1"/>
    <w:rPr>
      <w:rFonts w:ascii="Arial" w:hAnsi="Arial" w:cs="Arial"/>
      <w:b/>
      <w:bCs/>
      <w:i/>
      <w:iCs/>
      <w:sz w:val="28"/>
      <w:szCs w:val="28"/>
    </w:rPr>
  </w:style>
  <w:style w:type="character" w:customStyle="1" w:styleId="Heading3Char">
    <w:name w:val="Heading 3 Char"/>
    <w:basedOn w:val="a0"/>
    <w:link w:val="3"/>
    <w:rsid w:val="002C76E1"/>
    <w:rPr>
      <w:rFonts w:ascii="Arial" w:hAnsi="Arial" w:cs="Arial"/>
      <w:b/>
      <w:bCs/>
      <w:sz w:val="26"/>
      <w:szCs w:val="26"/>
    </w:rPr>
  </w:style>
  <w:style w:type="character" w:customStyle="1" w:styleId="Heading4Char">
    <w:name w:val="Heading 4 Char"/>
    <w:basedOn w:val="a0"/>
    <w:link w:val="4"/>
    <w:rsid w:val="002C76E1"/>
    <w:rPr>
      <w:rFonts w:ascii="Arial Narrow" w:hAnsi="Arial Narrow"/>
      <w:b/>
      <w:i/>
      <w:color w:val="000080"/>
      <w:sz w:val="24"/>
      <w:szCs w:val="22"/>
    </w:rPr>
  </w:style>
  <w:style w:type="character" w:customStyle="1" w:styleId="Heading5Char">
    <w:name w:val="Heading 5 Char"/>
    <w:basedOn w:val="a0"/>
    <w:link w:val="5"/>
    <w:rsid w:val="002C76E1"/>
    <w:rPr>
      <w:rFonts w:ascii="Arial Narrow" w:hAnsi="Arial Narrow"/>
      <w:b/>
      <w:sz w:val="22"/>
      <w:szCs w:val="22"/>
    </w:rPr>
  </w:style>
  <w:style w:type="character" w:customStyle="1" w:styleId="Heading6Char">
    <w:name w:val="Heading 6 Char"/>
    <w:basedOn w:val="a0"/>
    <w:link w:val="6"/>
    <w:rsid w:val="002C76E1"/>
    <w:rPr>
      <w:rFonts w:ascii="Arial Narrow" w:hAnsi="Arial Narrow"/>
      <w:b/>
      <w:color w:val="000080"/>
      <w:sz w:val="26"/>
      <w:szCs w:val="22"/>
    </w:rPr>
  </w:style>
  <w:style w:type="character" w:customStyle="1" w:styleId="Heading7Char">
    <w:name w:val="Heading 7 Char"/>
    <w:basedOn w:val="a0"/>
    <w:link w:val="7"/>
    <w:rsid w:val="002C76E1"/>
    <w:rPr>
      <w:rFonts w:ascii="Arial Narrow" w:hAnsi="Arial Narrow"/>
      <w:b/>
      <w:color w:val="000080"/>
      <w:sz w:val="22"/>
      <w:szCs w:val="22"/>
    </w:rPr>
  </w:style>
  <w:style w:type="character" w:customStyle="1" w:styleId="Heading8Char">
    <w:name w:val="Heading 8 Char"/>
    <w:basedOn w:val="a0"/>
    <w:link w:val="8"/>
    <w:rsid w:val="002C76E1"/>
    <w:rPr>
      <w:rFonts w:ascii="Arial Narrow" w:hAnsi="Arial Narrow"/>
      <w:b/>
      <w:i/>
      <w:sz w:val="22"/>
      <w:szCs w:val="22"/>
    </w:rPr>
  </w:style>
  <w:style w:type="character" w:customStyle="1" w:styleId="Heading9Char">
    <w:name w:val="Heading 9 Char"/>
    <w:basedOn w:val="a0"/>
    <w:link w:val="9"/>
    <w:rsid w:val="002C76E1"/>
    <w:rPr>
      <w:rFonts w:ascii="Arial" w:hAnsi="Arial" w:cs="Arial"/>
      <w:sz w:val="22"/>
      <w:szCs w:val="22"/>
    </w:rPr>
  </w:style>
  <w:style w:type="character" w:customStyle="1" w:styleId="HeaderChar">
    <w:name w:val="Header Char"/>
    <w:basedOn w:val="a0"/>
    <w:link w:val="a3"/>
    <w:rsid w:val="002C76E1"/>
    <w:rPr>
      <w:sz w:val="24"/>
      <w:szCs w:val="24"/>
    </w:rPr>
  </w:style>
  <w:style w:type="character" w:customStyle="1" w:styleId="FooterChar">
    <w:name w:val="Footer Char"/>
    <w:basedOn w:val="a0"/>
    <w:link w:val="a4"/>
    <w:rsid w:val="002C76E1"/>
    <w:rPr>
      <w:sz w:val="24"/>
      <w:szCs w:val="24"/>
    </w:rPr>
  </w:style>
  <w:style w:type="character" w:customStyle="1" w:styleId="BodyText2Char">
    <w:name w:val="Body Text 2 Char"/>
    <w:basedOn w:val="a0"/>
    <w:link w:val="20"/>
    <w:rsid w:val="002C76E1"/>
    <w:rPr>
      <w:sz w:val="24"/>
      <w:szCs w:val="22"/>
    </w:rPr>
  </w:style>
  <w:style w:type="character" w:customStyle="1" w:styleId="BodyTextChar">
    <w:name w:val="Body Text Char"/>
    <w:basedOn w:val="a0"/>
    <w:link w:val="a8"/>
    <w:rsid w:val="002C76E1"/>
    <w:rPr>
      <w:sz w:val="22"/>
      <w:szCs w:val="22"/>
    </w:rPr>
  </w:style>
  <w:style w:type="character" w:customStyle="1" w:styleId="TitleChar">
    <w:name w:val="Title Char"/>
    <w:basedOn w:val="a0"/>
    <w:link w:val="a9"/>
    <w:rsid w:val="002C76E1"/>
    <w:rPr>
      <w:b/>
      <w:bCs/>
      <w:sz w:val="24"/>
      <w:szCs w:val="24"/>
      <w:lang w:eastAsia="en-US"/>
    </w:rPr>
  </w:style>
  <w:style w:type="character" w:customStyle="1" w:styleId="BodyTextIndentChar">
    <w:name w:val="Body Text Indent Char"/>
    <w:basedOn w:val="a0"/>
    <w:link w:val="aa"/>
    <w:rsid w:val="002C76E1"/>
    <w:rPr>
      <w:sz w:val="22"/>
    </w:rPr>
  </w:style>
  <w:style w:type="character" w:customStyle="1" w:styleId="BodyText3Char">
    <w:name w:val="Body Text 3 Char"/>
    <w:basedOn w:val="a0"/>
    <w:link w:val="30"/>
    <w:rsid w:val="002C76E1"/>
    <w:rPr>
      <w:sz w:val="22"/>
    </w:rPr>
  </w:style>
  <w:style w:type="character" w:customStyle="1" w:styleId="PlainTextChar">
    <w:name w:val="Plain Text Char"/>
    <w:basedOn w:val="a0"/>
    <w:link w:val="ab"/>
    <w:rsid w:val="002C76E1"/>
    <w:rPr>
      <w:rFonts w:ascii="Courier New" w:hAnsi="Courier New"/>
    </w:rPr>
  </w:style>
  <w:style w:type="character" w:customStyle="1" w:styleId="BodyTextIndent3Char">
    <w:name w:val="Body Text Indent 3 Char"/>
    <w:basedOn w:val="a0"/>
    <w:link w:val="31"/>
    <w:rsid w:val="002C76E1"/>
    <w:rPr>
      <w:sz w:val="22"/>
    </w:rPr>
  </w:style>
  <w:style w:type="character" w:customStyle="1" w:styleId="FootnoteTextChar">
    <w:name w:val="Footnote Text Char"/>
    <w:basedOn w:val="a0"/>
    <w:link w:val="af"/>
    <w:semiHidden/>
    <w:rsid w:val="002C76E1"/>
  </w:style>
  <w:style w:type="paragraph" w:customStyle="1" w:styleId="font5">
    <w:name w:val="font5"/>
    <w:basedOn w:val="a"/>
    <w:rsid w:val="00886B6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86B62"/>
    <w:pPr>
      <w:spacing w:before="100" w:beforeAutospacing="1" w:after="100" w:afterAutospacing="1"/>
    </w:pPr>
    <w:rPr>
      <w:rFonts w:ascii="Tahoma" w:hAnsi="Tahoma" w:cs="Tahoma"/>
      <w:color w:val="000000"/>
      <w:sz w:val="18"/>
      <w:szCs w:val="18"/>
    </w:rPr>
  </w:style>
  <w:style w:type="paragraph" w:customStyle="1" w:styleId="xl76">
    <w:name w:val="xl76"/>
    <w:basedOn w:val="a"/>
    <w:rsid w:val="00886B62"/>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77">
    <w:name w:val="xl77"/>
    <w:basedOn w:val="a"/>
    <w:rsid w:val="00886B62"/>
    <w:pP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78">
    <w:name w:val="xl7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79">
    <w:name w:val="xl79"/>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0">
    <w:name w:val="xl80"/>
    <w:basedOn w:val="a"/>
    <w:rsid w:val="00886B62"/>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83">
    <w:name w:val="xl83"/>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4">
    <w:name w:val="xl84"/>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85">
    <w:name w:val="xl85"/>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86">
    <w:name w:val="xl8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7">
    <w:name w:val="xl8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88">
    <w:name w:val="xl8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89">
    <w:name w:val="xl89"/>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0">
    <w:name w:val="xl9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i/>
      <w:iCs/>
      <w:sz w:val="16"/>
      <w:szCs w:val="16"/>
    </w:rPr>
  </w:style>
  <w:style w:type="paragraph" w:customStyle="1" w:styleId="xl91">
    <w:name w:val="xl9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Narrow" w:hAnsi="Arial Narrow"/>
      <w:b/>
      <w:bCs/>
      <w:i/>
      <w:iCs/>
      <w:sz w:val="16"/>
      <w:szCs w:val="16"/>
    </w:rPr>
  </w:style>
  <w:style w:type="paragraph" w:customStyle="1" w:styleId="xl94">
    <w:name w:val="xl94"/>
    <w:basedOn w:val="a"/>
    <w:rsid w:val="00886B6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Narrow" w:hAnsi="Arial Narrow"/>
      <w:b/>
      <w:bCs/>
      <w:i/>
      <w:iCs/>
      <w:sz w:val="16"/>
      <w:szCs w:val="16"/>
    </w:rPr>
  </w:style>
  <w:style w:type="paragraph" w:customStyle="1" w:styleId="xl95">
    <w:name w:val="xl9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96">
    <w:name w:val="xl96"/>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7">
    <w:name w:val="xl97"/>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i/>
      <w:iCs/>
      <w:sz w:val="16"/>
      <w:szCs w:val="16"/>
    </w:rPr>
  </w:style>
  <w:style w:type="paragraph" w:customStyle="1" w:styleId="xl98">
    <w:name w:val="xl98"/>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Narrow" w:hAnsi="Arial Narrow"/>
      <w:b/>
      <w:bCs/>
      <w:sz w:val="16"/>
      <w:szCs w:val="16"/>
    </w:rPr>
  </w:style>
  <w:style w:type="paragraph" w:customStyle="1" w:styleId="xl99">
    <w:name w:val="xl99"/>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0">
    <w:name w:val="xl100"/>
    <w:basedOn w:val="a"/>
    <w:rsid w:val="00886B6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1">
    <w:name w:val="xl101"/>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02">
    <w:name w:val="xl102"/>
    <w:basedOn w:val="a"/>
    <w:rsid w:val="00886B62"/>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03">
    <w:name w:val="xl103"/>
    <w:basedOn w:val="a"/>
    <w:rsid w:val="00886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i/>
      <w:iCs/>
      <w:sz w:val="16"/>
      <w:szCs w:val="16"/>
    </w:rPr>
  </w:style>
  <w:style w:type="paragraph" w:customStyle="1" w:styleId="xl104">
    <w:name w:val="xl10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a"/>
    <w:rsid w:val="00886B62"/>
    <w:pPr>
      <w:pBdr>
        <w:top w:val="single" w:sz="4" w:space="0" w:color="auto"/>
        <w:left w:val="single" w:sz="4" w:space="0" w:color="auto"/>
        <w:bottom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8">
    <w:name w:val="xl108"/>
    <w:basedOn w:val="a"/>
    <w:rsid w:val="00886B62"/>
    <w:pPr>
      <w:pBdr>
        <w:top w:val="single" w:sz="4" w:space="0" w:color="auto"/>
        <w:bottom w:val="single" w:sz="4" w:space="0" w:color="auto"/>
        <w:right w:val="single" w:sz="4" w:space="0" w:color="auto"/>
      </w:pBdr>
      <w:shd w:val="clear" w:color="000000" w:fill="A5A5A5"/>
      <w:spacing w:before="100" w:beforeAutospacing="1" w:after="100" w:afterAutospacing="1"/>
      <w:textAlignment w:val="center"/>
    </w:pPr>
    <w:rPr>
      <w:rFonts w:ascii="Arial Narrow" w:hAnsi="Arial Narrow"/>
      <w:b/>
      <w:bCs/>
      <w:sz w:val="16"/>
      <w:szCs w:val="16"/>
    </w:rPr>
  </w:style>
  <w:style w:type="paragraph" w:customStyle="1" w:styleId="xl109">
    <w:name w:val="xl109"/>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0">
    <w:name w:val="xl110"/>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111">
    <w:name w:val="xl111"/>
    <w:basedOn w:val="a"/>
    <w:rsid w:val="00886B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112">
    <w:name w:val="xl112"/>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3">
    <w:name w:val="xl113"/>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4">
    <w:name w:val="xl114"/>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115">
    <w:name w:val="xl115"/>
    <w:basedOn w:val="a"/>
    <w:rsid w:val="00886B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16">
    <w:name w:val="xl116"/>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7">
    <w:name w:val="xl117"/>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18">
    <w:name w:val="xl118"/>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i/>
      <w:iCs/>
      <w:sz w:val="16"/>
      <w:szCs w:val="16"/>
    </w:rPr>
  </w:style>
  <w:style w:type="paragraph" w:customStyle="1" w:styleId="xl119">
    <w:name w:val="xl119"/>
    <w:basedOn w:val="a"/>
    <w:rsid w:val="00886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i/>
      <w:iCs/>
      <w:sz w:val="16"/>
      <w:szCs w:val="16"/>
    </w:rPr>
  </w:style>
  <w:style w:type="paragraph" w:customStyle="1" w:styleId="xl120">
    <w:name w:val="xl120"/>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customStyle="1" w:styleId="xl121">
    <w:name w:val="xl121"/>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Narrow" w:hAnsi="Arial Narrow"/>
      <w:b/>
      <w:bCs/>
      <w:sz w:val="16"/>
      <w:szCs w:val="16"/>
    </w:rPr>
  </w:style>
  <w:style w:type="paragraph" w:customStyle="1" w:styleId="xl122">
    <w:name w:val="xl122"/>
    <w:basedOn w:val="a"/>
    <w:rsid w:val="00886B6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Narrow" w:hAnsi="Arial Narrow"/>
      <w:b/>
      <w:bCs/>
      <w:sz w:val="16"/>
      <w:szCs w:val="16"/>
    </w:rPr>
  </w:style>
  <w:style w:type="paragraph" w:styleId="af3">
    <w:name w:val="No Spacing"/>
    <w:uiPriority w:val="1"/>
    <w:qFormat/>
    <w:rsid w:val="00235EF9"/>
    <w:rPr>
      <w:rFonts w:asciiTheme="minorHAnsi" w:eastAsiaTheme="minorHAnsi" w:hAnsiTheme="minorHAnsi" w:cstheme="minorBidi"/>
      <w:sz w:val="22"/>
      <w:szCs w:val="22"/>
      <w:lang w:eastAsia="en-US"/>
    </w:rPr>
  </w:style>
  <w:style w:type="paragraph" w:styleId="Web">
    <w:name w:val="Normal (Web)"/>
    <w:basedOn w:val="a"/>
    <w:uiPriority w:val="99"/>
    <w:rsid w:val="00D31046"/>
    <w:pPr>
      <w:spacing w:before="100" w:beforeAutospacing="1" w:after="119"/>
    </w:pPr>
  </w:style>
  <w:style w:type="character" w:styleId="af4">
    <w:name w:val="line number"/>
    <w:basedOn w:val="a0"/>
    <w:rsid w:val="00D31046"/>
  </w:style>
  <w:style w:type="character" w:styleId="af5">
    <w:name w:val="Strong"/>
    <w:basedOn w:val="a0"/>
    <w:qFormat/>
    <w:rsid w:val="00D31046"/>
    <w:rPr>
      <w:b/>
      <w:bCs/>
    </w:rPr>
  </w:style>
  <w:style w:type="paragraph" w:customStyle="1" w:styleId="Default">
    <w:name w:val="Default"/>
    <w:rsid w:val="00D31046"/>
    <w:pPr>
      <w:autoSpaceDE w:val="0"/>
      <w:autoSpaceDN w:val="0"/>
      <w:adjustRightInd w:val="0"/>
    </w:pPr>
    <w:rPr>
      <w:rFonts w:eastAsia="Calibri"/>
      <w:color w:val="000000"/>
      <w:sz w:val="24"/>
      <w:szCs w:val="24"/>
      <w:lang w:eastAsia="en-US"/>
    </w:rPr>
  </w:style>
  <w:style w:type="paragraph" w:styleId="-HTML">
    <w:name w:val="HTML Preformatted"/>
    <w:basedOn w:val="a"/>
    <w:link w:val="HTMLPreformattedChar"/>
    <w:uiPriority w:val="99"/>
    <w:unhideWhenUsed/>
    <w:rsid w:val="00EF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rsid w:val="00EF2957"/>
    <w:rPr>
      <w:rFonts w:ascii="Courier New" w:hAnsi="Courier New" w:cs="Courier New"/>
    </w:rPr>
  </w:style>
  <w:style w:type="paragraph" w:customStyle="1" w:styleId="font7">
    <w:name w:val="font7"/>
    <w:basedOn w:val="a"/>
    <w:rsid w:val="00EF2957"/>
    <w:pPr>
      <w:spacing w:before="100" w:beforeAutospacing="1" w:after="100" w:afterAutospacing="1"/>
    </w:pPr>
    <w:rPr>
      <w:rFonts w:ascii="Segoe UI" w:hAnsi="Segoe UI" w:cs="Segoe UI"/>
      <w:b/>
      <w:bCs/>
      <w:i/>
      <w:iCs/>
      <w:sz w:val="16"/>
      <w:szCs w:val="16"/>
    </w:rPr>
  </w:style>
  <w:style w:type="paragraph" w:customStyle="1" w:styleId="xl52827">
    <w:name w:val="xl52827"/>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a"/>
    <w:rsid w:val="00EF2957"/>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a"/>
    <w:rsid w:val="00EF2957"/>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a"/>
    <w:rsid w:val="00EF2957"/>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a"/>
    <w:rsid w:val="00EF2957"/>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a"/>
    <w:rsid w:val="00EF2957"/>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a"/>
    <w:rsid w:val="00EF2957"/>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a"/>
    <w:rsid w:val="00EF2957"/>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a"/>
    <w:rsid w:val="00EF2957"/>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a"/>
    <w:rsid w:val="00EF2957"/>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a"/>
    <w:rsid w:val="00EF2957"/>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a"/>
    <w:rsid w:val="00EF2957"/>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a"/>
    <w:rsid w:val="00EF2957"/>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a"/>
    <w:rsid w:val="00EF2957"/>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a"/>
    <w:rsid w:val="00EF2957"/>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a"/>
    <w:rsid w:val="00EF2957"/>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a"/>
    <w:rsid w:val="00EF2957"/>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a"/>
    <w:rsid w:val="00EF2957"/>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a"/>
    <w:rsid w:val="00EF2957"/>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a"/>
    <w:rsid w:val="00EF2957"/>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a"/>
    <w:rsid w:val="00EF2957"/>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a"/>
    <w:rsid w:val="00EF2957"/>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a"/>
    <w:rsid w:val="00EF2957"/>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a"/>
    <w:rsid w:val="00EF2957"/>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a"/>
    <w:rsid w:val="00EF2957"/>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a"/>
    <w:rsid w:val="00EF2957"/>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a"/>
    <w:rsid w:val="00EF2957"/>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a"/>
    <w:rsid w:val="00EF2957"/>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a"/>
    <w:rsid w:val="00EF2957"/>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a"/>
    <w:rsid w:val="00EF2957"/>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a"/>
    <w:rsid w:val="00EF2957"/>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a"/>
    <w:rsid w:val="00EF2957"/>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a"/>
    <w:rsid w:val="00EF2957"/>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a"/>
    <w:rsid w:val="00EF2957"/>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a"/>
    <w:rsid w:val="00EF2957"/>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a"/>
    <w:rsid w:val="00EF2957"/>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a"/>
    <w:rsid w:val="00EF2957"/>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a"/>
    <w:rsid w:val="00EF2957"/>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a"/>
    <w:rsid w:val="00EF2957"/>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a"/>
    <w:rsid w:val="00EF2957"/>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a"/>
    <w:rsid w:val="00EF2957"/>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a"/>
    <w:rsid w:val="00EF2957"/>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a"/>
    <w:rsid w:val="00EF2957"/>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a"/>
    <w:rsid w:val="00EF2957"/>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a"/>
    <w:rsid w:val="00EF2957"/>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a"/>
    <w:rsid w:val="00EF2957"/>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a"/>
    <w:rsid w:val="00EF2957"/>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a"/>
    <w:rsid w:val="00EF2957"/>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a"/>
    <w:rsid w:val="00EF2957"/>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a"/>
    <w:rsid w:val="00EF2957"/>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a"/>
    <w:rsid w:val="00EF2957"/>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a"/>
    <w:rsid w:val="00EF2957"/>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a"/>
    <w:rsid w:val="00EF2957"/>
    <w:pPr>
      <w:spacing w:before="100" w:beforeAutospacing="1" w:after="100" w:afterAutospacing="1"/>
      <w:jc w:val="center"/>
    </w:pPr>
    <w:rPr>
      <w:rFonts w:ascii="Segoe UI" w:hAnsi="Segoe UI" w:cs="Segoe UI"/>
      <w:sz w:val="16"/>
      <w:szCs w:val="16"/>
    </w:rPr>
  </w:style>
  <w:style w:type="paragraph" w:customStyle="1" w:styleId="xl52958">
    <w:name w:val="xl52958"/>
    <w:basedOn w:val="a"/>
    <w:rsid w:val="00EF2957"/>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a"/>
    <w:rsid w:val="00EF2957"/>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a"/>
    <w:rsid w:val="00EF2957"/>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a"/>
    <w:rsid w:val="00EF2957"/>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a"/>
    <w:rsid w:val="00EF2957"/>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a"/>
    <w:rsid w:val="00EF2957"/>
    <w:pPr>
      <w:spacing w:before="100" w:beforeAutospacing="1" w:after="100" w:afterAutospacing="1"/>
      <w:jc w:val="center"/>
    </w:pPr>
    <w:rPr>
      <w:rFonts w:ascii="Segoe UI" w:hAnsi="Segoe UI" w:cs="Segoe UI"/>
      <w:b/>
      <w:bCs/>
      <w:sz w:val="16"/>
      <w:szCs w:val="16"/>
    </w:rPr>
  </w:style>
  <w:style w:type="paragraph" w:customStyle="1" w:styleId="xl52970">
    <w:name w:val="xl52970"/>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a"/>
    <w:rsid w:val="00EF2957"/>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a"/>
    <w:rsid w:val="00EF2957"/>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a"/>
    <w:rsid w:val="00EF2957"/>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a"/>
    <w:rsid w:val="00EF2957"/>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a"/>
    <w:rsid w:val="00EF2957"/>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a"/>
    <w:rsid w:val="00EF2957"/>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a"/>
    <w:rsid w:val="00EF2957"/>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a"/>
    <w:rsid w:val="00EF2957"/>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a"/>
    <w:rsid w:val="00EF2957"/>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a"/>
    <w:rsid w:val="00EF2957"/>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a"/>
    <w:rsid w:val="00EF2957"/>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a"/>
    <w:rsid w:val="00EF2957"/>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a"/>
    <w:rsid w:val="00EF2957"/>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a"/>
    <w:rsid w:val="00EF2957"/>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a"/>
    <w:rsid w:val="00EF2957"/>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a"/>
    <w:rsid w:val="00EF2957"/>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a"/>
    <w:rsid w:val="00EF2957"/>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a"/>
    <w:rsid w:val="00EF2957"/>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a"/>
    <w:rsid w:val="00EF2957"/>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a"/>
    <w:rsid w:val="00EF2957"/>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a"/>
    <w:rsid w:val="00EF2957"/>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a"/>
    <w:rsid w:val="00EF2957"/>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a"/>
    <w:rsid w:val="00EF2957"/>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a"/>
    <w:rsid w:val="00EF2957"/>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a"/>
    <w:rsid w:val="00EF2957"/>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a"/>
    <w:rsid w:val="00EF2957"/>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a"/>
    <w:rsid w:val="00EF2957"/>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a"/>
    <w:rsid w:val="00EF2957"/>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a"/>
    <w:rsid w:val="00EF295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a"/>
    <w:rsid w:val="00EF2957"/>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a"/>
    <w:rsid w:val="00EF295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a"/>
    <w:rsid w:val="00EF2957"/>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a"/>
    <w:rsid w:val="00EF2957"/>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a"/>
    <w:rsid w:val="00EF2957"/>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a"/>
    <w:rsid w:val="00EF2957"/>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a"/>
    <w:rsid w:val="00EF2957"/>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a"/>
    <w:rsid w:val="00EF2957"/>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a"/>
    <w:rsid w:val="00EF2957"/>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a"/>
    <w:rsid w:val="00EF2957"/>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a"/>
    <w:rsid w:val="00EF2957"/>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a"/>
    <w:rsid w:val="00EF295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a"/>
    <w:rsid w:val="00EF2957"/>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a"/>
    <w:rsid w:val="00EF2957"/>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a"/>
    <w:rsid w:val="00EF2957"/>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a"/>
    <w:rsid w:val="00EF2957"/>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a"/>
    <w:rsid w:val="00EF2957"/>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a"/>
    <w:rsid w:val="00EF2957"/>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a"/>
    <w:rsid w:val="00EF2957"/>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a"/>
    <w:rsid w:val="00EF2957"/>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a"/>
    <w:rsid w:val="00EF2957"/>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a"/>
    <w:rsid w:val="00EF2957"/>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a"/>
    <w:rsid w:val="00EF2957"/>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a"/>
    <w:rsid w:val="00EF2957"/>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a"/>
    <w:rsid w:val="00EF2957"/>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a"/>
    <w:rsid w:val="00EF2957"/>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styleId="af6">
    <w:name w:val="Body Text First Indent"/>
    <w:basedOn w:val="a8"/>
    <w:link w:val="BodyTextFirstIndentChar"/>
    <w:uiPriority w:val="99"/>
    <w:rsid w:val="00BA4CBC"/>
    <w:pPr>
      <w:spacing w:after="120"/>
      <w:ind w:firstLine="210"/>
      <w:jc w:val="left"/>
    </w:pPr>
    <w:rPr>
      <w:sz w:val="20"/>
      <w:szCs w:val="20"/>
      <w:lang w:eastAsia="en-US"/>
    </w:rPr>
  </w:style>
  <w:style w:type="character" w:customStyle="1" w:styleId="BodyTextFirstIndentChar">
    <w:name w:val="Body Text First Indent Char"/>
    <w:basedOn w:val="BodyTextChar"/>
    <w:link w:val="af6"/>
    <w:uiPriority w:val="99"/>
    <w:rsid w:val="00BA4CBC"/>
    <w:rPr>
      <w:sz w:val="22"/>
      <w:szCs w:val="22"/>
      <w:lang w:eastAsia="en-US"/>
    </w:rPr>
  </w:style>
  <w:style w:type="paragraph" w:styleId="af7">
    <w:name w:val="Revision"/>
    <w:hidden/>
    <w:uiPriority w:val="99"/>
    <w:semiHidden/>
    <w:rsid w:val="00700C67"/>
    <w:rPr>
      <w:sz w:val="24"/>
      <w:szCs w:val="24"/>
    </w:rPr>
  </w:style>
  <w:style w:type="paragraph" w:customStyle="1" w:styleId="xl123">
    <w:name w:val="xl123"/>
    <w:basedOn w:val="a"/>
    <w:rsid w:val="009566E0"/>
    <w:pPr>
      <w:shd w:val="clear" w:color="000000" w:fill="FFFFFF"/>
      <w:spacing w:before="100" w:beforeAutospacing="1" w:after="100" w:afterAutospacing="1"/>
    </w:pPr>
    <w:rPr>
      <w:rFonts w:ascii="Arial Narrow" w:hAnsi="Arial Narrow"/>
    </w:rPr>
  </w:style>
  <w:style w:type="paragraph" w:customStyle="1" w:styleId="xl124">
    <w:name w:val="xl124"/>
    <w:basedOn w:val="a"/>
    <w:rsid w:val="00956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i/>
      <w:iCs/>
      <w:sz w:val="16"/>
      <w:szCs w:val="16"/>
    </w:rPr>
  </w:style>
  <w:style w:type="paragraph" w:customStyle="1" w:styleId="xl125">
    <w:name w:val="xl125"/>
    <w:basedOn w:val="a"/>
    <w:rsid w:val="00956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i/>
      <w:iCs/>
      <w:sz w:val="16"/>
      <w:szCs w:val="16"/>
    </w:rPr>
  </w:style>
  <w:style w:type="paragraph" w:customStyle="1" w:styleId="xl126">
    <w:name w:val="xl126"/>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sz w:val="16"/>
      <w:szCs w:val="16"/>
    </w:rPr>
  </w:style>
  <w:style w:type="paragraph" w:customStyle="1" w:styleId="xl127">
    <w:name w:val="xl127"/>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sz w:val="16"/>
      <w:szCs w:val="16"/>
    </w:rPr>
  </w:style>
  <w:style w:type="paragraph" w:customStyle="1" w:styleId="xl128">
    <w:name w:val="xl128"/>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29">
    <w:name w:val="xl129"/>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i/>
      <w:iCs/>
      <w:sz w:val="16"/>
      <w:szCs w:val="16"/>
    </w:rPr>
  </w:style>
  <w:style w:type="paragraph" w:customStyle="1" w:styleId="xl130">
    <w:name w:val="xl130"/>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131">
    <w:name w:val="xl131"/>
    <w:basedOn w:val="a"/>
    <w:rsid w:val="00956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946">
      <w:bodyDiv w:val="1"/>
      <w:marLeft w:val="0"/>
      <w:marRight w:val="0"/>
      <w:marTop w:val="0"/>
      <w:marBottom w:val="0"/>
      <w:divBdr>
        <w:top w:val="none" w:sz="0" w:space="0" w:color="auto"/>
        <w:left w:val="none" w:sz="0" w:space="0" w:color="auto"/>
        <w:bottom w:val="none" w:sz="0" w:space="0" w:color="auto"/>
        <w:right w:val="none" w:sz="0" w:space="0" w:color="auto"/>
      </w:divBdr>
    </w:div>
    <w:div w:id="47919311">
      <w:bodyDiv w:val="1"/>
      <w:marLeft w:val="0"/>
      <w:marRight w:val="0"/>
      <w:marTop w:val="0"/>
      <w:marBottom w:val="0"/>
      <w:divBdr>
        <w:top w:val="none" w:sz="0" w:space="0" w:color="auto"/>
        <w:left w:val="none" w:sz="0" w:space="0" w:color="auto"/>
        <w:bottom w:val="none" w:sz="0" w:space="0" w:color="auto"/>
        <w:right w:val="none" w:sz="0" w:space="0" w:color="auto"/>
      </w:divBdr>
    </w:div>
    <w:div w:id="54084980">
      <w:bodyDiv w:val="1"/>
      <w:marLeft w:val="0"/>
      <w:marRight w:val="0"/>
      <w:marTop w:val="0"/>
      <w:marBottom w:val="0"/>
      <w:divBdr>
        <w:top w:val="none" w:sz="0" w:space="0" w:color="auto"/>
        <w:left w:val="none" w:sz="0" w:space="0" w:color="auto"/>
        <w:bottom w:val="none" w:sz="0" w:space="0" w:color="auto"/>
        <w:right w:val="none" w:sz="0" w:space="0" w:color="auto"/>
      </w:divBdr>
    </w:div>
    <w:div w:id="58796521">
      <w:bodyDiv w:val="1"/>
      <w:marLeft w:val="0"/>
      <w:marRight w:val="0"/>
      <w:marTop w:val="0"/>
      <w:marBottom w:val="0"/>
      <w:divBdr>
        <w:top w:val="none" w:sz="0" w:space="0" w:color="auto"/>
        <w:left w:val="none" w:sz="0" w:space="0" w:color="auto"/>
        <w:bottom w:val="none" w:sz="0" w:space="0" w:color="auto"/>
        <w:right w:val="none" w:sz="0" w:space="0" w:color="auto"/>
      </w:divBdr>
    </w:div>
    <w:div w:id="82385496">
      <w:bodyDiv w:val="1"/>
      <w:marLeft w:val="0"/>
      <w:marRight w:val="0"/>
      <w:marTop w:val="0"/>
      <w:marBottom w:val="0"/>
      <w:divBdr>
        <w:top w:val="none" w:sz="0" w:space="0" w:color="auto"/>
        <w:left w:val="none" w:sz="0" w:space="0" w:color="auto"/>
        <w:bottom w:val="none" w:sz="0" w:space="0" w:color="auto"/>
        <w:right w:val="none" w:sz="0" w:space="0" w:color="auto"/>
      </w:divBdr>
    </w:div>
    <w:div w:id="138310505">
      <w:bodyDiv w:val="1"/>
      <w:marLeft w:val="0"/>
      <w:marRight w:val="0"/>
      <w:marTop w:val="0"/>
      <w:marBottom w:val="0"/>
      <w:divBdr>
        <w:top w:val="none" w:sz="0" w:space="0" w:color="auto"/>
        <w:left w:val="none" w:sz="0" w:space="0" w:color="auto"/>
        <w:bottom w:val="none" w:sz="0" w:space="0" w:color="auto"/>
        <w:right w:val="none" w:sz="0" w:space="0" w:color="auto"/>
      </w:divBdr>
    </w:div>
    <w:div w:id="170680019">
      <w:bodyDiv w:val="1"/>
      <w:marLeft w:val="0"/>
      <w:marRight w:val="0"/>
      <w:marTop w:val="0"/>
      <w:marBottom w:val="0"/>
      <w:divBdr>
        <w:top w:val="none" w:sz="0" w:space="0" w:color="auto"/>
        <w:left w:val="none" w:sz="0" w:space="0" w:color="auto"/>
        <w:bottom w:val="none" w:sz="0" w:space="0" w:color="auto"/>
        <w:right w:val="none" w:sz="0" w:space="0" w:color="auto"/>
      </w:divBdr>
    </w:div>
    <w:div w:id="184439433">
      <w:bodyDiv w:val="1"/>
      <w:marLeft w:val="0"/>
      <w:marRight w:val="0"/>
      <w:marTop w:val="0"/>
      <w:marBottom w:val="0"/>
      <w:divBdr>
        <w:top w:val="none" w:sz="0" w:space="0" w:color="auto"/>
        <w:left w:val="none" w:sz="0" w:space="0" w:color="auto"/>
        <w:bottom w:val="none" w:sz="0" w:space="0" w:color="auto"/>
        <w:right w:val="none" w:sz="0" w:space="0" w:color="auto"/>
      </w:divBdr>
    </w:div>
    <w:div w:id="191649147">
      <w:bodyDiv w:val="1"/>
      <w:marLeft w:val="0"/>
      <w:marRight w:val="0"/>
      <w:marTop w:val="0"/>
      <w:marBottom w:val="0"/>
      <w:divBdr>
        <w:top w:val="none" w:sz="0" w:space="0" w:color="auto"/>
        <w:left w:val="none" w:sz="0" w:space="0" w:color="auto"/>
        <w:bottom w:val="none" w:sz="0" w:space="0" w:color="auto"/>
        <w:right w:val="none" w:sz="0" w:space="0" w:color="auto"/>
      </w:divBdr>
    </w:div>
    <w:div w:id="281115634">
      <w:bodyDiv w:val="1"/>
      <w:marLeft w:val="0"/>
      <w:marRight w:val="0"/>
      <w:marTop w:val="0"/>
      <w:marBottom w:val="0"/>
      <w:divBdr>
        <w:top w:val="none" w:sz="0" w:space="0" w:color="auto"/>
        <w:left w:val="none" w:sz="0" w:space="0" w:color="auto"/>
        <w:bottom w:val="none" w:sz="0" w:space="0" w:color="auto"/>
        <w:right w:val="none" w:sz="0" w:space="0" w:color="auto"/>
      </w:divBdr>
    </w:div>
    <w:div w:id="430587806">
      <w:bodyDiv w:val="1"/>
      <w:marLeft w:val="0"/>
      <w:marRight w:val="0"/>
      <w:marTop w:val="0"/>
      <w:marBottom w:val="0"/>
      <w:divBdr>
        <w:top w:val="none" w:sz="0" w:space="0" w:color="auto"/>
        <w:left w:val="none" w:sz="0" w:space="0" w:color="auto"/>
        <w:bottom w:val="none" w:sz="0" w:space="0" w:color="auto"/>
        <w:right w:val="none" w:sz="0" w:space="0" w:color="auto"/>
      </w:divBdr>
    </w:div>
    <w:div w:id="438182309">
      <w:bodyDiv w:val="1"/>
      <w:marLeft w:val="0"/>
      <w:marRight w:val="0"/>
      <w:marTop w:val="0"/>
      <w:marBottom w:val="0"/>
      <w:divBdr>
        <w:top w:val="none" w:sz="0" w:space="0" w:color="auto"/>
        <w:left w:val="none" w:sz="0" w:space="0" w:color="auto"/>
        <w:bottom w:val="none" w:sz="0" w:space="0" w:color="auto"/>
        <w:right w:val="none" w:sz="0" w:space="0" w:color="auto"/>
      </w:divBdr>
    </w:div>
    <w:div w:id="489712309">
      <w:bodyDiv w:val="1"/>
      <w:marLeft w:val="0"/>
      <w:marRight w:val="0"/>
      <w:marTop w:val="0"/>
      <w:marBottom w:val="0"/>
      <w:divBdr>
        <w:top w:val="none" w:sz="0" w:space="0" w:color="auto"/>
        <w:left w:val="none" w:sz="0" w:space="0" w:color="auto"/>
        <w:bottom w:val="none" w:sz="0" w:space="0" w:color="auto"/>
        <w:right w:val="none" w:sz="0" w:space="0" w:color="auto"/>
      </w:divBdr>
    </w:div>
    <w:div w:id="495270658">
      <w:bodyDiv w:val="1"/>
      <w:marLeft w:val="0"/>
      <w:marRight w:val="0"/>
      <w:marTop w:val="0"/>
      <w:marBottom w:val="0"/>
      <w:divBdr>
        <w:top w:val="none" w:sz="0" w:space="0" w:color="auto"/>
        <w:left w:val="none" w:sz="0" w:space="0" w:color="auto"/>
        <w:bottom w:val="none" w:sz="0" w:space="0" w:color="auto"/>
        <w:right w:val="none" w:sz="0" w:space="0" w:color="auto"/>
      </w:divBdr>
    </w:div>
    <w:div w:id="513499783">
      <w:bodyDiv w:val="1"/>
      <w:marLeft w:val="0"/>
      <w:marRight w:val="0"/>
      <w:marTop w:val="0"/>
      <w:marBottom w:val="0"/>
      <w:divBdr>
        <w:top w:val="none" w:sz="0" w:space="0" w:color="auto"/>
        <w:left w:val="none" w:sz="0" w:space="0" w:color="auto"/>
        <w:bottom w:val="none" w:sz="0" w:space="0" w:color="auto"/>
        <w:right w:val="none" w:sz="0" w:space="0" w:color="auto"/>
      </w:divBdr>
    </w:div>
    <w:div w:id="525679770">
      <w:bodyDiv w:val="1"/>
      <w:marLeft w:val="0"/>
      <w:marRight w:val="0"/>
      <w:marTop w:val="0"/>
      <w:marBottom w:val="0"/>
      <w:divBdr>
        <w:top w:val="none" w:sz="0" w:space="0" w:color="auto"/>
        <w:left w:val="none" w:sz="0" w:space="0" w:color="auto"/>
        <w:bottom w:val="none" w:sz="0" w:space="0" w:color="auto"/>
        <w:right w:val="none" w:sz="0" w:space="0" w:color="auto"/>
      </w:divBdr>
    </w:div>
    <w:div w:id="530340666">
      <w:bodyDiv w:val="1"/>
      <w:marLeft w:val="0"/>
      <w:marRight w:val="0"/>
      <w:marTop w:val="0"/>
      <w:marBottom w:val="0"/>
      <w:divBdr>
        <w:top w:val="none" w:sz="0" w:space="0" w:color="auto"/>
        <w:left w:val="none" w:sz="0" w:space="0" w:color="auto"/>
        <w:bottom w:val="none" w:sz="0" w:space="0" w:color="auto"/>
        <w:right w:val="none" w:sz="0" w:space="0" w:color="auto"/>
      </w:divBdr>
    </w:div>
    <w:div w:id="534735252">
      <w:bodyDiv w:val="1"/>
      <w:marLeft w:val="0"/>
      <w:marRight w:val="0"/>
      <w:marTop w:val="0"/>
      <w:marBottom w:val="0"/>
      <w:divBdr>
        <w:top w:val="none" w:sz="0" w:space="0" w:color="auto"/>
        <w:left w:val="none" w:sz="0" w:space="0" w:color="auto"/>
        <w:bottom w:val="none" w:sz="0" w:space="0" w:color="auto"/>
        <w:right w:val="none" w:sz="0" w:space="0" w:color="auto"/>
      </w:divBdr>
    </w:div>
    <w:div w:id="535585007">
      <w:bodyDiv w:val="1"/>
      <w:marLeft w:val="0"/>
      <w:marRight w:val="0"/>
      <w:marTop w:val="0"/>
      <w:marBottom w:val="0"/>
      <w:divBdr>
        <w:top w:val="none" w:sz="0" w:space="0" w:color="auto"/>
        <w:left w:val="none" w:sz="0" w:space="0" w:color="auto"/>
        <w:bottom w:val="none" w:sz="0" w:space="0" w:color="auto"/>
        <w:right w:val="none" w:sz="0" w:space="0" w:color="auto"/>
      </w:divBdr>
    </w:div>
    <w:div w:id="542525334">
      <w:bodyDiv w:val="1"/>
      <w:marLeft w:val="0"/>
      <w:marRight w:val="0"/>
      <w:marTop w:val="0"/>
      <w:marBottom w:val="0"/>
      <w:divBdr>
        <w:top w:val="none" w:sz="0" w:space="0" w:color="auto"/>
        <w:left w:val="none" w:sz="0" w:space="0" w:color="auto"/>
        <w:bottom w:val="none" w:sz="0" w:space="0" w:color="auto"/>
        <w:right w:val="none" w:sz="0" w:space="0" w:color="auto"/>
      </w:divBdr>
    </w:div>
    <w:div w:id="557083931">
      <w:bodyDiv w:val="1"/>
      <w:marLeft w:val="0"/>
      <w:marRight w:val="0"/>
      <w:marTop w:val="0"/>
      <w:marBottom w:val="0"/>
      <w:divBdr>
        <w:top w:val="none" w:sz="0" w:space="0" w:color="auto"/>
        <w:left w:val="none" w:sz="0" w:space="0" w:color="auto"/>
        <w:bottom w:val="none" w:sz="0" w:space="0" w:color="auto"/>
        <w:right w:val="none" w:sz="0" w:space="0" w:color="auto"/>
      </w:divBdr>
    </w:div>
    <w:div w:id="562915135">
      <w:bodyDiv w:val="1"/>
      <w:marLeft w:val="0"/>
      <w:marRight w:val="0"/>
      <w:marTop w:val="0"/>
      <w:marBottom w:val="0"/>
      <w:divBdr>
        <w:top w:val="none" w:sz="0" w:space="0" w:color="auto"/>
        <w:left w:val="none" w:sz="0" w:space="0" w:color="auto"/>
        <w:bottom w:val="none" w:sz="0" w:space="0" w:color="auto"/>
        <w:right w:val="none" w:sz="0" w:space="0" w:color="auto"/>
      </w:divBdr>
    </w:div>
    <w:div w:id="587082769">
      <w:bodyDiv w:val="1"/>
      <w:marLeft w:val="0"/>
      <w:marRight w:val="0"/>
      <w:marTop w:val="0"/>
      <w:marBottom w:val="0"/>
      <w:divBdr>
        <w:top w:val="none" w:sz="0" w:space="0" w:color="auto"/>
        <w:left w:val="none" w:sz="0" w:space="0" w:color="auto"/>
        <w:bottom w:val="none" w:sz="0" w:space="0" w:color="auto"/>
        <w:right w:val="none" w:sz="0" w:space="0" w:color="auto"/>
      </w:divBdr>
    </w:div>
    <w:div w:id="602418402">
      <w:bodyDiv w:val="1"/>
      <w:marLeft w:val="0"/>
      <w:marRight w:val="0"/>
      <w:marTop w:val="0"/>
      <w:marBottom w:val="0"/>
      <w:divBdr>
        <w:top w:val="none" w:sz="0" w:space="0" w:color="auto"/>
        <w:left w:val="none" w:sz="0" w:space="0" w:color="auto"/>
        <w:bottom w:val="none" w:sz="0" w:space="0" w:color="auto"/>
        <w:right w:val="none" w:sz="0" w:space="0" w:color="auto"/>
      </w:divBdr>
    </w:div>
    <w:div w:id="619381893">
      <w:bodyDiv w:val="1"/>
      <w:marLeft w:val="0"/>
      <w:marRight w:val="0"/>
      <w:marTop w:val="0"/>
      <w:marBottom w:val="0"/>
      <w:divBdr>
        <w:top w:val="none" w:sz="0" w:space="0" w:color="auto"/>
        <w:left w:val="none" w:sz="0" w:space="0" w:color="auto"/>
        <w:bottom w:val="none" w:sz="0" w:space="0" w:color="auto"/>
        <w:right w:val="none" w:sz="0" w:space="0" w:color="auto"/>
      </w:divBdr>
    </w:div>
    <w:div w:id="622003564">
      <w:bodyDiv w:val="1"/>
      <w:marLeft w:val="0"/>
      <w:marRight w:val="0"/>
      <w:marTop w:val="0"/>
      <w:marBottom w:val="0"/>
      <w:divBdr>
        <w:top w:val="none" w:sz="0" w:space="0" w:color="auto"/>
        <w:left w:val="none" w:sz="0" w:space="0" w:color="auto"/>
        <w:bottom w:val="none" w:sz="0" w:space="0" w:color="auto"/>
        <w:right w:val="none" w:sz="0" w:space="0" w:color="auto"/>
      </w:divBdr>
    </w:div>
    <w:div w:id="644547216">
      <w:bodyDiv w:val="1"/>
      <w:marLeft w:val="0"/>
      <w:marRight w:val="0"/>
      <w:marTop w:val="0"/>
      <w:marBottom w:val="0"/>
      <w:divBdr>
        <w:top w:val="none" w:sz="0" w:space="0" w:color="auto"/>
        <w:left w:val="none" w:sz="0" w:space="0" w:color="auto"/>
        <w:bottom w:val="none" w:sz="0" w:space="0" w:color="auto"/>
        <w:right w:val="none" w:sz="0" w:space="0" w:color="auto"/>
      </w:divBdr>
    </w:div>
    <w:div w:id="650255072">
      <w:bodyDiv w:val="1"/>
      <w:marLeft w:val="0"/>
      <w:marRight w:val="0"/>
      <w:marTop w:val="0"/>
      <w:marBottom w:val="0"/>
      <w:divBdr>
        <w:top w:val="none" w:sz="0" w:space="0" w:color="auto"/>
        <w:left w:val="none" w:sz="0" w:space="0" w:color="auto"/>
        <w:bottom w:val="none" w:sz="0" w:space="0" w:color="auto"/>
        <w:right w:val="none" w:sz="0" w:space="0" w:color="auto"/>
      </w:divBdr>
    </w:div>
    <w:div w:id="653145047">
      <w:bodyDiv w:val="1"/>
      <w:marLeft w:val="0"/>
      <w:marRight w:val="0"/>
      <w:marTop w:val="0"/>
      <w:marBottom w:val="0"/>
      <w:divBdr>
        <w:top w:val="none" w:sz="0" w:space="0" w:color="auto"/>
        <w:left w:val="none" w:sz="0" w:space="0" w:color="auto"/>
        <w:bottom w:val="none" w:sz="0" w:space="0" w:color="auto"/>
        <w:right w:val="none" w:sz="0" w:space="0" w:color="auto"/>
      </w:divBdr>
    </w:div>
    <w:div w:id="660736270">
      <w:bodyDiv w:val="1"/>
      <w:marLeft w:val="0"/>
      <w:marRight w:val="0"/>
      <w:marTop w:val="0"/>
      <w:marBottom w:val="0"/>
      <w:divBdr>
        <w:top w:val="none" w:sz="0" w:space="0" w:color="auto"/>
        <w:left w:val="none" w:sz="0" w:space="0" w:color="auto"/>
        <w:bottom w:val="none" w:sz="0" w:space="0" w:color="auto"/>
        <w:right w:val="none" w:sz="0" w:space="0" w:color="auto"/>
      </w:divBdr>
    </w:div>
    <w:div w:id="670529105">
      <w:bodyDiv w:val="1"/>
      <w:marLeft w:val="0"/>
      <w:marRight w:val="0"/>
      <w:marTop w:val="0"/>
      <w:marBottom w:val="0"/>
      <w:divBdr>
        <w:top w:val="none" w:sz="0" w:space="0" w:color="auto"/>
        <w:left w:val="none" w:sz="0" w:space="0" w:color="auto"/>
        <w:bottom w:val="none" w:sz="0" w:space="0" w:color="auto"/>
        <w:right w:val="none" w:sz="0" w:space="0" w:color="auto"/>
      </w:divBdr>
    </w:div>
    <w:div w:id="708843227">
      <w:bodyDiv w:val="1"/>
      <w:marLeft w:val="0"/>
      <w:marRight w:val="0"/>
      <w:marTop w:val="0"/>
      <w:marBottom w:val="0"/>
      <w:divBdr>
        <w:top w:val="none" w:sz="0" w:space="0" w:color="auto"/>
        <w:left w:val="none" w:sz="0" w:space="0" w:color="auto"/>
        <w:bottom w:val="none" w:sz="0" w:space="0" w:color="auto"/>
        <w:right w:val="none" w:sz="0" w:space="0" w:color="auto"/>
      </w:divBdr>
    </w:div>
    <w:div w:id="839275807">
      <w:bodyDiv w:val="1"/>
      <w:marLeft w:val="0"/>
      <w:marRight w:val="0"/>
      <w:marTop w:val="0"/>
      <w:marBottom w:val="0"/>
      <w:divBdr>
        <w:top w:val="none" w:sz="0" w:space="0" w:color="auto"/>
        <w:left w:val="none" w:sz="0" w:space="0" w:color="auto"/>
        <w:bottom w:val="none" w:sz="0" w:space="0" w:color="auto"/>
        <w:right w:val="none" w:sz="0" w:space="0" w:color="auto"/>
      </w:divBdr>
    </w:div>
    <w:div w:id="880288657">
      <w:bodyDiv w:val="1"/>
      <w:marLeft w:val="0"/>
      <w:marRight w:val="0"/>
      <w:marTop w:val="0"/>
      <w:marBottom w:val="0"/>
      <w:divBdr>
        <w:top w:val="none" w:sz="0" w:space="0" w:color="auto"/>
        <w:left w:val="none" w:sz="0" w:space="0" w:color="auto"/>
        <w:bottom w:val="none" w:sz="0" w:space="0" w:color="auto"/>
        <w:right w:val="none" w:sz="0" w:space="0" w:color="auto"/>
      </w:divBdr>
    </w:div>
    <w:div w:id="880357683">
      <w:bodyDiv w:val="1"/>
      <w:marLeft w:val="0"/>
      <w:marRight w:val="0"/>
      <w:marTop w:val="0"/>
      <w:marBottom w:val="0"/>
      <w:divBdr>
        <w:top w:val="none" w:sz="0" w:space="0" w:color="auto"/>
        <w:left w:val="none" w:sz="0" w:space="0" w:color="auto"/>
        <w:bottom w:val="none" w:sz="0" w:space="0" w:color="auto"/>
        <w:right w:val="none" w:sz="0" w:space="0" w:color="auto"/>
      </w:divBdr>
    </w:div>
    <w:div w:id="884485431">
      <w:bodyDiv w:val="1"/>
      <w:marLeft w:val="0"/>
      <w:marRight w:val="0"/>
      <w:marTop w:val="0"/>
      <w:marBottom w:val="0"/>
      <w:divBdr>
        <w:top w:val="none" w:sz="0" w:space="0" w:color="auto"/>
        <w:left w:val="none" w:sz="0" w:space="0" w:color="auto"/>
        <w:bottom w:val="none" w:sz="0" w:space="0" w:color="auto"/>
        <w:right w:val="none" w:sz="0" w:space="0" w:color="auto"/>
      </w:divBdr>
    </w:div>
    <w:div w:id="891842672">
      <w:bodyDiv w:val="1"/>
      <w:marLeft w:val="0"/>
      <w:marRight w:val="0"/>
      <w:marTop w:val="0"/>
      <w:marBottom w:val="0"/>
      <w:divBdr>
        <w:top w:val="none" w:sz="0" w:space="0" w:color="auto"/>
        <w:left w:val="none" w:sz="0" w:space="0" w:color="auto"/>
        <w:bottom w:val="none" w:sz="0" w:space="0" w:color="auto"/>
        <w:right w:val="none" w:sz="0" w:space="0" w:color="auto"/>
      </w:divBdr>
    </w:div>
    <w:div w:id="897975893">
      <w:bodyDiv w:val="1"/>
      <w:marLeft w:val="0"/>
      <w:marRight w:val="0"/>
      <w:marTop w:val="0"/>
      <w:marBottom w:val="0"/>
      <w:divBdr>
        <w:top w:val="none" w:sz="0" w:space="0" w:color="auto"/>
        <w:left w:val="none" w:sz="0" w:space="0" w:color="auto"/>
        <w:bottom w:val="none" w:sz="0" w:space="0" w:color="auto"/>
        <w:right w:val="none" w:sz="0" w:space="0" w:color="auto"/>
      </w:divBdr>
    </w:div>
    <w:div w:id="898518779">
      <w:bodyDiv w:val="1"/>
      <w:marLeft w:val="0"/>
      <w:marRight w:val="0"/>
      <w:marTop w:val="0"/>
      <w:marBottom w:val="0"/>
      <w:divBdr>
        <w:top w:val="none" w:sz="0" w:space="0" w:color="auto"/>
        <w:left w:val="none" w:sz="0" w:space="0" w:color="auto"/>
        <w:bottom w:val="none" w:sz="0" w:space="0" w:color="auto"/>
        <w:right w:val="none" w:sz="0" w:space="0" w:color="auto"/>
      </w:divBdr>
    </w:div>
    <w:div w:id="904803296">
      <w:bodyDiv w:val="1"/>
      <w:marLeft w:val="0"/>
      <w:marRight w:val="0"/>
      <w:marTop w:val="0"/>
      <w:marBottom w:val="0"/>
      <w:divBdr>
        <w:top w:val="none" w:sz="0" w:space="0" w:color="auto"/>
        <w:left w:val="none" w:sz="0" w:space="0" w:color="auto"/>
        <w:bottom w:val="none" w:sz="0" w:space="0" w:color="auto"/>
        <w:right w:val="none" w:sz="0" w:space="0" w:color="auto"/>
      </w:divBdr>
    </w:div>
    <w:div w:id="926308617">
      <w:bodyDiv w:val="1"/>
      <w:marLeft w:val="0"/>
      <w:marRight w:val="0"/>
      <w:marTop w:val="0"/>
      <w:marBottom w:val="0"/>
      <w:divBdr>
        <w:top w:val="none" w:sz="0" w:space="0" w:color="auto"/>
        <w:left w:val="none" w:sz="0" w:space="0" w:color="auto"/>
        <w:bottom w:val="none" w:sz="0" w:space="0" w:color="auto"/>
        <w:right w:val="none" w:sz="0" w:space="0" w:color="auto"/>
      </w:divBdr>
    </w:div>
    <w:div w:id="940837001">
      <w:bodyDiv w:val="1"/>
      <w:marLeft w:val="0"/>
      <w:marRight w:val="0"/>
      <w:marTop w:val="0"/>
      <w:marBottom w:val="0"/>
      <w:divBdr>
        <w:top w:val="none" w:sz="0" w:space="0" w:color="auto"/>
        <w:left w:val="none" w:sz="0" w:space="0" w:color="auto"/>
        <w:bottom w:val="none" w:sz="0" w:space="0" w:color="auto"/>
        <w:right w:val="none" w:sz="0" w:space="0" w:color="auto"/>
      </w:divBdr>
    </w:div>
    <w:div w:id="967013213">
      <w:bodyDiv w:val="1"/>
      <w:marLeft w:val="0"/>
      <w:marRight w:val="0"/>
      <w:marTop w:val="0"/>
      <w:marBottom w:val="0"/>
      <w:divBdr>
        <w:top w:val="none" w:sz="0" w:space="0" w:color="auto"/>
        <w:left w:val="none" w:sz="0" w:space="0" w:color="auto"/>
        <w:bottom w:val="none" w:sz="0" w:space="0" w:color="auto"/>
        <w:right w:val="none" w:sz="0" w:space="0" w:color="auto"/>
      </w:divBdr>
    </w:div>
    <w:div w:id="987131101">
      <w:bodyDiv w:val="1"/>
      <w:marLeft w:val="0"/>
      <w:marRight w:val="0"/>
      <w:marTop w:val="0"/>
      <w:marBottom w:val="0"/>
      <w:divBdr>
        <w:top w:val="none" w:sz="0" w:space="0" w:color="auto"/>
        <w:left w:val="none" w:sz="0" w:space="0" w:color="auto"/>
        <w:bottom w:val="none" w:sz="0" w:space="0" w:color="auto"/>
        <w:right w:val="none" w:sz="0" w:space="0" w:color="auto"/>
      </w:divBdr>
    </w:div>
    <w:div w:id="1063911630">
      <w:bodyDiv w:val="1"/>
      <w:marLeft w:val="0"/>
      <w:marRight w:val="0"/>
      <w:marTop w:val="0"/>
      <w:marBottom w:val="0"/>
      <w:divBdr>
        <w:top w:val="none" w:sz="0" w:space="0" w:color="auto"/>
        <w:left w:val="none" w:sz="0" w:space="0" w:color="auto"/>
        <w:bottom w:val="none" w:sz="0" w:space="0" w:color="auto"/>
        <w:right w:val="none" w:sz="0" w:space="0" w:color="auto"/>
      </w:divBdr>
    </w:div>
    <w:div w:id="1111167538">
      <w:bodyDiv w:val="1"/>
      <w:marLeft w:val="0"/>
      <w:marRight w:val="0"/>
      <w:marTop w:val="0"/>
      <w:marBottom w:val="0"/>
      <w:divBdr>
        <w:top w:val="none" w:sz="0" w:space="0" w:color="auto"/>
        <w:left w:val="none" w:sz="0" w:space="0" w:color="auto"/>
        <w:bottom w:val="none" w:sz="0" w:space="0" w:color="auto"/>
        <w:right w:val="none" w:sz="0" w:space="0" w:color="auto"/>
      </w:divBdr>
    </w:div>
    <w:div w:id="1133403353">
      <w:bodyDiv w:val="1"/>
      <w:marLeft w:val="0"/>
      <w:marRight w:val="0"/>
      <w:marTop w:val="0"/>
      <w:marBottom w:val="0"/>
      <w:divBdr>
        <w:top w:val="none" w:sz="0" w:space="0" w:color="auto"/>
        <w:left w:val="none" w:sz="0" w:space="0" w:color="auto"/>
        <w:bottom w:val="none" w:sz="0" w:space="0" w:color="auto"/>
        <w:right w:val="none" w:sz="0" w:space="0" w:color="auto"/>
      </w:divBdr>
    </w:div>
    <w:div w:id="1143890517">
      <w:bodyDiv w:val="1"/>
      <w:marLeft w:val="0"/>
      <w:marRight w:val="0"/>
      <w:marTop w:val="0"/>
      <w:marBottom w:val="0"/>
      <w:divBdr>
        <w:top w:val="none" w:sz="0" w:space="0" w:color="auto"/>
        <w:left w:val="none" w:sz="0" w:space="0" w:color="auto"/>
        <w:bottom w:val="none" w:sz="0" w:space="0" w:color="auto"/>
        <w:right w:val="none" w:sz="0" w:space="0" w:color="auto"/>
      </w:divBdr>
    </w:div>
    <w:div w:id="1144279583">
      <w:bodyDiv w:val="1"/>
      <w:marLeft w:val="0"/>
      <w:marRight w:val="0"/>
      <w:marTop w:val="0"/>
      <w:marBottom w:val="0"/>
      <w:divBdr>
        <w:top w:val="none" w:sz="0" w:space="0" w:color="auto"/>
        <w:left w:val="none" w:sz="0" w:space="0" w:color="auto"/>
        <w:bottom w:val="none" w:sz="0" w:space="0" w:color="auto"/>
        <w:right w:val="none" w:sz="0" w:space="0" w:color="auto"/>
      </w:divBdr>
    </w:div>
    <w:div w:id="1169633941">
      <w:bodyDiv w:val="1"/>
      <w:marLeft w:val="0"/>
      <w:marRight w:val="0"/>
      <w:marTop w:val="0"/>
      <w:marBottom w:val="0"/>
      <w:divBdr>
        <w:top w:val="none" w:sz="0" w:space="0" w:color="auto"/>
        <w:left w:val="none" w:sz="0" w:space="0" w:color="auto"/>
        <w:bottom w:val="none" w:sz="0" w:space="0" w:color="auto"/>
        <w:right w:val="none" w:sz="0" w:space="0" w:color="auto"/>
      </w:divBdr>
    </w:div>
    <w:div w:id="1172182431">
      <w:bodyDiv w:val="1"/>
      <w:marLeft w:val="0"/>
      <w:marRight w:val="0"/>
      <w:marTop w:val="0"/>
      <w:marBottom w:val="0"/>
      <w:divBdr>
        <w:top w:val="none" w:sz="0" w:space="0" w:color="auto"/>
        <w:left w:val="none" w:sz="0" w:space="0" w:color="auto"/>
        <w:bottom w:val="none" w:sz="0" w:space="0" w:color="auto"/>
        <w:right w:val="none" w:sz="0" w:space="0" w:color="auto"/>
      </w:divBdr>
    </w:div>
    <w:div w:id="1172447187">
      <w:bodyDiv w:val="1"/>
      <w:marLeft w:val="0"/>
      <w:marRight w:val="0"/>
      <w:marTop w:val="0"/>
      <w:marBottom w:val="0"/>
      <w:divBdr>
        <w:top w:val="none" w:sz="0" w:space="0" w:color="auto"/>
        <w:left w:val="none" w:sz="0" w:space="0" w:color="auto"/>
        <w:bottom w:val="none" w:sz="0" w:space="0" w:color="auto"/>
        <w:right w:val="none" w:sz="0" w:space="0" w:color="auto"/>
      </w:divBdr>
    </w:div>
    <w:div w:id="1175262123">
      <w:bodyDiv w:val="1"/>
      <w:marLeft w:val="0"/>
      <w:marRight w:val="0"/>
      <w:marTop w:val="0"/>
      <w:marBottom w:val="0"/>
      <w:divBdr>
        <w:top w:val="none" w:sz="0" w:space="0" w:color="auto"/>
        <w:left w:val="none" w:sz="0" w:space="0" w:color="auto"/>
        <w:bottom w:val="none" w:sz="0" w:space="0" w:color="auto"/>
        <w:right w:val="none" w:sz="0" w:space="0" w:color="auto"/>
      </w:divBdr>
    </w:div>
    <w:div w:id="1188061942">
      <w:bodyDiv w:val="1"/>
      <w:marLeft w:val="0"/>
      <w:marRight w:val="0"/>
      <w:marTop w:val="0"/>
      <w:marBottom w:val="0"/>
      <w:divBdr>
        <w:top w:val="none" w:sz="0" w:space="0" w:color="auto"/>
        <w:left w:val="none" w:sz="0" w:space="0" w:color="auto"/>
        <w:bottom w:val="none" w:sz="0" w:space="0" w:color="auto"/>
        <w:right w:val="none" w:sz="0" w:space="0" w:color="auto"/>
      </w:divBdr>
    </w:div>
    <w:div w:id="1322739336">
      <w:bodyDiv w:val="1"/>
      <w:marLeft w:val="0"/>
      <w:marRight w:val="0"/>
      <w:marTop w:val="0"/>
      <w:marBottom w:val="0"/>
      <w:divBdr>
        <w:top w:val="none" w:sz="0" w:space="0" w:color="auto"/>
        <w:left w:val="none" w:sz="0" w:space="0" w:color="auto"/>
        <w:bottom w:val="none" w:sz="0" w:space="0" w:color="auto"/>
        <w:right w:val="none" w:sz="0" w:space="0" w:color="auto"/>
      </w:divBdr>
    </w:div>
    <w:div w:id="1339313984">
      <w:bodyDiv w:val="1"/>
      <w:marLeft w:val="0"/>
      <w:marRight w:val="0"/>
      <w:marTop w:val="0"/>
      <w:marBottom w:val="0"/>
      <w:divBdr>
        <w:top w:val="none" w:sz="0" w:space="0" w:color="auto"/>
        <w:left w:val="none" w:sz="0" w:space="0" w:color="auto"/>
        <w:bottom w:val="none" w:sz="0" w:space="0" w:color="auto"/>
        <w:right w:val="none" w:sz="0" w:space="0" w:color="auto"/>
      </w:divBdr>
    </w:div>
    <w:div w:id="1409309325">
      <w:bodyDiv w:val="1"/>
      <w:marLeft w:val="0"/>
      <w:marRight w:val="0"/>
      <w:marTop w:val="0"/>
      <w:marBottom w:val="0"/>
      <w:divBdr>
        <w:top w:val="none" w:sz="0" w:space="0" w:color="auto"/>
        <w:left w:val="none" w:sz="0" w:space="0" w:color="auto"/>
        <w:bottom w:val="none" w:sz="0" w:space="0" w:color="auto"/>
        <w:right w:val="none" w:sz="0" w:space="0" w:color="auto"/>
      </w:divBdr>
    </w:div>
    <w:div w:id="1412846645">
      <w:bodyDiv w:val="1"/>
      <w:marLeft w:val="0"/>
      <w:marRight w:val="0"/>
      <w:marTop w:val="0"/>
      <w:marBottom w:val="0"/>
      <w:divBdr>
        <w:top w:val="none" w:sz="0" w:space="0" w:color="auto"/>
        <w:left w:val="none" w:sz="0" w:space="0" w:color="auto"/>
        <w:bottom w:val="none" w:sz="0" w:space="0" w:color="auto"/>
        <w:right w:val="none" w:sz="0" w:space="0" w:color="auto"/>
      </w:divBdr>
    </w:div>
    <w:div w:id="1420710510">
      <w:bodyDiv w:val="1"/>
      <w:marLeft w:val="0"/>
      <w:marRight w:val="0"/>
      <w:marTop w:val="0"/>
      <w:marBottom w:val="0"/>
      <w:divBdr>
        <w:top w:val="none" w:sz="0" w:space="0" w:color="auto"/>
        <w:left w:val="none" w:sz="0" w:space="0" w:color="auto"/>
        <w:bottom w:val="none" w:sz="0" w:space="0" w:color="auto"/>
        <w:right w:val="none" w:sz="0" w:space="0" w:color="auto"/>
      </w:divBdr>
    </w:div>
    <w:div w:id="1432579295">
      <w:bodyDiv w:val="1"/>
      <w:marLeft w:val="0"/>
      <w:marRight w:val="0"/>
      <w:marTop w:val="0"/>
      <w:marBottom w:val="0"/>
      <w:divBdr>
        <w:top w:val="none" w:sz="0" w:space="0" w:color="auto"/>
        <w:left w:val="none" w:sz="0" w:space="0" w:color="auto"/>
        <w:bottom w:val="none" w:sz="0" w:space="0" w:color="auto"/>
        <w:right w:val="none" w:sz="0" w:space="0" w:color="auto"/>
      </w:divBdr>
    </w:div>
    <w:div w:id="1444575701">
      <w:bodyDiv w:val="1"/>
      <w:marLeft w:val="0"/>
      <w:marRight w:val="0"/>
      <w:marTop w:val="0"/>
      <w:marBottom w:val="0"/>
      <w:divBdr>
        <w:top w:val="none" w:sz="0" w:space="0" w:color="auto"/>
        <w:left w:val="none" w:sz="0" w:space="0" w:color="auto"/>
        <w:bottom w:val="none" w:sz="0" w:space="0" w:color="auto"/>
        <w:right w:val="none" w:sz="0" w:space="0" w:color="auto"/>
      </w:divBdr>
    </w:div>
    <w:div w:id="1461726006">
      <w:bodyDiv w:val="1"/>
      <w:marLeft w:val="0"/>
      <w:marRight w:val="0"/>
      <w:marTop w:val="0"/>
      <w:marBottom w:val="0"/>
      <w:divBdr>
        <w:top w:val="none" w:sz="0" w:space="0" w:color="auto"/>
        <w:left w:val="none" w:sz="0" w:space="0" w:color="auto"/>
        <w:bottom w:val="none" w:sz="0" w:space="0" w:color="auto"/>
        <w:right w:val="none" w:sz="0" w:space="0" w:color="auto"/>
      </w:divBdr>
    </w:div>
    <w:div w:id="1489789287">
      <w:bodyDiv w:val="1"/>
      <w:marLeft w:val="0"/>
      <w:marRight w:val="0"/>
      <w:marTop w:val="0"/>
      <w:marBottom w:val="0"/>
      <w:divBdr>
        <w:top w:val="none" w:sz="0" w:space="0" w:color="auto"/>
        <w:left w:val="none" w:sz="0" w:space="0" w:color="auto"/>
        <w:bottom w:val="none" w:sz="0" w:space="0" w:color="auto"/>
        <w:right w:val="none" w:sz="0" w:space="0" w:color="auto"/>
      </w:divBdr>
    </w:div>
    <w:div w:id="1538276512">
      <w:bodyDiv w:val="1"/>
      <w:marLeft w:val="0"/>
      <w:marRight w:val="0"/>
      <w:marTop w:val="0"/>
      <w:marBottom w:val="0"/>
      <w:divBdr>
        <w:top w:val="none" w:sz="0" w:space="0" w:color="auto"/>
        <w:left w:val="none" w:sz="0" w:space="0" w:color="auto"/>
        <w:bottom w:val="none" w:sz="0" w:space="0" w:color="auto"/>
        <w:right w:val="none" w:sz="0" w:space="0" w:color="auto"/>
      </w:divBdr>
    </w:div>
    <w:div w:id="1552841555">
      <w:bodyDiv w:val="1"/>
      <w:marLeft w:val="0"/>
      <w:marRight w:val="0"/>
      <w:marTop w:val="0"/>
      <w:marBottom w:val="0"/>
      <w:divBdr>
        <w:top w:val="none" w:sz="0" w:space="0" w:color="auto"/>
        <w:left w:val="none" w:sz="0" w:space="0" w:color="auto"/>
        <w:bottom w:val="none" w:sz="0" w:space="0" w:color="auto"/>
        <w:right w:val="none" w:sz="0" w:space="0" w:color="auto"/>
      </w:divBdr>
    </w:div>
    <w:div w:id="1563296460">
      <w:bodyDiv w:val="1"/>
      <w:marLeft w:val="0"/>
      <w:marRight w:val="0"/>
      <w:marTop w:val="0"/>
      <w:marBottom w:val="0"/>
      <w:divBdr>
        <w:top w:val="none" w:sz="0" w:space="0" w:color="auto"/>
        <w:left w:val="none" w:sz="0" w:space="0" w:color="auto"/>
        <w:bottom w:val="none" w:sz="0" w:space="0" w:color="auto"/>
        <w:right w:val="none" w:sz="0" w:space="0" w:color="auto"/>
      </w:divBdr>
    </w:div>
    <w:div w:id="1601136239">
      <w:bodyDiv w:val="1"/>
      <w:marLeft w:val="0"/>
      <w:marRight w:val="0"/>
      <w:marTop w:val="0"/>
      <w:marBottom w:val="0"/>
      <w:divBdr>
        <w:top w:val="none" w:sz="0" w:space="0" w:color="auto"/>
        <w:left w:val="none" w:sz="0" w:space="0" w:color="auto"/>
        <w:bottom w:val="none" w:sz="0" w:space="0" w:color="auto"/>
        <w:right w:val="none" w:sz="0" w:space="0" w:color="auto"/>
      </w:divBdr>
    </w:div>
    <w:div w:id="1632174375">
      <w:bodyDiv w:val="1"/>
      <w:marLeft w:val="0"/>
      <w:marRight w:val="0"/>
      <w:marTop w:val="0"/>
      <w:marBottom w:val="0"/>
      <w:divBdr>
        <w:top w:val="none" w:sz="0" w:space="0" w:color="auto"/>
        <w:left w:val="none" w:sz="0" w:space="0" w:color="auto"/>
        <w:bottom w:val="none" w:sz="0" w:space="0" w:color="auto"/>
        <w:right w:val="none" w:sz="0" w:space="0" w:color="auto"/>
      </w:divBdr>
    </w:div>
    <w:div w:id="1650135067">
      <w:bodyDiv w:val="1"/>
      <w:marLeft w:val="0"/>
      <w:marRight w:val="0"/>
      <w:marTop w:val="0"/>
      <w:marBottom w:val="0"/>
      <w:divBdr>
        <w:top w:val="none" w:sz="0" w:space="0" w:color="auto"/>
        <w:left w:val="none" w:sz="0" w:space="0" w:color="auto"/>
        <w:bottom w:val="none" w:sz="0" w:space="0" w:color="auto"/>
        <w:right w:val="none" w:sz="0" w:space="0" w:color="auto"/>
      </w:divBdr>
    </w:div>
    <w:div w:id="1673987776">
      <w:bodyDiv w:val="1"/>
      <w:marLeft w:val="0"/>
      <w:marRight w:val="0"/>
      <w:marTop w:val="0"/>
      <w:marBottom w:val="0"/>
      <w:divBdr>
        <w:top w:val="none" w:sz="0" w:space="0" w:color="auto"/>
        <w:left w:val="none" w:sz="0" w:space="0" w:color="auto"/>
        <w:bottom w:val="none" w:sz="0" w:space="0" w:color="auto"/>
        <w:right w:val="none" w:sz="0" w:space="0" w:color="auto"/>
      </w:divBdr>
    </w:div>
    <w:div w:id="1716543216">
      <w:bodyDiv w:val="1"/>
      <w:marLeft w:val="0"/>
      <w:marRight w:val="0"/>
      <w:marTop w:val="0"/>
      <w:marBottom w:val="0"/>
      <w:divBdr>
        <w:top w:val="none" w:sz="0" w:space="0" w:color="auto"/>
        <w:left w:val="none" w:sz="0" w:space="0" w:color="auto"/>
        <w:bottom w:val="none" w:sz="0" w:space="0" w:color="auto"/>
        <w:right w:val="none" w:sz="0" w:space="0" w:color="auto"/>
      </w:divBdr>
    </w:div>
    <w:div w:id="1776051508">
      <w:bodyDiv w:val="1"/>
      <w:marLeft w:val="0"/>
      <w:marRight w:val="0"/>
      <w:marTop w:val="0"/>
      <w:marBottom w:val="0"/>
      <w:divBdr>
        <w:top w:val="none" w:sz="0" w:space="0" w:color="auto"/>
        <w:left w:val="none" w:sz="0" w:space="0" w:color="auto"/>
        <w:bottom w:val="none" w:sz="0" w:space="0" w:color="auto"/>
        <w:right w:val="none" w:sz="0" w:space="0" w:color="auto"/>
      </w:divBdr>
    </w:div>
    <w:div w:id="1780566195">
      <w:bodyDiv w:val="1"/>
      <w:marLeft w:val="0"/>
      <w:marRight w:val="0"/>
      <w:marTop w:val="0"/>
      <w:marBottom w:val="0"/>
      <w:divBdr>
        <w:top w:val="none" w:sz="0" w:space="0" w:color="auto"/>
        <w:left w:val="none" w:sz="0" w:space="0" w:color="auto"/>
        <w:bottom w:val="none" w:sz="0" w:space="0" w:color="auto"/>
        <w:right w:val="none" w:sz="0" w:space="0" w:color="auto"/>
      </w:divBdr>
    </w:div>
    <w:div w:id="1784156390">
      <w:bodyDiv w:val="1"/>
      <w:marLeft w:val="0"/>
      <w:marRight w:val="0"/>
      <w:marTop w:val="0"/>
      <w:marBottom w:val="0"/>
      <w:divBdr>
        <w:top w:val="none" w:sz="0" w:space="0" w:color="auto"/>
        <w:left w:val="none" w:sz="0" w:space="0" w:color="auto"/>
        <w:bottom w:val="none" w:sz="0" w:space="0" w:color="auto"/>
        <w:right w:val="none" w:sz="0" w:space="0" w:color="auto"/>
      </w:divBdr>
    </w:div>
    <w:div w:id="1805002050">
      <w:bodyDiv w:val="1"/>
      <w:marLeft w:val="0"/>
      <w:marRight w:val="0"/>
      <w:marTop w:val="0"/>
      <w:marBottom w:val="0"/>
      <w:divBdr>
        <w:top w:val="none" w:sz="0" w:space="0" w:color="auto"/>
        <w:left w:val="none" w:sz="0" w:space="0" w:color="auto"/>
        <w:bottom w:val="none" w:sz="0" w:space="0" w:color="auto"/>
        <w:right w:val="none" w:sz="0" w:space="0" w:color="auto"/>
      </w:divBdr>
    </w:div>
    <w:div w:id="1828738501">
      <w:bodyDiv w:val="1"/>
      <w:marLeft w:val="0"/>
      <w:marRight w:val="0"/>
      <w:marTop w:val="0"/>
      <w:marBottom w:val="0"/>
      <w:divBdr>
        <w:top w:val="none" w:sz="0" w:space="0" w:color="auto"/>
        <w:left w:val="none" w:sz="0" w:space="0" w:color="auto"/>
        <w:bottom w:val="none" w:sz="0" w:space="0" w:color="auto"/>
        <w:right w:val="none" w:sz="0" w:space="0" w:color="auto"/>
      </w:divBdr>
    </w:div>
    <w:div w:id="1868327288">
      <w:bodyDiv w:val="1"/>
      <w:marLeft w:val="0"/>
      <w:marRight w:val="0"/>
      <w:marTop w:val="0"/>
      <w:marBottom w:val="0"/>
      <w:divBdr>
        <w:top w:val="none" w:sz="0" w:space="0" w:color="auto"/>
        <w:left w:val="none" w:sz="0" w:space="0" w:color="auto"/>
        <w:bottom w:val="none" w:sz="0" w:space="0" w:color="auto"/>
        <w:right w:val="none" w:sz="0" w:space="0" w:color="auto"/>
      </w:divBdr>
    </w:div>
    <w:div w:id="1904876856">
      <w:bodyDiv w:val="1"/>
      <w:marLeft w:val="0"/>
      <w:marRight w:val="0"/>
      <w:marTop w:val="0"/>
      <w:marBottom w:val="0"/>
      <w:divBdr>
        <w:top w:val="none" w:sz="0" w:space="0" w:color="auto"/>
        <w:left w:val="none" w:sz="0" w:space="0" w:color="auto"/>
        <w:bottom w:val="none" w:sz="0" w:space="0" w:color="auto"/>
        <w:right w:val="none" w:sz="0" w:space="0" w:color="auto"/>
      </w:divBdr>
    </w:div>
    <w:div w:id="1980646517">
      <w:bodyDiv w:val="1"/>
      <w:marLeft w:val="0"/>
      <w:marRight w:val="0"/>
      <w:marTop w:val="0"/>
      <w:marBottom w:val="0"/>
      <w:divBdr>
        <w:top w:val="none" w:sz="0" w:space="0" w:color="auto"/>
        <w:left w:val="none" w:sz="0" w:space="0" w:color="auto"/>
        <w:bottom w:val="none" w:sz="0" w:space="0" w:color="auto"/>
        <w:right w:val="none" w:sz="0" w:space="0" w:color="auto"/>
      </w:divBdr>
    </w:div>
    <w:div w:id="2016298149">
      <w:bodyDiv w:val="1"/>
      <w:marLeft w:val="0"/>
      <w:marRight w:val="0"/>
      <w:marTop w:val="0"/>
      <w:marBottom w:val="0"/>
      <w:divBdr>
        <w:top w:val="none" w:sz="0" w:space="0" w:color="auto"/>
        <w:left w:val="none" w:sz="0" w:space="0" w:color="auto"/>
        <w:bottom w:val="none" w:sz="0" w:space="0" w:color="auto"/>
        <w:right w:val="none" w:sz="0" w:space="0" w:color="auto"/>
      </w:divBdr>
    </w:div>
    <w:div w:id="2054571432">
      <w:bodyDiv w:val="1"/>
      <w:marLeft w:val="0"/>
      <w:marRight w:val="0"/>
      <w:marTop w:val="0"/>
      <w:marBottom w:val="0"/>
      <w:divBdr>
        <w:top w:val="none" w:sz="0" w:space="0" w:color="auto"/>
        <w:left w:val="none" w:sz="0" w:space="0" w:color="auto"/>
        <w:bottom w:val="none" w:sz="0" w:space="0" w:color="auto"/>
        <w:right w:val="none" w:sz="0" w:space="0" w:color="auto"/>
      </w:divBdr>
    </w:div>
    <w:div w:id="2054578541">
      <w:bodyDiv w:val="1"/>
      <w:marLeft w:val="0"/>
      <w:marRight w:val="0"/>
      <w:marTop w:val="0"/>
      <w:marBottom w:val="0"/>
      <w:divBdr>
        <w:top w:val="none" w:sz="0" w:space="0" w:color="auto"/>
        <w:left w:val="none" w:sz="0" w:space="0" w:color="auto"/>
        <w:bottom w:val="none" w:sz="0" w:space="0" w:color="auto"/>
        <w:right w:val="none" w:sz="0" w:space="0" w:color="auto"/>
      </w:divBdr>
    </w:div>
    <w:div w:id="2063098424">
      <w:bodyDiv w:val="1"/>
      <w:marLeft w:val="0"/>
      <w:marRight w:val="0"/>
      <w:marTop w:val="0"/>
      <w:marBottom w:val="0"/>
      <w:divBdr>
        <w:top w:val="none" w:sz="0" w:space="0" w:color="auto"/>
        <w:left w:val="none" w:sz="0" w:space="0" w:color="auto"/>
        <w:bottom w:val="none" w:sz="0" w:space="0" w:color="auto"/>
        <w:right w:val="none" w:sz="0" w:space="0" w:color="auto"/>
      </w:divBdr>
    </w:div>
    <w:div w:id="2089574642">
      <w:bodyDiv w:val="1"/>
      <w:marLeft w:val="0"/>
      <w:marRight w:val="0"/>
      <w:marTop w:val="0"/>
      <w:marBottom w:val="0"/>
      <w:divBdr>
        <w:top w:val="none" w:sz="0" w:space="0" w:color="auto"/>
        <w:left w:val="none" w:sz="0" w:space="0" w:color="auto"/>
        <w:bottom w:val="none" w:sz="0" w:space="0" w:color="auto"/>
        <w:right w:val="none" w:sz="0" w:space="0" w:color="auto"/>
      </w:divBdr>
    </w:div>
    <w:div w:id="21402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ogle.gr/url?sa=t&amp;rct=j&amp;q=&amp;esrc=s&amp;source=web&amp;cd=1&amp;cad=rja&amp;uact=8&amp;ved=0CB8QFjAA&amp;url=http%3A%2F%2Finea.ec.europa.eu%2F&amp;ei=EOvLU8iXJIfNygP0sIGgAw&amp;usg=AFQjCNHtpbxG7zfBhGaqBrCuS4AFpm4xEQ&amp;bvm=bv.71198958,d.bG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EIS_200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xristoforidou\Desktop\NEO_PC_D20_UO1\OLA_EPIFANEIA\OLD\&#932;&#945;%20&#941;&#947;&#947;&#961;&#945;&#966;&#940;%20&#956;&#959;&#965;\2018\&#917;&#921;&#931;&#919;&#915;&#919;&#932;&#921;&#922;&#919;_2018\15_11_17\&#928;&#921;&#925;&#913;&#922;&#917;&#931;%203.6,%203.7%202018%20&#954;&#945;&#953;%20&#963;&#967;&#949;&#948;&#953;&#945;&#947;&#961;&#940;&#956;&#956;&#945;&#964;&#945;.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85757509477862"/>
          <c:y val="0.18372715645454599"/>
          <c:w val="0.58646161417322851"/>
          <c:h val="0.57929671515367265"/>
        </c:manualLayout>
      </c:layout>
      <c:lineChart>
        <c:grouping val="standard"/>
        <c:varyColors val="0"/>
        <c:ser>
          <c:idx val="0"/>
          <c:order val="0"/>
          <c:tx>
            <c:strRef>
              <c:f>'3.6'!$B$5</c:f>
              <c:strCache>
                <c:ptCount val="1"/>
                <c:pt idx="0">
                  <c:v>Άμεσοι φόροι</c:v>
                </c:pt>
              </c:strCache>
            </c:strRef>
          </c:tx>
          <c:cat>
            <c:strRef>
              <c:f>'3.6'!$A$6:$A$25</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'3.6'!$B$6:$B$25</c:f>
              <c:numCache>
                <c:formatCode>#,##0</c:formatCode>
                <c:ptCount val="11"/>
                <c:pt idx="0">
                  <c:v>20863</c:v>
                </c:pt>
                <c:pt idx="1">
                  <c:v>21432.4539</c:v>
                </c:pt>
                <c:pt idx="2">
                  <c:v>20223.896700000001</c:v>
                </c:pt>
                <c:pt idx="3">
                  <c:v>20318.053</c:v>
                </c:pt>
                <c:pt idx="4">
                  <c:v>21096</c:v>
                </c:pt>
                <c:pt idx="5">
                  <c:v>20058</c:v>
                </c:pt>
                <c:pt idx="6">
                  <c:v>20664.036336289992</c:v>
                </c:pt>
                <c:pt idx="7">
                  <c:v>19936.336815499999</c:v>
                </c:pt>
                <c:pt idx="8">
                  <c:v>21839.010846819896</c:v>
                </c:pt>
                <c:pt idx="9">
                  <c:v>20288</c:v>
                </c:pt>
                <c:pt idx="10">
                  <c:v>20766</c:v>
                </c:pt>
              </c:numCache>
            </c:numRef>
          </c:val>
          <c:smooth val="0"/>
        </c:ser>
        <c:ser>
          <c:idx val="1"/>
          <c:order val="1"/>
          <c:tx>
            <c:strRef>
              <c:f>'3.6'!$C$5</c:f>
              <c:strCache>
                <c:ptCount val="1"/>
                <c:pt idx="0">
                  <c:v>Έμμεσοι φόροι</c:v>
                </c:pt>
              </c:strCache>
            </c:strRef>
          </c:tx>
          <c:cat>
            <c:strRef>
              <c:f>'3.6'!$A$6:$A$25</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'3.6'!$C$6:$C$25</c:f>
              <c:numCache>
                <c:formatCode>#,##0</c:formatCode>
                <c:ptCount val="11"/>
                <c:pt idx="0">
                  <c:v>30222</c:v>
                </c:pt>
                <c:pt idx="1">
                  <c:v>28292.628400000001</c:v>
                </c:pt>
                <c:pt idx="2">
                  <c:v>31041.86</c:v>
                </c:pt>
                <c:pt idx="3">
                  <c:v>28632.465000000029</c:v>
                </c:pt>
                <c:pt idx="4">
                  <c:v>26083</c:v>
                </c:pt>
                <c:pt idx="5">
                  <c:v>24556</c:v>
                </c:pt>
                <c:pt idx="6">
                  <c:v>23784.373889440001</c:v>
                </c:pt>
                <c:pt idx="7">
                  <c:v>23781.326116710021</c:v>
                </c:pt>
                <c:pt idx="8">
                  <c:v>25680.266948580003</c:v>
                </c:pt>
                <c:pt idx="9">
                  <c:v>26917</c:v>
                </c:pt>
                <c:pt idx="10">
                  <c:v>27390</c:v>
                </c:pt>
              </c:numCache>
            </c:numRef>
          </c:val>
          <c:smooth val="0"/>
        </c:ser>
        <c:ser>
          <c:idx val="2"/>
          <c:order val="2"/>
          <c:tx>
            <c:strRef>
              <c:f>'3.6'!$D$5</c:f>
              <c:strCache>
                <c:ptCount val="1"/>
                <c:pt idx="0">
                  <c:v>Σύνολο φορολογικών εσόδων</c:v>
                </c:pt>
              </c:strCache>
            </c:strRef>
          </c:tx>
          <c:cat>
            <c:strRef>
              <c:f>'3.6'!$A$6:$A$25</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'3.6'!$D$6:$D$25</c:f>
              <c:numCache>
                <c:formatCode>#,##0</c:formatCode>
                <c:ptCount val="11"/>
                <c:pt idx="0">
                  <c:v>51085</c:v>
                </c:pt>
                <c:pt idx="1">
                  <c:v>49725.082300000002</c:v>
                </c:pt>
                <c:pt idx="2">
                  <c:v>51265.756700000005</c:v>
                </c:pt>
                <c:pt idx="3">
                  <c:v>48950.518000000011</c:v>
                </c:pt>
                <c:pt idx="4">
                  <c:v>47179</c:v>
                </c:pt>
                <c:pt idx="5">
                  <c:v>44614</c:v>
                </c:pt>
                <c:pt idx="6">
                  <c:v>44448.410225730011</c:v>
                </c:pt>
                <c:pt idx="7">
                  <c:v>43717.662932210005</c:v>
                </c:pt>
                <c:pt idx="8">
                  <c:v>47519.277795400005</c:v>
                </c:pt>
                <c:pt idx="9">
                  <c:v>47205</c:v>
                </c:pt>
                <c:pt idx="10">
                  <c:v>48156</c:v>
                </c:pt>
              </c:numCache>
            </c:numRef>
          </c:val>
          <c:smooth val="0"/>
        </c:ser>
        <c:ser>
          <c:idx val="3"/>
          <c:order val="3"/>
          <c:tx>
            <c:strRef>
              <c:f>'3.6'!$E$5</c:f>
              <c:strCache>
                <c:ptCount val="1"/>
                <c:pt idx="0">
                  <c:v>Έσοδα από Ε.Ε.</c:v>
                </c:pt>
              </c:strCache>
            </c:strRef>
          </c:tx>
          <c:cat>
            <c:strRef>
              <c:f>'3.6'!$A$6:$A$25</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'3.6'!$E$6:$E$25</c:f>
              <c:numCache>
                <c:formatCode>#,##0</c:formatCode>
                <c:ptCount val="11"/>
                <c:pt idx="0">
                  <c:v>579</c:v>
                </c:pt>
                <c:pt idx="1">
                  <c:v>264.32689999999963</c:v>
                </c:pt>
                <c:pt idx="2">
                  <c:v>320.33569999999969</c:v>
                </c:pt>
                <c:pt idx="3">
                  <c:v>274</c:v>
                </c:pt>
                <c:pt idx="4">
                  <c:v>246</c:v>
                </c:pt>
                <c:pt idx="5">
                  <c:v>183</c:v>
                </c:pt>
                <c:pt idx="6">
                  <c:v>195.53231274000001</c:v>
                </c:pt>
                <c:pt idx="7">
                  <c:v>428.33089587000001</c:v>
                </c:pt>
                <c:pt idx="8">
                  <c:v>414.57903369000002</c:v>
                </c:pt>
                <c:pt idx="9">
                  <c:v>510.15000000000032</c:v>
                </c:pt>
                <c:pt idx="10">
                  <c:v>331.2</c:v>
                </c:pt>
              </c:numCache>
            </c:numRef>
          </c:val>
          <c:smooth val="0"/>
        </c:ser>
        <c:ser>
          <c:idx val="4"/>
          <c:order val="4"/>
          <c:tx>
            <c:strRef>
              <c:f>'3.6'!$F$5</c:f>
              <c:strCache>
                <c:ptCount val="1"/>
                <c:pt idx="0">
                  <c:v>Mη φορολογικά έσοδα</c:v>
                </c:pt>
              </c:strCache>
            </c:strRef>
          </c:tx>
          <c:cat>
            <c:strRef>
              <c:f>'3.6'!$A$6:$A$25</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'3.6'!$F$6:$F$25</c:f>
              <c:numCache>
                <c:formatCode>#,##0</c:formatCode>
                <c:ptCount val="11"/>
                <c:pt idx="0">
                  <c:v>3670</c:v>
                </c:pt>
                <c:pt idx="1">
                  <c:v>3453.9510000000273</c:v>
                </c:pt>
                <c:pt idx="2">
                  <c:v>4591.8562000000547</c:v>
                </c:pt>
                <c:pt idx="3">
                  <c:v>6216.9460000000008</c:v>
                </c:pt>
                <c:pt idx="4">
                  <c:v>4072</c:v>
                </c:pt>
                <c:pt idx="5">
                  <c:v>2367</c:v>
                </c:pt>
                <c:pt idx="6">
                  <c:v>3373.3786837800003</c:v>
                </c:pt>
                <c:pt idx="7">
                  <c:v>3645.9706770100006</c:v>
                </c:pt>
                <c:pt idx="8">
                  <c:v>4399.6469165400003</c:v>
                </c:pt>
                <c:pt idx="9">
                  <c:v>4340</c:v>
                </c:pt>
                <c:pt idx="10">
                  <c:v>3942</c:v>
                </c:pt>
              </c:numCache>
            </c:numRef>
          </c:val>
          <c:smooth val="0"/>
        </c:ser>
        <c:ser>
          <c:idx val="5"/>
          <c:order val="5"/>
          <c:tx>
            <c:strRef>
              <c:f>'3.6'!$G$5</c:f>
              <c:strCache>
                <c:ptCount val="1"/>
                <c:pt idx="0">
                  <c:v>Σύνολο μη φορολογικών εσόδων </c:v>
                </c:pt>
              </c:strCache>
            </c:strRef>
          </c:tx>
          <c:cat>
            <c:strRef>
              <c:f>'3.6'!$A$6:$A$25</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'3.6'!$G$6:$G$25</c:f>
              <c:numCache>
                <c:formatCode>#,##0</c:formatCode>
                <c:ptCount val="11"/>
                <c:pt idx="0">
                  <c:v>4249</c:v>
                </c:pt>
                <c:pt idx="1">
                  <c:v>3718.2779</c:v>
                </c:pt>
                <c:pt idx="2">
                  <c:v>4912.1919000000034</c:v>
                </c:pt>
                <c:pt idx="3">
                  <c:v>6490.9460000000008</c:v>
                </c:pt>
                <c:pt idx="4">
                  <c:v>4318</c:v>
                </c:pt>
                <c:pt idx="5">
                  <c:v>2550</c:v>
                </c:pt>
                <c:pt idx="6">
                  <c:v>3568.9109965200278</c:v>
                </c:pt>
                <c:pt idx="7">
                  <c:v>4074.301572880056</c:v>
                </c:pt>
                <c:pt idx="8">
                  <c:v>4814.2259502299994</c:v>
                </c:pt>
                <c:pt idx="9">
                  <c:v>4850.1500000000024</c:v>
                </c:pt>
                <c:pt idx="10">
                  <c:v>4273.2</c:v>
                </c:pt>
              </c:numCache>
            </c:numRef>
          </c:val>
          <c:smooth val="0"/>
        </c:ser>
        <c:ser>
          <c:idx val="6"/>
          <c:order val="6"/>
          <c:tx>
            <c:strRef>
              <c:f>'3.6'!$H$5</c:f>
              <c:strCache>
                <c:ptCount val="1"/>
                <c:pt idx="0">
                  <c:v>Σύνολο εσόδων Τ.Π.</c:v>
                </c:pt>
              </c:strCache>
            </c:strRef>
          </c:tx>
          <c:cat>
            <c:strRef>
              <c:f>'3.6'!$A$6:$A$25</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'3.6'!$H$6:$H$25</c:f>
              <c:numCache>
                <c:formatCode>#,##0</c:formatCode>
                <c:ptCount val="11"/>
                <c:pt idx="0">
                  <c:v>55334</c:v>
                </c:pt>
                <c:pt idx="1">
                  <c:v>53443.360200000003</c:v>
                </c:pt>
                <c:pt idx="2">
                  <c:v>56177.948600000011</c:v>
                </c:pt>
                <c:pt idx="3">
                  <c:v>55441.464</c:v>
                </c:pt>
                <c:pt idx="4">
                  <c:v>51497</c:v>
                </c:pt>
                <c:pt idx="5">
                  <c:v>47164</c:v>
                </c:pt>
                <c:pt idx="6">
                  <c:v>48017.321222250001</c:v>
                </c:pt>
                <c:pt idx="7">
                  <c:v>47791.964505090211</c:v>
                </c:pt>
                <c:pt idx="8">
                  <c:v>52333.503745629976</c:v>
                </c:pt>
                <c:pt idx="9">
                  <c:v>52055.15</c:v>
                </c:pt>
                <c:pt idx="10">
                  <c:v>52429.2</c:v>
                </c:pt>
              </c:numCache>
            </c:numRef>
          </c:val>
          <c:smooth val="0"/>
        </c:ser>
        <c:dLbls>
          <c:showLegendKey val="0"/>
          <c:showVal val="0"/>
          <c:showCatName val="0"/>
          <c:showSerName val="0"/>
          <c:showPercent val="0"/>
          <c:showBubbleSize val="0"/>
        </c:dLbls>
        <c:marker val="1"/>
        <c:smooth val="0"/>
        <c:axId val="269196672"/>
        <c:axId val="269202944"/>
      </c:lineChart>
      <c:catAx>
        <c:axId val="269196672"/>
        <c:scaling>
          <c:orientation val="minMax"/>
        </c:scaling>
        <c:delete val="0"/>
        <c:axPos val="b"/>
        <c:title>
          <c:tx>
            <c:rich>
              <a:bodyPr/>
              <a:lstStyle/>
              <a:p>
                <a:pPr>
                  <a:defRPr/>
                </a:pPr>
                <a:r>
                  <a:rPr lang="el-GR"/>
                  <a:t>Έτη</a:t>
                </a:r>
              </a:p>
            </c:rich>
          </c:tx>
          <c:layout>
            <c:manualLayout>
              <c:xMode val="edge"/>
              <c:yMode val="edge"/>
              <c:x val="0.38134532662583842"/>
              <c:y val="0.89277612729077815"/>
            </c:manualLayout>
          </c:layout>
          <c:overlay val="0"/>
        </c:title>
        <c:majorTickMark val="out"/>
        <c:minorTickMark val="none"/>
        <c:tickLblPos val="nextTo"/>
        <c:crossAx val="269202944"/>
        <c:crosses val="autoZero"/>
        <c:auto val="1"/>
        <c:lblAlgn val="ctr"/>
        <c:lblOffset val="100"/>
        <c:noMultiLvlLbl val="0"/>
      </c:catAx>
      <c:valAx>
        <c:axId val="269202944"/>
        <c:scaling>
          <c:orientation val="minMax"/>
        </c:scaling>
        <c:delete val="0"/>
        <c:axPos val="l"/>
        <c:majorGridlines/>
        <c:title>
          <c:tx>
            <c:rich>
              <a:bodyPr rot="-5400000" vert="horz"/>
              <a:lstStyle/>
              <a:p>
                <a:pPr>
                  <a:defRPr/>
                </a:pPr>
                <a:r>
                  <a:rPr lang="el-GR"/>
                  <a:t>Έσοδα σε εκατ. ευρώ</a:t>
                </a:r>
              </a:p>
            </c:rich>
          </c:tx>
          <c:layout>
            <c:manualLayout>
              <c:xMode val="edge"/>
              <c:yMode val="edge"/>
              <c:x val="2.0494860017497809E-2"/>
              <c:y val="0.32225698541352832"/>
            </c:manualLayout>
          </c:layout>
          <c:overlay val="0"/>
        </c:title>
        <c:numFmt formatCode="#,##0" sourceLinked="1"/>
        <c:majorTickMark val="out"/>
        <c:minorTickMark val="none"/>
        <c:tickLblPos val="nextTo"/>
        <c:crossAx val="269196672"/>
        <c:crosses val="autoZero"/>
        <c:crossBetween val="between"/>
      </c:valAx>
    </c:plotArea>
    <c:legend>
      <c:legendPos val="r"/>
      <c:layout>
        <c:manualLayout>
          <c:xMode val="edge"/>
          <c:yMode val="edge"/>
          <c:x val="0.73261574074074076"/>
          <c:y val="0.26938932796532788"/>
          <c:w val="0.26738425925926618"/>
          <c:h val="0.45189914066614423"/>
        </c:manualLayout>
      </c:layout>
      <c:overlay val="0"/>
    </c:legend>
    <c:plotVisOnly val="1"/>
    <c:dispBlanksAs val="gap"/>
    <c:showDLblsOverMax val="0"/>
  </c:chart>
  <c:spPr>
    <a:ln>
      <a:noFill/>
    </a:ln>
  </c:spPr>
  <c:txPr>
    <a:bodyPr/>
    <a:lstStyle/>
    <a:p>
      <a:pPr>
        <a:defRPr sz="700">
          <a:latin typeface="Arial Narrow" pitchFamily="34" charset="0"/>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'3.7'!$B$5</c:f>
              <c:strCache>
                <c:ptCount val="1"/>
                <c:pt idx="0">
                  <c:v>Άμεσοι φόροι %</c:v>
                </c:pt>
              </c:strCache>
            </c:strRef>
          </c:tx>
          <c:invertIfNegative val="0"/>
          <c:cat>
            <c:strRef>
              <c:f>'3.7'!$A$16:$A$27</c:f>
              <c:strCache>
                <c:ptCount val="12"/>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'3.7'!$B$16:$B$27</c:f>
              <c:numCache>
                <c:formatCode>0.0%</c:formatCode>
                <c:ptCount val="12"/>
                <c:pt idx="1">
                  <c:v>0.40839776842517372</c:v>
                </c:pt>
                <c:pt idx="2">
                  <c:v>0.43101897289369279</c:v>
                </c:pt>
                <c:pt idx="3">
                  <c:v>0.3944913330421983</c:v>
                </c:pt>
                <c:pt idx="4">
                  <c:v>0.41507329912218732</c:v>
                </c:pt>
                <c:pt idx="5">
                  <c:v>0.44714809555098667</c:v>
                </c:pt>
                <c:pt idx="6">
                  <c:v>0.4495898148563231</c:v>
                </c:pt>
                <c:pt idx="7">
                  <c:v>0.46489933456220978</c:v>
                </c:pt>
                <c:pt idx="8">
                  <c:v>0.45602476158009897</c:v>
                </c:pt>
                <c:pt idx="9">
                  <c:v>0.45958212876993842</c:v>
                </c:pt>
                <c:pt idx="10">
                  <c:v>0.42978498040462365</c:v>
                </c:pt>
                <c:pt idx="11">
                  <c:v>0.43119170769198811</c:v>
                </c:pt>
              </c:numCache>
            </c:numRef>
          </c:val>
        </c:ser>
        <c:ser>
          <c:idx val="1"/>
          <c:order val="1"/>
          <c:tx>
            <c:strRef>
              <c:f>'3.7'!$C$5</c:f>
              <c:strCache>
                <c:ptCount val="1"/>
                <c:pt idx="0">
                  <c:v>Έμμεσοι φόροι %</c:v>
                </c:pt>
              </c:strCache>
            </c:strRef>
          </c:tx>
          <c:invertIfNegative val="0"/>
          <c:cat>
            <c:strRef>
              <c:f>'3.7'!$A$16:$A$27</c:f>
              <c:strCache>
                <c:ptCount val="12"/>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'3.7'!$C$16:$C$27</c:f>
              <c:numCache>
                <c:formatCode>0.0%</c:formatCode>
                <c:ptCount val="12"/>
                <c:pt idx="1">
                  <c:v>0.59160223157482661</c:v>
                </c:pt>
                <c:pt idx="2">
                  <c:v>0.56898102710631415</c:v>
                </c:pt>
                <c:pt idx="3">
                  <c:v>0.60550866695780192</c:v>
                </c:pt>
                <c:pt idx="4">
                  <c:v>0.58492670087780518</c:v>
                </c:pt>
                <c:pt idx="5">
                  <c:v>0.55285190444901944</c:v>
                </c:pt>
                <c:pt idx="6">
                  <c:v>0.55041018514367657</c:v>
                </c:pt>
                <c:pt idx="7">
                  <c:v>0.53510066543779022</c:v>
                </c:pt>
                <c:pt idx="8">
                  <c:v>0.54397523841991313</c:v>
                </c:pt>
                <c:pt idx="9">
                  <c:v>0.54041787123006158</c:v>
                </c:pt>
                <c:pt idx="10">
                  <c:v>0.57021501959538878</c:v>
                </c:pt>
                <c:pt idx="11">
                  <c:v>0.5688082923080241</c:v>
                </c:pt>
              </c:numCache>
            </c:numRef>
          </c:val>
        </c:ser>
        <c:dLbls>
          <c:showLegendKey val="0"/>
          <c:showVal val="0"/>
          <c:showCatName val="0"/>
          <c:showSerName val="0"/>
          <c:showPercent val="0"/>
          <c:showBubbleSize val="0"/>
        </c:dLbls>
        <c:gapWidth val="150"/>
        <c:axId val="154694400"/>
        <c:axId val="154668032"/>
      </c:barChart>
      <c:lineChart>
        <c:grouping val="standard"/>
        <c:varyColors val="0"/>
        <c:ser>
          <c:idx val="2"/>
          <c:order val="2"/>
          <c:tx>
            <c:strRef>
              <c:f>'3.7'!$D$5</c:f>
              <c:strCache>
                <c:ptCount val="1"/>
                <c:pt idx="0">
                  <c:v>Λόγος έμμεσων/άμεσων φόρων</c:v>
                </c:pt>
              </c:strCache>
            </c:strRef>
          </c:tx>
          <c:cat>
            <c:strRef>
              <c:f>'3.7'!$A$16:$A$27</c:f>
              <c:strCache>
                <c:ptCount val="12"/>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'3.7'!$D$16:$D$27</c:f>
              <c:numCache>
                <c:formatCode>#,##0.00</c:formatCode>
                <c:ptCount val="12"/>
                <c:pt idx="1">
                  <c:v>1.4485932032785314</c:v>
                </c:pt>
                <c:pt idx="2">
                  <c:v>1.3200834833009953</c:v>
                </c:pt>
                <c:pt idx="3">
                  <c:v>1.5349099365207901</c:v>
                </c:pt>
                <c:pt idx="4">
                  <c:v>1.4092130284333839</c:v>
                </c:pt>
                <c:pt idx="5">
                  <c:v>1.2363955252180507</c:v>
                </c:pt>
                <c:pt idx="6">
                  <c:v>1.2242496759397739</c:v>
                </c:pt>
                <c:pt idx="7">
                  <c:v>1.1510032939532775</c:v>
                </c:pt>
                <c:pt idx="8">
                  <c:v>1.1928633799074171</c:v>
                </c:pt>
                <c:pt idx="9">
                  <c:v>1.1758896558412275</c:v>
                </c:pt>
                <c:pt idx="10">
                  <c:v>1.3267448738170349</c:v>
                </c:pt>
                <c:pt idx="11">
                  <c:v>1.3191540610848829</c:v>
                </c:pt>
              </c:numCache>
            </c:numRef>
          </c:val>
          <c:smooth val="0"/>
        </c:ser>
        <c:dLbls>
          <c:showLegendKey val="0"/>
          <c:showVal val="0"/>
          <c:showCatName val="0"/>
          <c:showSerName val="0"/>
          <c:showPercent val="0"/>
          <c:showBubbleSize val="0"/>
        </c:dLbls>
        <c:marker val="1"/>
        <c:smooth val="0"/>
        <c:axId val="154664960"/>
        <c:axId val="154666496"/>
      </c:lineChart>
      <c:catAx>
        <c:axId val="154664960"/>
        <c:scaling>
          <c:orientation val="minMax"/>
        </c:scaling>
        <c:delete val="0"/>
        <c:axPos val="b"/>
        <c:numFmt formatCode="General" sourceLinked="1"/>
        <c:majorTickMark val="out"/>
        <c:minorTickMark val="none"/>
        <c:tickLblPos val="nextTo"/>
        <c:crossAx val="154666496"/>
        <c:crossesAt val="0"/>
        <c:auto val="1"/>
        <c:lblAlgn val="ctr"/>
        <c:lblOffset val="100"/>
        <c:noMultiLvlLbl val="0"/>
      </c:catAx>
      <c:valAx>
        <c:axId val="154666496"/>
        <c:scaling>
          <c:orientation val="minMax"/>
          <c:min val="1"/>
        </c:scaling>
        <c:delete val="0"/>
        <c:axPos val="l"/>
        <c:numFmt formatCode="#,##0.00" sourceLinked="0"/>
        <c:majorTickMark val="out"/>
        <c:minorTickMark val="none"/>
        <c:tickLblPos val="nextTo"/>
        <c:crossAx val="154664960"/>
        <c:crosses val="autoZero"/>
        <c:crossBetween val="between"/>
        <c:majorUnit val="0.05"/>
      </c:valAx>
      <c:valAx>
        <c:axId val="154668032"/>
        <c:scaling>
          <c:orientation val="minMax"/>
        </c:scaling>
        <c:delete val="0"/>
        <c:axPos val="r"/>
        <c:numFmt formatCode="0%" sourceLinked="0"/>
        <c:majorTickMark val="out"/>
        <c:minorTickMark val="none"/>
        <c:tickLblPos val="nextTo"/>
        <c:crossAx val="154694400"/>
        <c:crosses val="max"/>
        <c:crossBetween val="between"/>
      </c:valAx>
      <c:catAx>
        <c:axId val="154694400"/>
        <c:scaling>
          <c:orientation val="minMax"/>
        </c:scaling>
        <c:delete val="1"/>
        <c:axPos val="b"/>
        <c:majorTickMark val="out"/>
        <c:minorTickMark val="none"/>
        <c:tickLblPos val="none"/>
        <c:crossAx val="154668032"/>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sz="800">
          <a:latin typeface="Arial Narrow" pitchFamily="34" charset="0"/>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D6EF-3589-44CF-922D-7BE17352CBC4}">
  <ds:schemaRefs>
    <ds:schemaRef ds:uri="http://schemas.openxmlformats.org/officeDocument/2006/bibliography"/>
  </ds:schemaRefs>
</ds:datastoreItem>
</file>

<file path=customXml/itemProps2.xml><?xml version="1.0" encoding="utf-8"?>
<ds:datastoreItem xmlns:ds="http://schemas.openxmlformats.org/officeDocument/2006/customXml" ds:itemID="{8ED5C474-A5F1-4370-A9BC-597AB3EC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0</TotalTime>
  <Pages>65</Pages>
  <Words>27022</Words>
  <Characters>145920</Characters>
  <Application>Microsoft Office Word</Application>
  <DocSecurity>0</DocSecurity>
  <Lines>1216</Lines>
  <Paragraphs>345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pxristof</dc:creator>
  <cp:lastModifiedBy>kostas home</cp:lastModifiedBy>
  <cp:revision>2</cp:revision>
  <cp:lastPrinted>2017-11-20T06:54:00Z</cp:lastPrinted>
  <dcterms:created xsi:type="dcterms:W3CDTF">2017-11-21T19:40:00Z</dcterms:created>
  <dcterms:modified xsi:type="dcterms:W3CDTF">2017-11-21T19:40:00Z</dcterms:modified>
</cp:coreProperties>
</file>